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the Securities and Exchange Commission on February 11, 2026</w:t>
      </w:r>
    </w:p>
    <w:p>
      <w:pPr>
        <w:spacing w:after="0" w:line="31" w:lineRule="exact"/>
        <w:rPr>
          <w:sz w:val="24"/>
          <w:szCs w:val="24"/>
          <w:color w:val="auto"/>
        </w:rPr>
      </w:pPr>
    </w:p>
    <w:p>
      <w:pPr>
        <w:ind w:left="9820"/>
        <w:spacing w:after="0"/>
        <w:rPr>
          <w:sz w:val="20"/>
          <w:szCs w:val="20"/>
          <w:color w:val="auto"/>
        </w:rPr>
      </w:pPr>
      <w:r>
        <w:rPr>
          <w:rFonts w:ascii="Times New Roman" w:cs="Times New Roman" w:eastAsia="Times New Roman" w:hAnsi="Times New Roman"/>
          <w:sz w:val="18"/>
          <w:szCs w:val="18"/>
          <w:b w:val="1"/>
          <w:bCs w:val="1"/>
          <w:color w:val="auto"/>
        </w:rPr>
        <w:t>File No.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139700</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Form for Registration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(g)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Intelligence Limited</w:t>
      </w:r>
      <w:r>
        <w:rPr>
          <w:rFonts w:ascii="Times New Roman" w:cs="Times New Roman" w:eastAsia="Times New Roman" w:hAnsi="Times New Roman"/>
          <w:sz w:val="23"/>
          <w:szCs w:val="23"/>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1640" w:type="dxa"/>
        <w:tblCellMar>
          <w:top w:w="0" w:type="dxa"/>
          <w:left w:w="0" w:type="dxa"/>
          <w:bottom w:w="0" w:type="dxa"/>
          <w:right w:w="0" w:type="dxa"/>
        </w:tblCellMar>
      </w:tblPr>
      <w:tr>
        <w:trPr>
          <w:trHeight w:val="229"/>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98-1878833</w:t>
            </w:r>
          </w:p>
        </w:tc>
      </w:tr>
      <w:tr>
        <w:trPr>
          <w:trHeight w:val="189"/>
        </w:trPr>
        <w:tc>
          <w:tcPr>
            <w:tcW w:w="4120" w:type="dxa"/>
            <w:vAlign w:val="bottom"/>
          </w:tcPr>
          <w:p>
            <w:pPr>
              <w:jc w:val="center"/>
              <w:ind w:right="16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60" w:type="dxa"/>
            <w:vAlign w:val="bottom"/>
          </w:tcPr>
          <w:p>
            <w:pPr>
              <w:jc w:val="center"/>
              <w:ind w:left="1690"/>
              <w:spacing w:after="0" w:line="189"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305 Intergraph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Madison, Alabama 35758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(256) 730-2000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1"/>
        </w:trPr>
        <w:tc>
          <w:tcPr>
            <w:tcW w:w="5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to be so Registered</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Each Class is to be Registered</w:t>
            </w:r>
          </w:p>
        </w:tc>
      </w:tr>
      <w:tr>
        <w:trPr>
          <w:trHeight w:val="234"/>
        </w:trPr>
        <w:tc>
          <w:tcPr>
            <w:tcW w:w="5560" w:type="dxa"/>
            <w:vAlign w:val="bottom"/>
            <w:tcBorders>
              <w:top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B Ordinary Shares</w:t>
            </w:r>
          </w:p>
        </w:tc>
        <w:tc>
          <w:tcPr>
            <w:tcW w:w="10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8"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4"/>
          <w:szCs w:val="24"/>
          <w:color w:val="auto"/>
        </w:rPr>
      </w:pPr>
    </w:p>
    <w:p>
      <w:pPr>
        <w:jc w:val="both"/>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16459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340" w:right="20" w:hanging="332"/>
        <w:spacing w:after="0" w:line="239" w:lineRule="auto"/>
        <w:tabs>
          <w:tab w:leader="none" w:pos="242" w:val="left"/>
        </w:tabs>
        <w:numPr>
          <w:ilvl w:val="0"/>
          <w:numId w:val="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Octave Intelligence Limited, a company with limited liability incorporated under the laws of Ireland, is the Registrant. We intend to alter the legal status of the Registrant under Irish law from a private limited company by re-registering as a public limited company and changing the name of the Registrant from Octave Intelligence Limited to Octave Intelligence plc prior to the effectiveness of this registration statement.</w:t>
      </w:r>
    </w:p>
    <w:p>
      <w:pPr>
        <w:sectPr>
          <w:pgSz w:w="11900" w:h="16838" w:orient="portrait"/>
          <w:cols w:equalWidth="0" w:num="1">
            <w:col w:w="11240"/>
          </w:cols>
          <w:pgMar w:left="320" w:top="103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CROSS-REFERENCE SHEET BETWEEN ITEMS OF FORM 10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THE ATTACHED INFORMATION STATEMENT.</w:t>
      </w:r>
    </w:p>
    <w:p>
      <w:pPr>
        <w:spacing w:after="0" w:line="15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required by the following Form 10 Registration Statement items is contained in the information statement sections identified below, each of which is incorporated in this report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“Management’s Discussion and Analysis of Financial Condition and Results of Operations,” “Business of Octave,” “Where You Can Find More Information” and “Index to Combined Financial Statements.” Those sections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“Risk Factors.”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Financial Information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and “Management’s Discussion and Analysis of Financial Condition and Results of Operations.”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Properties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“Business of Octave—Properties.”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Security Ownership of Certain Beneficial Owners and Management</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and “Security Ownership of Certain Beneficial Owners and Management and Related Shareholder Matters.”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Directors and Executive Officers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“Corporate Governance and Management.”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Executive Compensation</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“Compensation Discussion and Analysis,” “Executive Compensation” and “Director Compensation”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Certain Relationships and Related Transactions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“Certain Relationships and Related Party Transactions” and “Security Ownership of Certain Beneficial Owners and Management and Related Shareholder Matters.” Those sections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Legal Proceedings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“Business of Octave—Legal Proceedings.” That section is incorporated herein by reference.</w:t>
      </w:r>
    </w:p>
    <w:p>
      <w:pPr>
        <w:sectPr>
          <w:pgSz w:w="11900" w:h="16838" w:orient="portrait"/>
          <w:cols w:equalWidth="0" w:num="1">
            <w:col w:w="11220"/>
          </w:cols>
          <w:pgMar w:left="320" w:top="141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 Market Price of and Dividends on the Registrant’s Common Equity and Related Shareholder Matters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“Risk Factors,” “The Separation and the Distribution,” “Business of Octave,” “Compensation Discussion and Analysis” and “Description of Our Share Capital.” Those sections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Recent Sales of Unregistered Securities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“Description of Material Indebtedness” and “Description of Our Share Capital—Sale of Unregistered Securities.”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Description of Registrant’s Securities to be Registered</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“The Separation and the Distribution” and “Description of Our Share Capital.”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Indemnification of Directors and Officers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“Indemnification of Directors and Officers.”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Financial Statements and Supplementary Data</w:t>
      </w:r>
    </w:p>
    <w:p>
      <w:pPr>
        <w:spacing w:after="0" w:line="175"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contained under the sections of the information statement entitled “Management’s Discussion and Analysis of Financial Condition and Results of Operations” and “Index to Combined Financial Statements.” Those sections are incorporated herein by reference.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Financial Statements and Exhibits</w:t>
      </w:r>
    </w:p>
    <w:p>
      <w:pPr>
        <w:spacing w:after="0" w:line="175" w:lineRule="exact"/>
        <w:rPr>
          <w:sz w:val="20"/>
          <w:szCs w:val="20"/>
          <w:color w:val="auto"/>
        </w:rPr>
      </w:pPr>
    </w:p>
    <w:p>
      <w:pPr>
        <w:ind w:left="660" w:right="140" w:hanging="328"/>
        <w:spacing w:after="0" w:line="282" w:lineRule="auto"/>
        <w:tabs>
          <w:tab w:leader="none" w:pos="6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information required by this item is contained under the section “Index to Combined Financial Statements” beginning on page F-1 of the information statement. That section is incorporated herein by reference.</w:t>
      </w:r>
    </w:p>
    <w:p>
      <w:pPr>
        <w:sectPr>
          <w:pgSz w:w="11900" w:h="16838" w:orient="portrait"/>
          <w:cols w:equalWidth="0" w:num="1">
            <w:col w:w="11200"/>
          </w:cols>
          <w:pgMar w:left="320" w:top="1413"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106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Exhibits</w:t>
            </w:r>
          </w:p>
        </w:tc>
      </w:tr>
      <w:tr>
        <w:trPr>
          <w:trHeight w:val="378"/>
        </w:trPr>
        <w:tc>
          <w:tcPr>
            <w:tcW w:w="1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documents are filed as exhibits hereto:</w:t>
            </w:r>
          </w:p>
        </w:tc>
      </w:tr>
      <w:tr>
        <w:trPr>
          <w:trHeight w:val="368"/>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Distribution Agreement by and between Hexagon AB and Octave Intelligence plc*</w:t>
            </w:r>
          </w:p>
        </w:tc>
      </w:tr>
      <w:tr>
        <w:trPr>
          <w:trHeight w:val="27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Articles and Memorandum of Association of Octave Intelligence plc*</w:t>
            </w:r>
          </w:p>
        </w:tc>
      </w:tr>
      <w:tr>
        <w:trPr>
          <w:trHeight w:val="28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General Terms and Conditions for Swedish Depository Receipts in Octave Intelligence plc*</w:t>
            </w:r>
          </w:p>
        </w:tc>
      </w:tr>
      <w:tr>
        <w:trPr>
          <w:trHeight w:val="28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Tax Disaffiliation Agreement, by and between Hexagon AB and Octave Intelligence plc*</w:t>
            </w:r>
          </w:p>
        </w:tc>
      </w:tr>
      <w:tr>
        <w:trPr>
          <w:trHeight w:val="28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Employee Matters Agreement, by and between Hexagon AB and Octave Intelligence plc*</w:t>
            </w:r>
          </w:p>
        </w:tc>
      </w:tr>
      <w:tr>
        <w:trPr>
          <w:trHeight w:val="28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Transition Services Agreement, by and between Hexagon AB and Octave Intelligence plc*</w:t>
            </w:r>
          </w:p>
        </w:tc>
      </w:tr>
      <w:tr>
        <w:trPr>
          <w:trHeight w:val="28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Deed of Indemnification entered into by Octave Intelligence plc for the benefit of certain individual directors and officers*</w:t>
            </w:r>
          </w:p>
        </w:tc>
      </w:tr>
      <w:tr>
        <w:trPr>
          <w:trHeight w:val="28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Indemnification Agreement between Intergraph Corporation and certain individual directors and officers*</w:t>
            </w:r>
          </w:p>
        </w:tc>
      </w:tr>
      <w:tr>
        <w:trPr>
          <w:trHeight w:val="28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Subsidiaries of Octave Intelligence plc*</w:t>
            </w:r>
          </w:p>
        </w:tc>
      </w:tr>
      <w:tr>
        <w:trPr>
          <w:trHeight w:val="24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Information Statement of Octave Intelligence Limited, preliminary and subject to completion, dated February 11, 2026</w:t>
            </w: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ectPr>
          <w:pgSz w:w="11900" w:h="16838" w:orient="portrait"/>
          <w:cols w:equalWidth="0" w:num="1">
            <w:col w:w="11240"/>
          </w:cols>
          <w:pgMar w:left="320" w:top="1417" w:right="339" w:bottom="1440" w:gutter="0" w:footer="0" w:header="0"/>
        </w:sectPr>
      </w:pPr>
    </w:p>
    <w:bookmarkStart w:id="4" w:name="page5"/>
    <w:bookmarkEnd w:id="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4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Octave Intelligence Limited</w:t>
      </w:r>
    </w:p>
    <w:p>
      <w:pPr>
        <w:spacing w:after="0" w:line="239" w:lineRule="exact"/>
        <w:rPr>
          <w:sz w:val="20"/>
          <w:szCs w:val="20"/>
          <w:color w:val="auto"/>
        </w:rPr>
      </w:pPr>
    </w:p>
    <w:tbl>
      <w:tblPr>
        <w:tblLayout w:type="fixed"/>
        <w:tblInd w:w="608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Maslen</w:t>
            </w:r>
          </w:p>
        </w:tc>
      </w:t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Maslen</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507365</wp:posOffset>
            </wp:positionV>
            <wp:extent cx="151701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44577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sectPr>
          <w:pgSz w:w="11900" w:h="16838" w:orient="portrait"/>
          <w:cols w:equalWidth="0" w:num="3">
            <w:col w:w="60" w:space="460"/>
            <w:col w:w="40" w:space="460"/>
            <w:col w:w="1022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Dear Hexagon Shareholders:</w:t>
      </w:r>
    </w:p>
    <w:p>
      <w:pPr>
        <w:spacing w:after="0" w:line="17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On</w:t>
      </w:r>
      <w:r>
        <w:rPr>
          <w:sz w:val="20"/>
          <w:szCs w:val="20"/>
          <w:color w:val="auto"/>
        </w:rPr>
        <w:tab/>
      </w:r>
      <w:r>
        <w:rPr>
          <w:rFonts w:ascii="Times New Roman" w:cs="Times New Roman" w:eastAsia="Times New Roman" w:hAnsi="Times New Roman"/>
          <w:sz w:val="18"/>
          <w:szCs w:val="18"/>
          <w:color w:val="auto"/>
        </w:rPr>
        <w:t>, the general meeting of shareholders of Hexagon AB (“Hexagon”) approved the spin-off into a separate publicly-traded company to be</w:t>
      </w:r>
    </w:p>
    <w:p>
      <w:pPr>
        <w:sectPr>
          <w:pgSz w:w="11900" w:h="16838" w:orient="portrait"/>
          <w:cols w:equalWidth="0" w:num="1">
            <w:col w:w="11240"/>
          </w:cols>
          <w:pgMar w:left="320" w:top="117" w:right="339" w:bottom="1440" w:gutter="0" w:footer="0" w:header="0"/>
          <w:type w:val="continuous"/>
        </w:sectPr>
      </w:pP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named Octave Intelligence plc (“Octave”) of Hexagon’s Asset Lifecycle Intelligence business, Safety, Infrastructure &amp; Geospatial business, ETQ business and Bricsys business.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strategic move underlines our commitment to evolving with our markets to ensure we are continually identifying and executing on opportunities to create shareholder value. As separate businesses, Hexagon and Octave will be better positioned to pursue their respective missions, adapt to market dynamics, and form strategic partnerships. With focused investments and clearer value propositions, both are expected to accelerate growth and deliver long-term value to shareholders. This exciting opportunity for Octave is described in more detail by Mattias in an accompanying letter to shareholders.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the separation, Hexagon will be a market leader in precision measurement, reality capture, positioning and autonomy technologies and robotic solutions. We will be focused on delivering cutting edge solutions to the world’s most important industries, allowing customers to bridge physical and digital environments seamlessly. These solutions will help our customers overcome the key structural challenges that they face: improving sustainability, mitigating labor shortages and at the same time continually improving product and project quality. By partnering with our customers and innovating for the future, we will be able to build on our existing base of shareholder value, to drive continued improvement in gross profit margins, recurring revenues, organic growth, and cash generation.</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separation will be effected by a pro rata distribution wherein each Hexagon shareholder of record on , which will be the record date, will be entitled to Octave Class A Ordinary Shares for every Hexagon Class A Shares and Octave Class B Ordinary Shares for every</w:t>
      </w:r>
    </w:p>
    <w:p>
      <w:pPr>
        <w:jc w:val="both"/>
        <w:ind w:firstLine="931"/>
        <w:spacing w:after="0" w:line="253" w:lineRule="auto"/>
        <w:rPr>
          <w:sz w:val="20"/>
          <w:szCs w:val="20"/>
          <w:color w:val="auto"/>
        </w:rPr>
      </w:pPr>
      <w:r>
        <w:rPr>
          <w:rFonts w:ascii="Times New Roman" w:cs="Times New Roman" w:eastAsia="Times New Roman" w:hAnsi="Times New Roman"/>
          <w:sz w:val="18"/>
          <w:szCs w:val="18"/>
          <w:color w:val="auto"/>
        </w:rPr>
        <w:t>Hexagon Class B Shares held. Octave Class B Ordinary Shares will be delivered to holders of Hexagon Class B Shares, other than affiliates of Hexagon, in the form of Swedish Depository Receipts (the “Octave SDRs”). Octave Class A Ordinary Shares will be delivered to holders of Hexagon Class A Shares and Octave Class B Ordinary Shares will be delivered to holders of Hexagon Class B Shares that are Hexagon affiliates in book-entry form via Octave’s transfer agent.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expected that the Octave Class B Ordinary Shares will be listed on the Nasdaq Global Select Market under the symbol “OCTV” and the Octave SDRs, which each represent one Octave Class B Ordinary Share, will trade on Nasdaq Stockholm under the symbol “OCTV SDB.” Hexagon Class B Shares will continue to trade on Nasdaq Stockholm under the symbol “HEXA B.” No action is required on your part to receive your Octave SDRs representing Octave Class B Ordinary Shares, and you do not need to pay any consideration to Hexagon or Octave, or surrender or exchange your Hexagon shares. As discussed in the accompanying information statement, the intent is for this distribution to be tax free to shareholders both in the United States and Sweden.</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information statement describes the distribution of Octave shares following Octave’s separation from Hexagon and contains important information about Octave, including Octave’s financial statements, and I suggest that you read it carefully and in its entirety. In connection with the listing of the Octave SDRs, we have also made available a Swedish prospectus. If you have any questions regarding the distribution of the Octave shares, please contact the transfer and distribution agent, Computershare Trust Company, N.A. at (866) 644 4127. If you have any questions regarding the distribution of</w:t>
      </w:r>
    </w:p>
    <w:p>
      <w:pPr>
        <w:spacing w:after="0" w:line="3" w:lineRule="exact"/>
        <w:rPr>
          <w:sz w:val="20"/>
          <w:szCs w:val="20"/>
          <w:color w:val="auto"/>
        </w:rPr>
      </w:pPr>
    </w:p>
    <w:p>
      <w:pPr>
        <w:spacing w:after="0"/>
        <w:tabs>
          <w:tab w:leader="none" w:pos="7640" w:val="left"/>
        </w:tabs>
        <w:rPr>
          <w:sz w:val="20"/>
          <w:szCs w:val="20"/>
          <w:color w:val="auto"/>
        </w:rPr>
      </w:pPr>
      <w:r>
        <w:rPr>
          <w:rFonts w:ascii="Times New Roman" w:cs="Times New Roman" w:eastAsia="Times New Roman" w:hAnsi="Times New Roman"/>
          <w:sz w:val="18"/>
          <w:szCs w:val="18"/>
          <w:color w:val="auto"/>
        </w:rPr>
        <w:t>the Octave SDRs, please contact the SDR depositary, Skandinaviska Enskilda Banken AB, at</w:t>
      </w:r>
      <w:r>
        <w:rPr>
          <w:sz w:val="20"/>
          <w:szCs w:val="20"/>
          <w:color w:val="auto"/>
        </w:rPr>
        <w:tab/>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committed to working on your behalf to continue to build long-term shareholder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Anders Svensson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Hexagon AB</w:t>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706120</wp:posOffset>
            </wp:positionV>
            <wp:extent cx="164592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spacing w:after="0" w:line="304" w:lineRule="exact"/>
        <w:rPr>
          <w:sz w:val="20"/>
          <w:szCs w:val="20"/>
          <w:color w:val="auto"/>
        </w:rPr>
      </w:pPr>
    </w:p>
    <w:p>
      <w:pPr>
        <w:spacing w:after="0"/>
        <w:tabs>
          <w:tab w:leader="none" w:pos="500" w:val="left"/>
          <w:tab w:leader="none" w:pos="1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Future Octave Shareholder,</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Octave Intelligence plc (“Octave”), I am pleased to welcome you as a future shareholder. This is an important moment in the long history of the businesses that now form Octave, and a defining moment for our future. For decades, our business has helped organizations design, build, operate, and protect systems that power industries, cities, and essential services.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prepare to separate from Hexagon and become an independent, publicly traded company, we will gain the strategic clarity and operational flexibility to invest more deeply in the capabilities our customers rely on. Independence strengthens our ability to focus, innovate, and move with greater speed as market demands evolve. This transition allows us to build on our strong foundation to become the trusted platform to help organizations design, build, operate, and protect the physical assets, people, and critical infrastructure that the world depends 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Organizations everywhere are navigating rising operational complexity. Infrastructure is under increasing pressure, data volumes are growing, and workforce turnover is accelerating. These shifts make it difficult to keep information connected and to understand what is happening in time to act. Octave helps customers meet these challenges by turning fragmented information into contextual intelligence that supports earlier action, reduces risk, and strengthens safety, performance, and resilience.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begin this new chapter with a global footprint, a world-class team, a proven product portfolio, and deep customer trust developed over many years. We are excited to build the future of Octave together, and we invite you to learn more about our company and our vision in the accompanying information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Mattias Stenberg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Octave Intelligence plc</w:t>
      </w:r>
    </w:p>
    <w:p>
      <w:pPr>
        <w:sectPr>
          <w:pgSz w:w="11900" w:h="16838" w:orient="portrait"/>
          <w:cols w:equalWidth="0" w:num="1">
            <w:col w:w="11240"/>
          </w:cols>
          <w:pgMar w:left="320" w:top="1440" w:right="339" w:bottom="1440" w:gutter="0" w:footer="0" w:header="0"/>
        </w:sectPr>
      </w:pPr>
    </w:p>
    <w:bookmarkStart w:id="7" w:name="page8"/>
    <w:bookmarkEnd w:id="7"/>
    <w:p>
      <w:pPr>
        <w:ind w:right="220"/>
        <w:spacing w:after="0" w:line="286" w:lineRule="auto"/>
        <w:rPr>
          <w:sz w:val="20"/>
          <w:szCs w:val="20"/>
          <w:color w:val="auto"/>
        </w:rPr>
      </w:pPr>
      <w:r>
        <w:rPr>
          <w:rFonts w:ascii="Times New Roman" w:cs="Times New Roman" w:eastAsia="Times New Roman" w:hAnsi="Times New Roman"/>
          <w:sz w:val="18"/>
          <w:szCs w:val="18"/>
          <w:b w:val="1"/>
          <w:bCs w:val="1"/>
          <w:color w:val="DE1A1E"/>
        </w:rPr>
        <w:t>Information contained herein is subject to completion or amendment. A Registration Statement on Form 10 relating to these securities has been filed with the U.S. Securities and Exchange Commission.</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DE1A1E"/>
        </w:rPr>
        <w:t>PRELIMINARY INFORMATION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DE1A1E"/>
        </w:rPr>
        <w:t>SUBJECT TO COMPLETION, DATED FEBRUARY 11, 2026</w:t>
      </w:r>
    </w:p>
    <w:p>
      <w:pPr>
        <w:spacing w:after="0" w:line="9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1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Octave Intelligence Limited</w:t>
      </w:r>
      <w:r>
        <w:rPr>
          <w:rFonts w:ascii="Times New Roman" w:cs="Times New Roman" w:eastAsia="Times New Roman" w:hAnsi="Times New Roman"/>
          <w:sz w:val="23"/>
          <w:szCs w:val="23"/>
          <w:b w:val="1"/>
          <w:bCs w:val="1"/>
          <w:color w:val="auto"/>
          <w:vertAlign w:val="superscript"/>
        </w:rPr>
        <w:t>*</w:t>
      </w:r>
    </w:p>
    <w:p>
      <w:pPr>
        <w:spacing w:after="0" w:line="11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Distribution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 Ordinary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91440</wp:posOffset>
            </wp:positionV>
            <wp:extent cx="11912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This information statement is being furnished in connection with the distribution by Hexagon AB (“Hexagon”) to holders of its Class A Shares and Class B Shares (together, “Hexagon Shares”) of all the issued share capital of Octave Intelligence plc (which we refer to as, “we,” “us,” “our,” “Octave,” or the “Company”), consisting of A Ordinary Shares (“Octave Class A Ordinary Shares”) and B Ordinary Shares (“Octave Class B Ordinary Shares”) (together, the “Octave Shares”) (the “Distribution”). Prior to the Distribution, we will enter into a series of transactions with Hexagon pursuant to which Octave will own the assets and liabilities collectively comprising (i) Hexagon’s Asset Lifecycle Intelligence (“ALI”) business, which focuses on producing insights across the asset lifecycle to design, construct and operate more profitable, safe and sustainable industrial facilities; (ii) Hexagon’s Safety, Infrastructure &amp; Geospatial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(collectively, the “Octave Business”), which are currently owned and operated by Hexagon, as described in this information statement.</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Octave Shares will be distributed to holders of record of Hexagon Shares as of , , which will be the record date for the Distribution. Each such holder will receive Octave Class A Ordinary Shares for every Hexagon Class A Shares and Octave Class B Ordinary Shares for every Hexagon Class B Shares held on the record date. The Distribution will be effective on . The Octave Shares will be delivered to holders of record, other than holders of Octave Class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Ordinary Shares and affiliates of Hexagon, in the form of Swedish Depository Receipts (“Octave SDRs”).</w:t>
      </w:r>
    </w:p>
    <w:p>
      <w:pPr>
        <w:sectPr>
          <w:pgSz w:w="11900" w:h="16838" w:orient="portrait"/>
          <w:cols w:equalWidth="0" w:num="1">
            <w:col w:w="11240"/>
          </w:cols>
          <w:pgMar w:left="320" w:top="846" w:right="33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Octave SDRs will be delivered to holders through Euroclear Sweden AB (“Euroclear Sweden”)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Swedish business days following the record date. No action is</w:t>
      </w:r>
    </w:p>
    <w:p>
      <w:pPr>
        <w:spacing w:after="0" w:line="26" w:lineRule="exact"/>
        <w:rPr>
          <w:sz w:val="20"/>
          <w:szCs w:val="20"/>
          <w:color w:val="auto"/>
        </w:rPr>
      </w:pPr>
    </w:p>
    <w:p>
      <w:pPr>
        <w:sectPr>
          <w:pgSz w:w="11900" w:h="16838" w:orient="portrait"/>
          <w:cols w:equalWidth="0" w:num="2">
            <w:col w:w="6580" w:space="580"/>
            <w:col w:w="4080"/>
          </w:cols>
          <w:pgMar w:left="320" w:top="846" w:right="339" w:bottom="1440" w:gutter="0" w:footer="0" w:header="0"/>
          <w:type w:val="continuous"/>
        </w:sect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required from Hexagon shareholders to receive Octave SDRs. Hexagon shareholders will not be required to pay anything to Hexagon or Octave for the Octave SDRs or the Octave Shares, nor to surrender any Hexagon Shares. Eligible Hexagon shareholders will receive a cash payment in lieu of fractional Octave Shares or Octave SDRs, which generally will be taxable. See the sections of this information statement entitled “Material U.S. Federal Income Tax Consequences,” “Material Irish Tax Consequences,” and “Material Swedish Tax Consequences.”</w:t>
      </w:r>
    </w:p>
    <w:p>
      <w:pPr>
        <w:spacing w:after="0" w:line="1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are not asking you for a proxy and you are requested not to send us a proxy. There is currently no trading market for Octave Shares, although a “when-issued” market in Octave Class B Ordinary Shares may develop after the record date for the Distribution.</w:t>
      </w:r>
    </w:p>
    <w:p>
      <w:pPr>
        <w:spacing w:after="0" w:line="12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We have applied to list the Octave Class B Ordinary Shares on the Nasdaq Global Select Market (“Nasdaq New York”) under the symbol “OCTV.” We have applied to temporarily trade the Octave SDRs that each represent one Octave Class B Ordinary Share on Nasdaq Stockholm AB (“Nasdaq Stockholm”) under the symbol “OCTV SDB.”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179070</wp:posOffset>
            </wp:positionV>
            <wp:extent cx="11912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IN REVIEWING THIS INFORMATION STATEMENT, YOU SHOULD CAREFULLY CONSIDER THE MATTERS DESCRIBED UNDER THE CAPTION “</w:t>
      </w:r>
      <w:r>
        <w:rPr>
          <w:rFonts w:ascii="Times New Roman" w:cs="Times New Roman" w:eastAsia="Times New Roman" w:hAnsi="Times New Roman"/>
          <w:sz w:val="16"/>
          <w:szCs w:val="16"/>
          <w:b w:val="1"/>
          <w:bCs w:val="1"/>
          <w:u w:val="single" w:color="auto"/>
          <w:color w:val="0000FF"/>
        </w:rPr>
        <w:t>RISK FACTORS</w:t>
      </w:r>
      <w:r>
        <w:rPr>
          <w:rFonts w:ascii="Times New Roman" w:cs="Times New Roman" w:eastAsia="Times New Roman" w:hAnsi="Times New Roman"/>
          <w:sz w:val="16"/>
          <w:szCs w:val="16"/>
          <w:b w:val="1"/>
          <w:bCs w:val="1"/>
          <w:color w:val="auto"/>
        </w:rPr>
        <w:t xml:space="preserve">” BEGINNING ON PAGE </w:t>
      </w:r>
      <w:r>
        <w:rPr>
          <w:rFonts w:ascii="Times New Roman" w:cs="Times New Roman" w:eastAsia="Times New Roman" w:hAnsi="Times New Roman"/>
          <w:sz w:val="16"/>
          <w:szCs w:val="16"/>
          <w:b w:val="1"/>
          <w:bCs w:val="1"/>
          <w:u w:val="single" w:color="auto"/>
          <w:color w:val="0000FF"/>
        </w:rPr>
        <w:t>20</w:t>
      </w:r>
      <w:r>
        <w:rPr>
          <w:rFonts w:ascii="Times New Roman" w:cs="Times New Roman" w:eastAsia="Times New Roman" w:hAnsi="Times New Roman"/>
          <w:sz w:val="16"/>
          <w:szCs w:val="16"/>
          <w:b w:val="1"/>
          <w:bCs w:val="1"/>
          <w:color w:val="auto"/>
        </w:rPr>
        <w:t>.</w:t>
      </w:r>
    </w:p>
    <w:p>
      <w:pPr>
        <w:spacing w:after="0" w:line="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1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THIS INFORMATION STATEMENT DOES NOT CONSTITUTE AN OFFER TO SELL OR THE SOLICITATION OF AN OFFER TO BUY ANY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of Hexagon with inquiries related to the Distribution of Octave Shares should contact Octave’s transfer and distribution agent, Computershare Trust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N.A.</w:t>
            </w:r>
            <w:r>
              <w:rPr>
                <w:rFonts w:ascii="Times New Roman" w:cs="Times New Roman" w:eastAsia="Times New Roman" w:hAnsi="Times New Roman"/>
                <w:sz w:val="16"/>
                <w:szCs w:val="16"/>
                <w:color w:val="auto"/>
              </w:rPr>
              <w:t>, at (866) 644 4127 and, with inquiries related to the Distribution of Octave SDRs, Skandinaviska Enskilda Banken AB, at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69"/>
        </w:trPr>
        <w:tc>
          <w:tcPr>
            <w:tcW w:w="470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43"/>
        </w:trPr>
        <w:tc>
          <w:tcPr>
            <w:tcW w:w="8360" w:type="dxa"/>
            <w:vAlign w:val="bottom"/>
            <w:gridSpan w:val="3"/>
          </w:tcPr>
          <w:p>
            <w:pPr>
              <w:jc w:val="center"/>
              <w:ind w:left="1844"/>
              <w:spacing w:after="0"/>
              <w:rPr>
                <w:sz w:val="20"/>
                <w:szCs w:val="20"/>
                <w:color w:val="auto"/>
              </w:rPr>
            </w:pPr>
            <w:r>
              <w:rPr>
                <w:rFonts w:ascii="Times New Roman" w:cs="Times New Roman" w:eastAsia="Times New Roman" w:hAnsi="Times New Roman"/>
                <w:sz w:val="14"/>
                <w:szCs w:val="14"/>
                <w:b w:val="1"/>
                <w:bCs w:val="1"/>
                <w:color w:val="auto"/>
              </w:rPr>
              <w:t>This information statement was first made available to Hexagon shareholders on or about</w:t>
            </w: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24"/>
                <w:szCs w:val="24"/>
                <w:color w:val="auto"/>
              </w:rPr>
            </w:pPr>
          </w:p>
        </w:tc>
      </w:tr>
      <w:tr>
        <w:trPr>
          <w:trHeight w:val="324"/>
        </w:trPr>
        <w:tc>
          <w:tcPr>
            <w:tcW w:w="6560" w:type="dxa"/>
            <w:vAlign w:val="bottom"/>
            <w:gridSpan w:val="2"/>
          </w:tcPr>
          <w:p>
            <w:pPr>
              <w:jc w:val="center"/>
              <w:ind w:left="3644"/>
              <w:spacing w:after="0"/>
              <w:rPr>
                <w:sz w:val="20"/>
                <w:szCs w:val="20"/>
                <w:color w:val="auto"/>
              </w:rPr>
            </w:pPr>
            <w:r>
              <w:rPr>
                <w:rFonts w:ascii="Times New Roman" w:cs="Times New Roman" w:eastAsia="Times New Roman" w:hAnsi="Times New Roman"/>
                <w:sz w:val="14"/>
                <w:szCs w:val="14"/>
                <w:b w:val="1"/>
                <w:bCs w:val="1"/>
                <w:color w:val="auto"/>
              </w:rPr>
              <w:t>The date of this information statement is</w:t>
            </w:r>
          </w:p>
        </w:tc>
        <w:tc>
          <w:tcPr>
            <w:tcW w:w="1800" w:type="dxa"/>
            <w:vAlign w:val="bottom"/>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83"/>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ind w:left="340" w:right="20" w:hanging="332"/>
        <w:spacing w:after="0" w:line="283" w:lineRule="auto"/>
        <w:tabs>
          <w:tab w:leader="none" w:pos="33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alter the legal status of Octave Intelligence Limited under Irish law from a private limited company by re-registering as a public limited company and changing the name of the Registrant from Octave Intelligence Limited to Octave Intelligence plc prior to the effectiveness of the registration statement of which this information statement forms a part.</w:t>
      </w:r>
    </w:p>
    <w:p>
      <w:pPr>
        <w:sectPr>
          <w:pgSz w:w="11900" w:h="16838" w:orient="portrait"/>
          <w:cols w:equalWidth="0" w:num="1">
            <w:col w:w="11240"/>
          </w:cols>
          <w:pgMar w:left="320" w:top="846" w:right="339" w:bottom="1440" w:gutter="0" w:footer="0" w:header="0"/>
          <w:type w:val="continuous"/>
        </w:sectPr>
      </w:pPr>
    </w:p>
    <w:bookmarkStart w:id="8" w:name="page9"/>
    <w:bookmarkEnd w:id="8"/>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Presentation of Information</w:t>
            </w:r>
          </w:p>
        </w:tc>
        <w:tc>
          <w:tcPr>
            <w:tcW w:w="8360" w:type="dxa"/>
            <w:vAlign w:val="bottom"/>
            <w:gridSpan w:val="17"/>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00" w:type="dxa"/>
            <w:vAlign w:val="bottom"/>
            <w:gridSpan w:val="8"/>
            <w:vMerge w:val="continue"/>
          </w:tcPr>
          <w:p>
            <w:pPr>
              <w:spacing w:after="0"/>
              <w:rPr>
                <w:sz w:val="15"/>
                <w:szCs w:val="15"/>
                <w:color w:val="auto"/>
              </w:rPr>
            </w:pPr>
          </w:p>
        </w:tc>
        <w:tc>
          <w:tcPr>
            <w:tcW w:w="8360" w:type="dxa"/>
            <w:vAlign w:val="bottom"/>
            <w:gridSpan w:val="17"/>
            <w:vMerge w:val="continue"/>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71"/>
              </w:rPr>
              <w:t>ii</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Regarding the Trademarks/Market and Industry Data</w:t>
            </w: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9"/>
              </w:rPr>
              <w:t>iii</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Auditor Independence</w:t>
            </w:r>
          </w:p>
        </w:tc>
        <w:tc>
          <w:tcPr>
            <w:tcW w:w="6140" w:type="dxa"/>
            <w:vAlign w:val="bottom"/>
            <w:gridSpan w:val="5"/>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5"/>
              </w:rPr>
              <w:t>iv</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 Distribution</w:t>
            </w:r>
          </w:p>
        </w:tc>
        <w:tc>
          <w:tcPr>
            <w:tcW w:w="6980" w:type="dxa"/>
            <w:vAlign w:val="bottom"/>
            <w:gridSpan w:val="8"/>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v</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Summary</w:t>
            </w:r>
          </w:p>
        </w:tc>
        <w:tc>
          <w:tcPr>
            <w:tcW w:w="6980" w:type="dxa"/>
            <w:vAlign w:val="bottom"/>
            <w:gridSpan w:val="8"/>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9440" w:type="dxa"/>
            <w:vAlign w:val="bottom"/>
            <w:gridSpan w:val="23"/>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Cautionary Statement Concerning Forward-Looking Statements</w:t>
            </w:r>
          </w:p>
        </w:tc>
        <w:tc>
          <w:tcPr>
            <w:tcW w:w="5740" w:type="dxa"/>
            <w:vAlign w:val="bottom"/>
            <w:gridSpan w:val="4"/>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The Separation and the Distribution</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Capitalization</w:t>
            </w:r>
          </w:p>
        </w:tc>
        <w:tc>
          <w:tcPr>
            <w:tcW w:w="1560" w:type="dxa"/>
            <w:vAlign w:val="bottom"/>
            <w:tcBorders>
              <w:top w:val="single" w:sz="8" w:color="0000FF"/>
            </w:tcBorders>
            <w:gridSpan w:val="7"/>
          </w:tcPr>
          <w:p>
            <w:pPr>
              <w:spacing w:after="0"/>
              <w:rPr>
                <w:sz w:val="18"/>
                <w:szCs w:val="18"/>
                <w:color w:val="auto"/>
              </w:rPr>
            </w:pPr>
          </w:p>
        </w:tc>
        <w:tc>
          <w:tcPr>
            <w:tcW w:w="7780" w:type="dxa"/>
            <w:vAlign w:val="bottom"/>
            <w:gridSpan w:val="15"/>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Business of Octave</w:t>
            </w:r>
          </w:p>
        </w:tc>
        <w:tc>
          <w:tcPr>
            <w:tcW w:w="3420" w:type="dxa"/>
            <w:vAlign w:val="bottom"/>
            <w:tcBorders>
              <w:top w:val="single" w:sz="8" w:color="0000FF"/>
            </w:tcBorders>
            <w:gridSpan w:val="18"/>
          </w:tcPr>
          <w:p>
            <w:pPr>
              <w:spacing w:after="0"/>
              <w:rPr>
                <w:sz w:val="18"/>
                <w:szCs w:val="18"/>
                <w:color w:val="auto"/>
              </w:rPr>
            </w:pPr>
          </w:p>
        </w:tc>
        <w:tc>
          <w:tcPr>
            <w:tcW w:w="5540" w:type="dxa"/>
            <w:vAlign w:val="bottom"/>
            <w:gridSpan w:val="3"/>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Corporate Governance and Management</w:t>
            </w:r>
          </w:p>
        </w:tc>
        <w:tc>
          <w:tcPr>
            <w:tcW w:w="3900" w:type="dxa"/>
            <w:vAlign w:val="bottom"/>
            <w:gridSpan w:val="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
        </w:trPr>
        <w:tc>
          <w:tcPr>
            <w:tcW w:w="168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20" w:type="dxa"/>
            <w:vAlign w:val="bottom"/>
          </w:tcPr>
          <w:p>
            <w:pPr>
              <w:spacing w:after="0"/>
              <w:rPr>
                <w:sz w:val="18"/>
                <w:szCs w:val="18"/>
                <w:color w:val="auto"/>
              </w:rPr>
            </w:pPr>
          </w:p>
        </w:tc>
        <w:tc>
          <w:tcPr>
            <w:tcW w:w="7480" w:type="dxa"/>
            <w:vAlign w:val="bottom"/>
            <w:gridSpan w:val="11"/>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112</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500" w:type="dxa"/>
            <w:vAlign w:val="bottom"/>
            <w:gridSpan w:val="1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120</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8560" w:type="dxa"/>
            <w:vAlign w:val="bottom"/>
            <w:gridSpan w:val="18"/>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126</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127</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w:t>
            </w:r>
          </w:p>
        </w:tc>
        <w:tc>
          <w:tcPr>
            <w:tcW w:w="300" w:type="dxa"/>
            <w:vAlign w:val="bottom"/>
          </w:tcPr>
          <w:p>
            <w:pPr>
              <w:spacing w:after="0"/>
              <w:rPr>
                <w:sz w:val="18"/>
                <w:szCs w:val="18"/>
                <w:color w:val="auto"/>
              </w:rPr>
            </w:pPr>
          </w:p>
        </w:tc>
        <w:tc>
          <w:tcPr>
            <w:tcW w:w="6520" w:type="dxa"/>
            <w:vAlign w:val="bottom"/>
            <w:gridSpan w:val="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133</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Material Irish Tax Consequences</w:t>
            </w:r>
          </w:p>
        </w:tc>
        <w:tc>
          <w:tcPr>
            <w:tcW w:w="1160" w:type="dxa"/>
            <w:vAlign w:val="bottom"/>
            <w:gridSpan w:val="9"/>
          </w:tcPr>
          <w:p>
            <w:pPr>
              <w:spacing w:after="0"/>
              <w:rPr>
                <w:sz w:val="18"/>
                <w:szCs w:val="18"/>
                <w:color w:val="auto"/>
              </w:rPr>
            </w:pPr>
          </w:p>
        </w:tc>
        <w:tc>
          <w:tcPr>
            <w:tcW w:w="6820" w:type="dxa"/>
            <w:vAlign w:val="bottom"/>
            <w:gridSpan w:val="7"/>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140</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Material Swedish Tax Consequences</w:t>
            </w:r>
          </w:p>
        </w:tc>
        <w:tc>
          <w:tcPr>
            <w:tcW w:w="7700" w:type="dxa"/>
            <w:vAlign w:val="bottom"/>
            <w:gridSpan w:val="14"/>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144</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Material Indebtedness</w:t>
            </w:r>
          </w:p>
        </w:tc>
        <w:tc>
          <w:tcPr>
            <w:tcW w:w="768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149</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Description of Our Share Capital</w:t>
            </w:r>
          </w:p>
        </w:tc>
        <w:tc>
          <w:tcPr>
            <w:tcW w:w="768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150</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Description of Swedish Depository Receipts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167</w:t>
            </w:r>
          </w:p>
        </w:tc>
        <w:tc>
          <w:tcPr>
            <w:tcW w:w="0" w:type="dxa"/>
            <w:vAlign w:val="bottom"/>
          </w:tcPr>
          <w:p>
            <w:pPr>
              <w:spacing w:after="0"/>
              <w:rPr>
                <w:sz w:val="1"/>
                <w:szCs w:val="1"/>
                <w:color w:val="auto"/>
              </w:rPr>
            </w:pPr>
          </w:p>
        </w:tc>
      </w:tr>
      <w:tr>
        <w:trPr>
          <w:trHeight w:val="20"/>
        </w:trPr>
        <w:tc>
          <w:tcPr>
            <w:tcW w:w="2880" w:type="dxa"/>
            <w:vAlign w:val="bottom"/>
            <w:gridSpan w:val="1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Shareholder Matters</w:t>
            </w:r>
          </w:p>
        </w:tc>
        <w:tc>
          <w:tcPr>
            <w:tcW w:w="30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170</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Indemnification of Directors and Officers</w:t>
            </w:r>
          </w:p>
        </w:tc>
        <w:tc>
          <w:tcPr>
            <w:tcW w:w="30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171</w:t>
            </w:r>
          </w:p>
        </w:tc>
        <w:tc>
          <w:tcPr>
            <w:tcW w:w="0" w:type="dxa"/>
            <w:vAlign w:val="bottom"/>
          </w:tcPr>
          <w:p>
            <w:pPr>
              <w:spacing w:after="0"/>
              <w:rPr>
                <w:sz w:val="1"/>
                <w:szCs w:val="1"/>
                <w:color w:val="auto"/>
              </w:rPr>
            </w:pPr>
          </w:p>
        </w:tc>
      </w:tr>
      <w:tr>
        <w:trPr>
          <w:trHeight w:val="20"/>
        </w:trPr>
        <w:tc>
          <w:tcPr>
            <w:tcW w:w="2880" w:type="dxa"/>
            <w:vAlign w:val="bottom"/>
            <w:gridSpan w:val="1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Where You Can Find More Information</w:t>
            </w:r>
          </w:p>
        </w:tc>
        <w:tc>
          <w:tcPr>
            <w:tcW w:w="120" w:type="dxa"/>
            <w:vAlign w:val="bottom"/>
          </w:tcPr>
          <w:p>
            <w:pPr>
              <w:spacing w:after="0"/>
              <w:rPr>
                <w:sz w:val="18"/>
                <w:szCs w:val="18"/>
                <w:color w:val="auto"/>
              </w:rPr>
            </w:pPr>
          </w:p>
        </w:tc>
        <w:tc>
          <w:tcPr>
            <w:tcW w:w="7360" w:type="dxa"/>
            <w:vAlign w:val="bottom"/>
            <w:gridSpan w:val="10"/>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172</w:t>
            </w:r>
          </w:p>
        </w:tc>
        <w:tc>
          <w:tcPr>
            <w:tcW w:w="0" w:type="dxa"/>
            <w:vAlign w:val="bottom"/>
          </w:tcPr>
          <w:p>
            <w:pPr>
              <w:spacing w:after="0"/>
              <w:rPr>
                <w:sz w:val="1"/>
                <w:szCs w:val="1"/>
                <w:color w:val="auto"/>
              </w:rPr>
            </w:pPr>
          </w:p>
        </w:tc>
      </w:tr>
      <w:tr>
        <w:trPr>
          <w:trHeight w:val="20"/>
        </w:trPr>
        <w:tc>
          <w:tcPr>
            <w:tcW w:w="2880" w:type="dxa"/>
            <w:vAlign w:val="bottom"/>
            <w:gridSpan w:val="1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Index To Combined Financial Statements</w:t>
            </w:r>
          </w:p>
        </w:tc>
        <w:tc>
          <w:tcPr>
            <w:tcW w:w="7360" w:type="dxa"/>
            <w:vAlign w:val="bottom"/>
            <w:gridSpan w:val="10"/>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0000FF"/>
                <w:w w:val="71"/>
              </w:rPr>
              <w:t>F-1</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9" w:name="page10"/>
    <w:bookmarkEnd w:id="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context otherwise requires, all references to “we,” “us,” “our,” “Octave,” or the “Company” refer to Octave Intelligence plc, together with its direct and indirect subsidiaries.</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Octave is currently an Irish incorporated private company limited by shares, but will be re-registered as a public limited company prior to the Distribution (as defined below). Octave was established as a shelf company on July 5, 2017, as a private company limited by shares and was recently de-shelved to hold the Octave Business (as defined below) of Hexagon AB, a Swedish corporation (“Hexagon”). Octave has had no significant operations or activity other than its initial issuance of shares for nominal consideration and organizing, staffing, and preparing for the separation and distribution from Hexagon (the “Distribution”), including by entering into certain agreements in connection with the Distribution. Prior to the Distribution, Hexagon will undergo a series of transactions that will generally result in (a) Octave directly or indirectly owning, assuming, or retaining certain assets and liabilities of Hexagon and its subsidiaries related to the assets and liabilities collectively comprising (i) Hexagon’s Asset Lifecycle Intelligence (“ALI”) business, which focuses on producing insights across the asset lifecycle to design, construct and operate more profitable, safe and sustainable industrial facilities; (ii) Hexagon’s Safety, Infrastructure &amp; Geospatial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(collectively, the “Octave Business”) and (b) Hexagon directly or indirectly owning, assuming, or retaining all other assets and liabilities of Hexagon. Unless context otherwise requires, where we describe in this information statement the business activities of Octave, we do so as if the foregoing transactions have already occurred.</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in this information statement as to the contents of any contract, agreement, or other document are qualified in all respects by reference to the full text of such contract, agreement, or document. If we have filed any of those contracts, agreements, or other documents as an exhibit to this information statement, you are urged to read the full text of such contract, agreement, or document for a more complete understanding of the document or matter involved.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not assume that the information contained in this information statement is accurate as of any date other than the date set forth on the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THE TRADEMARKS/MARKET AND INDUSTRY DATA</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own or have rights to use the various trademarks, logos, service marks, and trade names that we use in conjunction with the operation of our business. Solely for convenience, the trademarks, service marks, trade names, and copyrights referred to in this information statement are listed without the ™, ®, or</w:t>
      </w:r>
    </w:p>
    <w:p>
      <w:pPr>
        <w:ind w:firstLine="8"/>
        <w:spacing w:after="0" w:line="260" w:lineRule="auto"/>
        <w:tabs>
          <w:tab w:leader="none" w:pos="1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symbols, but such references do not constitute a waiver of any rights that might be associated with the respective trademarks, service marks, trade names, and copyrights included or referred to in this information statement.</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data and certain other statistical information used throughout this information statement are based on independent industry publications, government publications, or other published independent sources. These sources generally state that the information they provide has been obtained from sources believed to be reliable, but that the accuracy and completeness of the information are not guaranteed. We believe that the surveys and market research others have performed are reliable, but we have not independently verified this information. Some data and certain other statistical information are also based on our good faith estimates.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many cases, we have based certain statements contained in this information statement regarding our industry and our position in the industry on certain beliefs and assumptions concerning our customers and competitors. These beliefs and assumptions are based on our experience in the industry and our own investigation of market conditions. While Octave’s management believes these beliefs and assumptions are reasonable, we cannot assure you as to the accuracy of any such beliefs and assumptions, and such beliefs and assumptions may change. Certain terms should be construed specific to the context provided and may vary from how other industry participants may use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an initial registration, compliance with all independence rules of the United States Securities and Exchange Commission (the “SEC”) and the Public Company Accounting Oversight Board (United States) (“PCAOB”) are required during the period covering the most recent annual financial statements included in the registration statement and subsequent periods. In addition, compliance with applicable home country independence rules and the SEC’s general standard of independence in Rule 2-01(b) of Regulation S-X is required for all prior periods included in the registration statement.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Financial Statements of Octave at December 31, 2024 and 2023, and for each of the three years in the period ended December 31, 2024, appearing in this registration statement have been audited by PricewaterhouseCoopers AB (“PwC”), an independent registered public accounting firm, as set forth in their report thereon appearing elsewhere herein.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PwC completed an independence assessment to evaluate the services and relationships with Octave and its affiliates that may bear on PwC’s independence under the SEC and PCAOB independence rules for the audit period commencing January 1, 2022. As described below, a service and a relationship were found to exist within the audit period which are not in accordance with the auditor independence standards of Regulation S-X and the PCAOB.</w:t>
      </w:r>
    </w:p>
    <w:p>
      <w:pPr>
        <w:spacing w:after="0" w:line="126" w:lineRule="exact"/>
        <w:rPr>
          <w:sz w:val="20"/>
          <w:szCs w:val="20"/>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October 2024 to December 2024, a member firm of PricewaterhouseCoopers International Limited (“PwC Member Firm”) performed employee type activities in connection with the provision of a non-audit service.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2023 to February 2024, a business relationship existed between a PwC Member Firm and an affiliate of Octave whereby the two parties participated in joint webinars.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PwC provided an overview to the Audit Committee of Hexagon’s board of directors and the executive management team of Hexagon of the facts and circumstances surrounding the service and relationship including the entities involved, the nature of the service and relationship, the immateriality, and the period over which service and relationship existed.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Considering the facts presented, the Audit Committee of Hexagon’s board of directors and PwC have concluded (i) that the relationships did not and would not impair PwC’s application of objective and impartial judgment on any matter encompassed within PwC’s audits of Octave’s Combined Financial Statements as of and for the years ended December 31, 2024 and 2023, and (ii) that no reasonable investor would conclude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DISTRIBUTION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the terms of the Distribution. Please see “The Separation and the Distribution” for a more detailed description of the matters described below.</w:t>
      </w:r>
    </w:p>
    <w:p>
      <w:pPr>
        <w:spacing w:after="0" w:line="104"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Octave, and why is Hexagon separating the Octave Business and distributing Octave Shares?</w:t>
      </w:r>
    </w:p>
    <w:p>
      <w:pPr>
        <w:spacing w:after="0" w:line="175" w:lineRule="exact"/>
        <w:rPr>
          <w:sz w:val="20"/>
          <w:szCs w:val="20"/>
          <w:color w:val="auto"/>
        </w:rPr>
      </w:pPr>
    </w:p>
    <w:p>
      <w:pPr>
        <w:jc w:val="both"/>
        <w:ind w:left="660" w:hanging="652"/>
        <w:spacing w:after="0" w:line="255" w:lineRule="auto"/>
        <w:tabs>
          <w:tab w:leader="none" w:pos="6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currently an Irish incorporated private company limited by shares, but will be re-registered as an public limited company prior to the Distribution. Octave was established as a shelf company in Ireland as a private company limited by shares and was recently de-shelved and renamed to hold the Octave Business in connection with the separation. Prior to the Distribution, the Octave Business was held and conducted within Hexagon. The separation of Octave from Hexagon and the Distribution are intended to provide you with equity securities in two separate, independent public companies, each of which will be able to focus on its respective business strategies. Hexagon and Octave believe the Distribution will enable each company to pursue focused growth and investment strategies in its respective areas of expertise, with the goal of enhancing the long-term performance potential of each business, as further discussed in “The Separation and the Distribution.”</w:t>
      </w:r>
    </w:p>
    <w:p>
      <w:pPr>
        <w:spacing w:after="0" w:line="13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document?</w:t>
      </w:r>
    </w:p>
    <w:p>
      <w:pPr>
        <w:ind w:left="640" w:hanging="632"/>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receiving this information statement because you are a holder of shares of Hexagon capital stock. If you remain a holder of Hexagon Class</w:t>
      </w:r>
    </w:p>
    <w:p>
      <w:pPr>
        <w:spacing w:after="0" w:line="19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Shares and/or Hexagon Class B Shares as of the record date for the Distribution, you will be entitled to receive Octave Class A Ordinary Shares for every Hexagon Class A Shares and Octave Class B Ordinary Shares for every Hexagon Class B</w:t>
      </w:r>
    </w:p>
    <w:p>
      <w:pPr>
        <w:ind w:left="660"/>
        <w:spacing w:after="0" w:line="260" w:lineRule="auto"/>
        <w:rPr>
          <w:sz w:val="20"/>
          <w:szCs w:val="20"/>
          <w:color w:val="auto"/>
        </w:rPr>
      </w:pPr>
      <w:r>
        <w:rPr>
          <w:rFonts w:ascii="Times New Roman" w:cs="Times New Roman" w:eastAsia="Times New Roman" w:hAnsi="Times New Roman"/>
          <w:sz w:val="18"/>
          <w:szCs w:val="18"/>
          <w:color w:val="auto"/>
        </w:rPr>
        <w:t>Shares held as of the record date. This information statement is intended to help you understand how the Distribution will affect your investment in Hexagon and your investment in Octave after the Distribution.</w:t>
      </w:r>
    </w:p>
    <w:p>
      <w:pPr>
        <w:spacing w:after="0" w:line="12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Distribution?</w:t>
      </w:r>
    </w:p>
    <w:p>
      <w:pPr>
        <w:spacing w:after="0" w:line="175" w:lineRule="exact"/>
        <w:rPr>
          <w:sz w:val="20"/>
          <w:szCs w:val="20"/>
          <w:color w:val="auto"/>
        </w:rPr>
      </w:pPr>
    </w:p>
    <w:p>
      <w:pPr>
        <w:jc w:val="both"/>
        <w:ind w:left="660" w:hanging="652"/>
        <w:spacing w:after="0" w:line="258" w:lineRule="auto"/>
        <w:tabs>
          <w:tab w:leader="none" w:pos="6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is the method by which Hexagon will separate the Octave Business from Hexagon’s other business, creating two separate, publicly-traded companies. In the Distribution, Hexagon will distribute to its shareholders as of the record date, on a pro rata basis, Octave Class A Ordinary Shares and Octave Class B Ordinary Shares. Following the Distribution, Octave will be a separate company from Hexagon, and Hexagon will not retain any ownership interest in Octave. The number of shares of Hexagon capital stock you own will not change as a result of the Distribution.</w:t>
      </w:r>
    </w:p>
    <w:p>
      <w:pPr>
        <w:spacing w:after="0" w:line="12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being distributed in the Distribution?</w:t>
      </w:r>
    </w:p>
    <w:p>
      <w:pPr>
        <w:spacing w:after="0" w:line="175" w:lineRule="exact"/>
        <w:rPr>
          <w:sz w:val="20"/>
          <w:szCs w:val="20"/>
          <w:color w:val="auto"/>
        </w:rPr>
      </w:pPr>
    </w:p>
    <w:p>
      <w:pPr>
        <w:jc w:val="both"/>
        <w:ind w:left="660" w:hanging="652"/>
        <w:spacing w:after="0" w:line="255" w:lineRule="auto"/>
        <w:tabs>
          <w:tab w:leader="none" w:pos="6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Octave Class A Ordinary Shares and Octave Class B Ordinary Shares will be distributed in the Distribution based upon the number of Hexagon Class A Shares and Hexagon Class B Shares outstanding on the record date. The Octave Class A Ordinary Shares and Octave Class B Ordinary Shares to be distributed by Hexagon will constitute all of its issued share capital immediately after the Distribution. Non-affiliate holders of Hexagon Class B Shares will receive Octave Class B Ordinary Shares by way of Skandinaviska Enskilda Banken AB (“SEB”) issuing the Octave SDRs that each represent one underlying Octave Class B Ordinary Share into such holders’ Euroclear Sweden accounts. For more information on the Distribution and the shares being distributed in the Distribution, see “How will Hexagon distribute Octave Shares to me?” and “Description of Our Share Capital.”</w:t>
      </w:r>
    </w:p>
    <w:p>
      <w:pPr>
        <w:spacing w:after="0" w:line="131"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Which business and assets will transfer to Octave and which business and assets will remain with Hexagon?</w:t>
      </w:r>
    </w:p>
    <w:p>
      <w:pPr>
        <w:spacing w:after="0" w:line="189" w:lineRule="exact"/>
        <w:rPr>
          <w:sz w:val="20"/>
          <w:szCs w:val="20"/>
          <w:color w:val="auto"/>
        </w:rPr>
      </w:pPr>
    </w:p>
    <w:p>
      <w:pPr>
        <w:ind w:left="660" w:right="60" w:hanging="652"/>
        <w:spacing w:after="0" w:line="238" w:lineRule="auto"/>
        <w:tabs>
          <w:tab w:leader="none" w:pos="65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Following the Distribution, Octave will own and operate the assets and be responsible for the liabilities collectively comprising (i) Hexagon’s ALI business, which focuses on producing insights across the asset lifecycle to design, construct and operate more profitable, safe and sustainable industrial facilities; (ii) Hexagon’s SIG business, which focuses on public and physical security by improving the resilience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240"/>
          </w:cols>
          <w:pgMar w:left="320" w:top="1440" w:right="339" w:bottom="1440" w:gutter="0" w:footer="0" w:header="0"/>
        </w:sectPr>
      </w:pPr>
    </w:p>
    <w:bookmarkStart w:id="13" w:name="page14"/>
    <w:bookmarkEnd w:id="13"/>
    <w:p>
      <w:pPr>
        <w:ind w:left="660" w:right="20"/>
        <w:spacing w:after="0" w:line="245" w:lineRule="auto"/>
        <w:rPr>
          <w:sz w:val="20"/>
          <w:szCs w:val="20"/>
          <w:color w:val="auto"/>
        </w:rPr>
      </w:pPr>
      <w:r>
        <w:rPr>
          <w:rFonts w:ascii="Times New Roman" w:cs="Times New Roman" w:eastAsia="Times New Roman" w:hAnsi="Times New Roman"/>
          <w:sz w:val="18"/>
          <w:szCs w:val="18"/>
          <w:color w:val="auto"/>
        </w:rPr>
        <w:t>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w:t>
      </w:r>
    </w:p>
    <w:p>
      <w:pPr>
        <w:spacing w:after="0" w:line="14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Following the Distribution, Hexagon will continue to hold, among other assets, those related to measurement technologies, with a comprehensive suite of metrology, reality capture, and positioning solutions.</w:t>
      </w:r>
    </w:p>
    <w:p>
      <w:pPr>
        <w:spacing w:after="0" w:line="104"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in the Distribution?</w:t>
      </w:r>
    </w:p>
    <w:p>
      <w:pPr>
        <w:spacing w:after="0" w:line="175" w:lineRule="exact"/>
        <w:rPr>
          <w:sz w:val="20"/>
          <w:szCs w:val="20"/>
          <w:color w:val="auto"/>
        </w:rPr>
      </w:pPr>
    </w:p>
    <w:p>
      <w:pPr>
        <w:jc w:val="both"/>
        <w:ind w:left="660" w:hanging="652"/>
        <w:spacing w:after="0" w:line="256" w:lineRule="auto"/>
        <w:tabs>
          <w:tab w:leader="none" w:pos="6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Hexagon Class A Shares will receive a pro rata distribution of Octave Class A Ordinary Shares, and holders of Hexagon Class B Shares will receive a pro rata distribution of Octave Class B Ordinary Shares. However, non-affiliate holders of Hexagon Class B Shares will receive Octave Class B Ordinary Shares by way of SEB issuing the Octave SDRs that each represent one underlying Octave Class B Ordinary Share into such holders’ Euroclear Sweden accounts. As a result of the Distribution, the number of shares of Hexagon you hold and your proportionate interest in Hexagon will not change. For a more detailed description, see “How will Hexagon distribute Octave Shares to me?” and “The Separation and the Distribution.”</w:t>
      </w:r>
    </w:p>
    <w:p>
      <w:pPr>
        <w:spacing w:after="0" w:line="12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Hexagon distribute Octave Shares to me?</w:t>
      </w:r>
    </w:p>
    <w:p>
      <w:pPr>
        <w:spacing w:after="0" w:line="175" w:lineRule="exact"/>
        <w:rPr>
          <w:sz w:val="20"/>
          <w:szCs w:val="20"/>
          <w:color w:val="auto"/>
        </w:rPr>
      </w:pPr>
    </w:p>
    <w:p>
      <w:pPr>
        <w:jc w:val="both"/>
        <w:ind w:left="660" w:hanging="652"/>
        <w:spacing w:after="0" w:line="254" w:lineRule="auto"/>
        <w:tabs>
          <w:tab w:leader="none" w:pos="6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Non-affiliate holders of Hexagon Class B Shares on the record date will be entitled to Octave Class B Ordinary Shares pursuant to the Distribution. Such Octave Class B Ordinary Shares will be registered in the name of Cede &amp; Co, as nominee for The Depositary Trust Company (“DTC”), and deposited into the DTC participant account of a nominee of SEB, as Octave SDR depositary, and SEB will then issue the Octave SDRs representing the underlying Octave Class B Ordinary Shares into the Euroclear Sweden accounts of the relevant holders of Hexagon Class B Shares. Affiliate holders of Hexagon Class B Shares on the record date will receive Octave Class B Ordinary Shares, and holders of Hexagon Class A Shares on the record date will receive Octave Class A Ordinary Shares. Such Octave Class B Ordinary Shares to be received by affiliates of Hexagon and Octave Class A Ordinary Shares will be recorded in book-entry form with the transfer agent. See “The Separation and the Distribution—Manner of Effecting the Distribution” for a more detailed explanation.</w:t>
      </w:r>
    </w:p>
    <w:p>
      <w:pPr>
        <w:spacing w:after="0" w:line="134"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record date for the Distribution?</w:t>
      </w:r>
    </w:p>
    <w:p>
      <w:pPr>
        <w:spacing w:after="0" w:line="175" w:lineRule="exact"/>
        <w:rPr>
          <w:sz w:val="20"/>
          <w:szCs w:val="20"/>
          <w:color w:val="auto"/>
        </w:rPr>
      </w:pPr>
    </w:p>
    <w:p>
      <w:pPr>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Record ownership will be determined as of , which we refer to as the “record date.” The person in whose name Hexagon Shares are registered as of the record date is the person who is entitled to Octave Shares in the Distribution.</w:t>
      </w:r>
    </w:p>
    <w:p>
      <w:pPr>
        <w:spacing w:after="0" w:line="104"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Distribution occur?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Record</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ownership</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will be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determined as</w:t>
            </w:r>
          </w:p>
        </w:tc>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record date on</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the Distribution is expected to be completed</w:t>
            </w:r>
          </w:p>
        </w:tc>
      </w:tr>
      <w:tr>
        <w:trPr>
          <w:trHeight w:val="216"/>
        </w:trPr>
        <w:tc>
          <w:tcPr>
            <w:tcW w:w="42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on</w:t>
            </w:r>
          </w:p>
        </w:tc>
        <w:tc>
          <w:tcPr>
            <w:tcW w:w="640" w:type="dxa"/>
            <w:vAlign w:val="bottom"/>
          </w:tcPr>
          <w:p>
            <w:pPr>
              <w:spacing w:after="0"/>
              <w:rPr>
                <w:sz w:val="18"/>
                <w:szCs w:val="18"/>
                <w:color w:val="auto"/>
              </w:rPr>
            </w:pPr>
          </w:p>
        </w:tc>
        <w:tc>
          <w:tcPr>
            <w:tcW w:w="11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and the Octave SDRs are expected to be delivered to the non-affiliate holders of Hexagon Class B</w:t>
            </w:r>
          </w:p>
        </w:tc>
      </w:tr>
      <w:tr>
        <w:trPr>
          <w:trHeight w:val="216"/>
        </w:trPr>
        <w:tc>
          <w:tcPr>
            <w:tcW w:w="42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on</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Octave Class A Ordinary Shares will be delivered to holders of Hexagon Class A Shares and Octave Class B</w:t>
            </w:r>
          </w:p>
        </w:tc>
      </w:tr>
      <w:tr>
        <w:trPr>
          <w:trHeight w:val="234"/>
        </w:trPr>
        <w:tc>
          <w:tcPr>
            <w:tcW w:w="420" w:type="dxa"/>
            <w:vAlign w:val="bottom"/>
          </w:tcPr>
          <w:p>
            <w:pPr>
              <w:spacing w:after="0"/>
              <w:rPr>
                <w:sz w:val="20"/>
                <w:szCs w:val="20"/>
                <w:color w:val="auto"/>
              </w:rPr>
            </w:pPr>
          </w:p>
        </w:tc>
        <w:tc>
          <w:tcPr>
            <w:tcW w:w="1082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w w:val="99"/>
              </w:rPr>
              <w:t>Ordinary Shares will be delivered to holders of Hexagon Class B Shares that are Hexagon affiliates in book-entry form via Octave’s transfer agent.</w:t>
            </w:r>
          </w:p>
        </w:tc>
      </w:tr>
    </w:tbl>
    <w:p>
      <w:pPr>
        <w:spacing w:after="0" w:line="140"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Hexagon decide to cancel the Distribution?</w:t>
      </w:r>
    </w:p>
    <w:p>
      <w:pPr>
        <w:spacing w:after="0" w:line="175"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No, the shareholders of Hexagon resolved at the general meeting on , to approve the Distribution, among other related matters. As a result, while Hexagon retains discretion as to the timing of the Distribution, which must be completed before the annual general meeting following the general meeting at which Hexagon shareholders approved the Distribution, Hexagon may not cancel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240"/>
          </w:cols>
          <w:pgMar w:left="320" w:top="1404" w:right="339" w:bottom="1440" w:gutter="0" w:footer="0" w:header="0"/>
        </w:sectPr>
      </w:pPr>
    </w:p>
    <w:bookmarkStart w:id="14" w:name="page15"/>
    <w:bookmarkEnd w:id="14"/>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the relationship between Hexagon and Octave be following the Distribution?</w:t>
      </w:r>
    </w:p>
    <w:p>
      <w:pPr>
        <w:spacing w:after="0" w:line="175" w:lineRule="exact"/>
        <w:rPr>
          <w:sz w:val="20"/>
          <w:szCs w:val="20"/>
          <w:color w:val="auto"/>
        </w:rPr>
      </w:pPr>
    </w:p>
    <w:p>
      <w:pPr>
        <w:jc w:val="both"/>
        <w:ind w:left="660" w:hanging="652"/>
        <w:spacing w:after="0" w:line="258" w:lineRule="auto"/>
        <w:tabs>
          <w:tab w:leader="none" w:pos="6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Octave will be a separate public company and Hexagon will have no continuing interest in the share capital of Octave. In connection with the Distribution, Octave and Hexagon will enter into a distribution agreement (the “Distribution Agreement”), and ancillary agreements to include arrangements with respect to employee matters (the “Employee Matters Agreement”), tax matters (the “Tax Disaffiliation Agreement”), transition services (the “Transition Services Agreement”), and other agreements for the purpose of accomplishing the separation and Distribution of Octave’s issued share capital to Hexagon’s shareholders.</w:t>
      </w:r>
    </w:p>
    <w:p>
      <w:pPr>
        <w:spacing w:after="0" w:line="129"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will govern Octave’s relationship with Hexagon subsequent to the Distribution and will provide for the allocation of employee benefit, tax, and other liabilities and obligations attributable to periods prior to, at, and after the Distribution. These agreements also will include arrangements with respect to employment matters under the Employee Matters Agreement, transition services under the Transition Services Agreement, and a number of ongoing commercial relationships. The Distribution Agreement will provide that Octave and Hexagon will provide each other with appropriate indemnities with respect to liabilities arising out of the business being transferred to Octave by Hexagon. Octave will also be party to other arrangements with Hexagon. See “Certain Relationships and Related Party Transactions.”</w:t>
      </w:r>
    </w:p>
    <w:p>
      <w:pPr>
        <w:spacing w:after="0" w:line="129"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have to do to participate in the Distribution?</w:t>
      </w:r>
    </w:p>
    <w:p>
      <w:pPr>
        <w:spacing w:after="0" w:line="175" w:lineRule="exact"/>
        <w:rPr>
          <w:sz w:val="20"/>
          <w:szCs w:val="20"/>
          <w:color w:val="auto"/>
        </w:rPr>
      </w:pPr>
    </w:p>
    <w:p>
      <w:pPr>
        <w:jc w:val="both"/>
        <w:ind w:left="660" w:hanging="652"/>
        <w:spacing w:after="0" w:line="261" w:lineRule="auto"/>
        <w:tabs>
          <w:tab w:leader="none" w:pos="6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Hexagon Shares as of the record date will participate in the Distribution. No action is required on your part to participate in the Distribution, but we urge you to read this information statement carefully and in its entirety. Shareholders of Hexagon on the record date are not required to pay any cash or deliver any other consideration to Hexagon or Octave, including any Hexagon Shares, for the Octave Shares or the Octave SDRs (as applicable) distributable to them in the Distribution.</w:t>
      </w:r>
    </w:p>
    <w:p>
      <w:pPr>
        <w:spacing w:after="0" w:line="122" w:lineRule="exact"/>
        <w:rPr>
          <w:sz w:val="20"/>
          <w:szCs w:val="20"/>
          <w:color w:val="auto"/>
        </w:rPr>
      </w:pPr>
    </w:p>
    <w:p>
      <w:pPr>
        <w:ind w:left="660" w:hanging="652"/>
        <w:spacing w:after="0" w:line="286" w:lineRule="auto"/>
        <w:tabs>
          <w:tab w:leader="none" w:pos="65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sell Hexagon Shares on or after the record date but on or before the Distribution Date, am I still entitled to receive Octave Shares distributable with respect to the Hexagon Shares I sold?</w:t>
      </w:r>
    </w:p>
    <w:p>
      <w:pPr>
        <w:spacing w:after="0" w:line="105"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The record date for receipt of Octave Shares is , . Since trades on Nasdaq Stockholm settle on a T+2 basis, the last day of trading in Hexagon Shares on Nasdaq Stockholm including the right to the distribution of Octave Shares will be , the second trading day before the record date. Hexagon Shares will thus be traded excluding the right to the distribution of Octave Shares on and after , the last trading day before the record date. If a record holder of Hexagon Shares sells those shares on or after , the last trading day before the record date, but on or prior to the Distribution Date, the seller will still be entitled to receive the relevant Octave Shares delivered in the Distribution.</w:t>
      </w:r>
    </w:p>
    <w:p>
      <w:pPr>
        <w:spacing w:after="0" w:line="346"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fractional shares and fractional Swedish Depositary Receipts (“SDRs”) be treated in the Distribution?</w:t>
      </w:r>
    </w:p>
    <w:p>
      <w:pPr>
        <w:spacing w:after="0" w:line="175" w:lineRule="exact"/>
        <w:rPr>
          <w:sz w:val="20"/>
          <w:szCs w:val="20"/>
          <w:color w:val="auto"/>
        </w:rPr>
      </w:pPr>
    </w:p>
    <w:p>
      <w:pPr>
        <w:jc w:val="both"/>
        <w:ind w:left="660" w:hanging="652"/>
        <w:spacing w:after="0" w:line="254" w:lineRule="auto"/>
        <w:tabs>
          <w:tab w:leader="none" w:pos="6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or fractional SDRs will be distributed. Instead, Computershare, in its capacity as transfer and distribution agent, will aggregate fractional shares into whole shares and then sell the whole shares on Nasdaq New York, while SEB, in its capacity as Octave SDR depositary, will aggregate fractional SDRs into whole SDRs and then sell the whole SDRs on Nasdaq Stockholm. In each case, the whole shares and whole SDRs will be sold at prevailing rates and Computershare and SEB, as applicable, will distribute the net cash proceeds pro rata to each holder who would otherwise have been entitled to fractional shares or fractional SDRs in the Distribution. See “The Separation and the Distribution—Manner of Effecting the Distribution” for an explanation of how the cash payments will be determined and “Material U.S. Federal Income Tax Consequences,” “Material Irish Tax Consequences,” and “Material Swedish Tax Consequences” for explanations of the tax consequences of such cash payments.</w:t>
      </w:r>
    </w:p>
    <w:p>
      <w:pPr>
        <w:spacing w:after="0" w:line="134"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Swedish Depository Receipt, and can I directly hold the underlying Octave Shares?</w:t>
      </w:r>
    </w:p>
    <w:p>
      <w:pPr>
        <w:spacing w:after="0" w:line="175" w:lineRule="exact"/>
        <w:rPr>
          <w:sz w:val="20"/>
          <w:szCs w:val="20"/>
          <w:color w:val="auto"/>
        </w:rPr>
      </w:pPr>
    </w:p>
    <w:p>
      <w:pPr>
        <w:ind w:left="660" w:hanging="652"/>
        <w:spacing w:after="0" w:line="282" w:lineRule="auto"/>
        <w:tabs>
          <w:tab w:leader="none" w:pos="6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SDR is a financial instrument issued by a Swedish bank representing shares in a non-Swedish company. In connection with the Distribution, Octave Class B Ordinary Shares will be deposited via the facilities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40"/>
          </w:cols>
          <w:pgMar w:left="320" w:top="1413" w:right="339" w:bottom="1440" w:gutter="0" w:footer="0" w:header="0"/>
        </w:sectPr>
      </w:pPr>
    </w:p>
    <w:bookmarkStart w:id="15" w:name="page16"/>
    <w:bookmarkEnd w:id="15"/>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DTC with a sub-custodian of SEB pursuant to an SDR Issuer Agreement to be entered into between Octave and SEB (the “SDR Issuer Agreement”). SEB will then issue and deliver the Octave SDRs representing the Octave Class B Ordinary Shares to holders of Hexagon Class B Shares that are not affiliates of Hexagon. Any such Octave SDRs will be issued and governed in accordance with Swedish law, the SDR Issuer Agreement, and the General Terms and Conditions for Swedish Depository Receipts in Octave (the “General Terms and Conditions”). An Octave SDR holder can cancel their Octave SDR and receive the underlying Octave Class B Ordinary Shares in a U.S. brokerage account, a custody account, an investment savings account (Sw. </w:t>
      </w:r>
      <w:r>
        <w:rPr>
          <w:rFonts w:ascii="Times New Roman" w:cs="Times New Roman" w:eastAsia="Times New Roman" w:hAnsi="Times New Roman"/>
          <w:sz w:val="18"/>
          <w:szCs w:val="18"/>
          <w:i w:val="1"/>
          <w:iCs w:val="1"/>
          <w:color w:val="auto"/>
        </w:rPr>
        <w:t>investeringssparkonto</w:t>
      </w:r>
      <w:r>
        <w:rPr>
          <w:rFonts w:ascii="Times New Roman" w:cs="Times New Roman" w:eastAsia="Times New Roman" w:hAnsi="Times New Roman"/>
          <w:sz w:val="18"/>
          <w:szCs w:val="18"/>
          <w:color w:val="auto"/>
        </w:rPr>
        <w:t xml:space="preserve">), or an endowment insurance (Sw. </w:t>
      </w:r>
      <w:r>
        <w:rPr>
          <w:rFonts w:ascii="Times New Roman" w:cs="Times New Roman" w:eastAsia="Times New Roman" w:hAnsi="Times New Roman"/>
          <w:sz w:val="18"/>
          <w:szCs w:val="18"/>
          <w:i w:val="1"/>
          <w:iCs w:val="1"/>
          <w:color w:val="auto"/>
        </w:rPr>
        <w:t>kapitalförsäkring</w:t>
      </w:r>
      <w:r>
        <w:rPr>
          <w:rFonts w:ascii="Times New Roman" w:cs="Times New Roman" w:eastAsia="Times New Roman" w:hAnsi="Times New Roman"/>
          <w:sz w:val="18"/>
          <w:szCs w:val="18"/>
          <w:color w:val="auto"/>
        </w:rPr>
        <w:t>). See “Description of Swedish Depository Receipts.”</w:t>
      </w:r>
    </w:p>
    <w:p>
      <w:pPr>
        <w:spacing w:after="0" w:line="131"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will the Octave SDRs be listed, and how long will that listing be maintained?</w:t>
      </w:r>
    </w:p>
    <w:p>
      <w:pPr>
        <w:spacing w:after="0" w:line="175" w:lineRule="exact"/>
        <w:rPr>
          <w:sz w:val="20"/>
          <w:szCs w:val="20"/>
          <w:color w:val="auto"/>
        </w:rPr>
      </w:pPr>
    </w:p>
    <w:p>
      <w:pPr>
        <w:jc w:val="both"/>
        <w:ind w:left="660" w:hanging="652"/>
        <w:spacing w:after="0" w:line="276" w:lineRule="auto"/>
        <w:tabs>
          <w:tab w:leader="none" w:pos="65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Octave currently intends to distribute interests in the Octave Class B Ordinary Shares through an SDR program that will be listed on Nasdaq Stockholm substantially concurrently with listing the Octave Class B Ordinary Shares on Nasdaq New York, as described above (the “Octave SDR</w:t>
      </w:r>
    </w:p>
    <w:p>
      <w:pPr>
        <w:spacing w:after="0" w:line="1"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 xml:space="preserve">Program”). Octave intends to maintain the Octave SDR Program until further notice, which Octave expects to be for about two years following the Distribution, however Octave intends to evaluate the Octave SDR Program over time in light of liquidity and relative trading volume on Nasdaq Stockholm and Nasdaq New York. Octave will provide at least three months’ notice to holders of Octave SDRs prior to termination of the listing of the Octave SDRs on Nasdaq Stockholm. There can be no assurance that the Octave SDR Program will be maintained for this period. Octave has agreed to pay any fees for holders who wish to cancel their Octave SDRs and receive the underlying Octave Class B Ordinary Shares in a U.S. brokerage account, a custody account, an investment savings account (Sw. </w:t>
      </w:r>
      <w:r>
        <w:rPr>
          <w:rFonts w:ascii="Times New Roman" w:cs="Times New Roman" w:eastAsia="Times New Roman" w:hAnsi="Times New Roman"/>
          <w:sz w:val="18"/>
          <w:szCs w:val="18"/>
          <w:i w:val="1"/>
          <w:iCs w:val="1"/>
          <w:color w:val="auto"/>
        </w:rPr>
        <w:t>investeringssparkonto</w:t>
      </w:r>
      <w:r>
        <w:rPr>
          <w:rFonts w:ascii="Times New Roman" w:cs="Times New Roman" w:eastAsia="Times New Roman" w:hAnsi="Times New Roman"/>
          <w:sz w:val="18"/>
          <w:szCs w:val="18"/>
          <w:color w:val="auto"/>
        </w:rPr>
        <w:t>), or an endowment insurance (Sw.</w:t>
      </w:r>
    </w:p>
    <w:p>
      <w:pPr>
        <w:spacing w:after="0" w:line="2"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8"/>
          <w:szCs w:val="18"/>
          <w:i w:val="1"/>
          <w:iCs w:val="1"/>
          <w:color w:val="auto"/>
        </w:rPr>
        <w:t>kapitalförsäkring</w:t>
      </w:r>
      <w:r>
        <w:rPr>
          <w:rFonts w:ascii="Times New Roman" w:cs="Times New Roman" w:eastAsia="Times New Roman" w:hAnsi="Times New Roman"/>
          <w:sz w:val="18"/>
          <w:szCs w:val="18"/>
          <w:color w:val="auto"/>
        </w:rPr>
        <w:t>), for the months following the date of the Distribution. After such period, such fees will be borne by the holder.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“Description of Swedish Depository Receipts.”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listing of the Octave SDRs, Octave has also made available a Swedish prospectus.</w:t>
      </w:r>
    </w:p>
    <w:p>
      <w:pPr>
        <w:spacing w:after="0" w:line="167"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reason for the Distribution?</w:t>
      </w:r>
    </w:p>
    <w:p>
      <w:pPr>
        <w:spacing w:after="0" w:line="175" w:lineRule="exact"/>
        <w:rPr>
          <w:sz w:val="20"/>
          <w:szCs w:val="20"/>
          <w:color w:val="auto"/>
        </w:rPr>
      </w:pPr>
    </w:p>
    <w:p>
      <w:pPr>
        <w:ind w:left="660" w:hanging="652"/>
        <w:spacing w:after="0" w:line="282" w:lineRule="auto"/>
        <w:tabs>
          <w:tab w:leader="none" w:pos="6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considered by Hexagon’s board of directors in making the determination to consummate the Distribution included the following:</w:t>
      </w:r>
    </w:p>
    <w:p>
      <w:pPr>
        <w:spacing w:after="0" w:line="10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Different Independent Strategic Needs. </w:t>
      </w:r>
      <w:r>
        <w:rPr>
          <w:rFonts w:ascii="Times New Roman" w:cs="Times New Roman" w:eastAsia="Times New Roman" w:hAnsi="Times New Roman"/>
          <w:sz w:val="18"/>
          <w:szCs w:val="18"/>
          <w:color w:val="auto"/>
        </w:rPr>
        <w:t>The Distribution will provide each of Hexagon and Octave with increased flexibility to pursue their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strategic and financial plans and strategic partnerships without having to consider the potential impact on the business of the other company. The Distribution will allow each company to adapt more quickly to changing markets and customer expectations and dynamics and to benefit from greater strategic clarity and operational agility. For example, following the Distribution, each company will be able to use its stock as currency for acquisitions reflective of their distinct growth strategies.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Autonomy. </w:t>
      </w:r>
      <w:r>
        <w:rPr>
          <w:rFonts w:ascii="Times New Roman" w:cs="Times New Roman" w:eastAsia="Times New Roman" w:hAnsi="Times New Roman"/>
          <w:sz w:val="18"/>
          <w:szCs w:val="18"/>
          <w:color w:val="auto"/>
        </w:rPr>
        <w:t>Going forward, Hexagon anticipates focusing on its core mission of helping industrial customers address labor shortages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embrace sustainability via its advanced capabilities in precision measurement, reality capture, positioning and autonomy technologies, and robotic solutions. Octave will be able to adjust to its own business objectives, aligning Octave’s resources directly with the evolving needs of its customers. Operational autonomy will allow Octave to accelerate innovation and invest in capabilities that expand its reach and impact.</w:t>
      </w:r>
    </w:p>
    <w:p>
      <w:pPr>
        <w:spacing w:after="0" w:line="1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Resources. </w:t>
      </w:r>
      <w:r>
        <w:rPr>
          <w:rFonts w:ascii="Times New Roman" w:cs="Times New Roman" w:eastAsia="Times New Roman" w:hAnsi="Times New Roman"/>
          <w:sz w:val="18"/>
          <w:szCs w:val="18"/>
          <w:color w:val="auto"/>
        </w:rPr>
        <w:t>The Distribution will allow each company to raise and invest capital in its business in a time and manner appropriate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strategy and business needs, facilitating a more efficient allocation of capital.</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Attraction and Retention of Talent. </w:t>
      </w:r>
      <w:r>
        <w:rPr>
          <w:rFonts w:ascii="Times New Roman" w:cs="Times New Roman" w:eastAsia="Times New Roman" w:hAnsi="Times New Roman"/>
          <w:sz w:val="18"/>
          <w:szCs w:val="18"/>
          <w:color w:val="auto"/>
        </w:rPr>
        <w:t>The businesses that Hexagon and Octave will separately conduct have different risk and reward profiles,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different work environments and cultures. The Distribution will allow each company to compete more effectively for the best talent in the space in which it operates by implementing a work environment and culture that is oriented to the business it conducts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240"/>
          </w:cols>
          <w:pgMar w:left="320" w:top="1417" w:right="339" w:bottom="1440" w:gutter="0" w:footer="0" w:header="0"/>
        </w:sectPr>
      </w:pPr>
    </w:p>
    <w:bookmarkStart w:id="16" w:name="page17"/>
    <w:bookmarkEnd w:id="16"/>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without consideration of the impact of such environment or culture on the business that the other company will be conducting. Octave’s operating practices will be focused on agility, collaboration, empowerment, and speed in order to compete for the best talent against technology and software development companies.</w:t>
      </w:r>
    </w:p>
    <w:p>
      <w:pPr>
        <w:spacing w:after="0" w:line="120" w:lineRule="exact"/>
        <w:rPr>
          <w:sz w:val="20"/>
          <w:szCs w:val="20"/>
          <w:color w:val="auto"/>
        </w:rPr>
      </w:pPr>
    </w:p>
    <w:p>
      <w:pPr>
        <w:jc w:val="both"/>
        <w:ind w:left="652" w:hanging="328"/>
        <w:spacing w:after="0" w:line="267" w:lineRule="auto"/>
        <w:tabs>
          <w:tab w:leader="none" w:pos="64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Incentives. </w:t>
      </w:r>
      <w:r>
        <w:rPr>
          <w:rFonts w:ascii="Times New Roman" w:cs="Times New Roman" w:eastAsia="Times New Roman" w:hAnsi="Times New Roman"/>
          <w:sz w:val="18"/>
          <w:szCs w:val="18"/>
          <w:color w:val="auto"/>
        </w:rPr>
        <w:t>The Distribution will facilitate incentive compensation arrangements for employees more closely tied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company’s business, and can thereby enhance employee hiring and retention by, among other things, improving alignment of management and employee incentives with performance and growth objectives.</w:t>
      </w:r>
    </w:p>
    <w:p>
      <w:pPr>
        <w:spacing w:after="0" w:line="119" w:lineRule="exact"/>
        <w:rPr>
          <w:rFonts w:ascii="Times New Roman" w:cs="Times New Roman" w:eastAsia="Times New Roman" w:hAnsi="Times New Roman"/>
          <w:sz w:val="18"/>
          <w:szCs w:val="18"/>
          <w:color w:val="auto"/>
        </w:rPr>
      </w:pPr>
    </w:p>
    <w:p>
      <w:pPr>
        <w:jc w:val="both"/>
        <w:ind w:left="652" w:hanging="328"/>
        <w:spacing w:after="0" w:line="261" w:lineRule="auto"/>
        <w:tabs>
          <w:tab w:leader="none" w:pos="64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Strategic Alignment. </w:t>
      </w:r>
      <w:r>
        <w:rPr>
          <w:rFonts w:ascii="Times New Roman" w:cs="Times New Roman" w:eastAsia="Times New Roman" w:hAnsi="Times New Roman"/>
          <w:sz w:val="18"/>
          <w:szCs w:val="18"/>
          <w:color w:val="auto"/>
        </w:rPr>
        <w:t>The Distribution will allow each company to focus on and more effectively pursue distinct product portfolios,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priorities and strategies, markets and marketing strategies, and different opportunities for long-term growth and profitability, and align with the specific needs of the business it is conducting. The separation is intended to allow each company to adapt more quickly to changing markets and customer expectations and dynamics.</w:t>
      </w:r>
    </w:p>
    <w:p>
      <w:pPr>
        <w:spacing w:after="0" w:line="125" w:lineRule="exact"/>
        <w:rPr>
          <w:rFonts w:ascii="Times New Roman" w:cs="Times New Roman" w:eastAsia="Times New Roman" w:hAnsi="Times New Roman"/>
          <w:sz w:val="18"/>
          <w:szCs w:val="18"/>
          <w:color w:val="auto"/>
        </w:rPr>
      </w:pPr>
    </w:p>
    <w:p>
      <w:pPr>
        <w:jc w:val="both"/>
        <w:ind w:left="652" w:hanging="328"/>
        <w:spacing w:after="0" w:line="261" w:lineRule="auto"/>
        <w:tabs>
          <w:tab w:leader="none" w:pos="64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Potential Increased Share Value. </w:t>
      </w:r>
      <w:r>
        <w:rPr>
          <w:rFonts w:ascii="Times New Roman" w:cs="Times New Roman" w:eastAsia="Times New Roman" w:hAnsi="Times New Roman"/>
          <w:sz w:val="18"/>
          <w:szCs w:val="18"/>
          <w:color w:val="auto"/>
        </w:rPr>
        <w:t>The evaluation of separate investment characteristics, including risks, performance, and future prospects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businesses, is expected to enhance the investment opportunities provided to investors by two separate companies. Should this occur, each company would be in a better position to utilize its stock or shares (as applicable) as currency for acquisitions and to incentivize its employees.</w:t>
      </w:r>
    </w:p>
    <w:p>
      <w:pPr>
        <w:spacing w:after="0" w:line="127" w:lineRule="exact"/>
        <w:rPr>
          <w:rFonts w:ascii="Times New Roman" w:cs="Times New Roman" w:eastAsia="Times New Roman" w:hAnsi="Times New Roman"/>
          <w:sz w:val="18"/>
          <w:szCs w:val="18"/>
          <w:color w:val="auto"/>
        </w:rPr>
      </w:pPr>
    </w:p>
    <w:p>
      <w:pPr>
        <w:jc w:val="both"/>
        <w:ind w:left="65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Hexagon’s board of directors also considered several factors that might have a negative effect on Hexagon as a result of the Distribution. Hexagon’s capital stock may come under initial selling pressure as certain Hexagon shareholders sell their shares because they may have differing interests in or investment mandates with respect to holding an investment in Hexagon’s remaining business. In addition, the Distribution would separate from Hexagon the business and assets of Octave, which represent significant value, and the relatively smaller size and expected market value of Hexagon may limit investors’ ability to appropriately value Hexagon after the Distribution. Hexagon’s board of directors also considered certain aspects of the Distribution that may be adverse to Octave. Octave’s share capital may come under initial selling pressure as certain Hexagon shareholders sell their shares in Octave because they may have differing interests in or investment mandates with respect to holding an investment in Octave’s business. Furthermore, the structure of the Distribution is novel in that Octave Class B Ordinary Shares will trade on Nasdaq New York, while the Octave SDRs will trade on Nasdaq Stockholm, subject to termination. Moreover, certain factors such as the relatively smaller size and expected market value of Octave may limit investors’ ability to appropriately value Octave’s share capital. In addition, after the Distribution, Octave’s results in the near-term may not have as predictable cash flow as Hexagon’s businesses or may be impacted by no longer forming part of a larger business enterprise, which may result in more volatile and less predictable operating results and cash flow for Octave for a period following the Distribution. As a result of the Distribution, Octave will bear significant incremental costs associated with being a publicly-held company and will need to absorb certain corporate and operational support costs previously allocated to Hexagon.</w:t>
      </w:r>
    </w:p>
    <w:p>
      <w:pPr>
        <w:spacing w:after="0" w:line="143" w:lineRule="exact"/>
        <w:rPr>
          <w:rFonts w:ascii="Times New Roman" w:cs="Times New Roman" w:eastAsia="Times New Roman" w:hAnsi="Times New Roman"/>
          <w:sz w:val="18"/>
          <w:szCs w:val="18"/>
          <w:color w:val="auto"/>
        </w:rPr>
      </w:pPr>
    </w:p>
    <w:p>
      <w:pPr>
        <w:ind w:left="65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“Unaudited Pro Forma Condensed Combined Financial Information” section for further details. You are also urged to carefully read the information set forth in the section of this information statement entitled “Risk Factors.”</w:t>
      </w:r>
    </w:p>
    <w:p>
      <w:pPr>
        <w:spacing w:after="0" w:line="103"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manage Octave after the Distribution?</w:t>
      </w:r>
    </w:p>
    <w:p>
      <w:pPr>
        <w:sectPr>
          <w:pgSz w:w="11900" w:h="16838" w:orient="portrait"/>
          <w:cols w:equalWidth="0" w:num="1">
            <w:col w:w="11232"/>
          </w:cols>
          <w:pgMar w:left="328" w:top="1417" w:right="339" w:bottom="1440" w:gutter="0" w:footer="0" w:header="0"/>
        </w:sectPr>
      </w:pPr>
    </w:p>
    <w:p>
      <w:pPr>
        <w:spacing w:after="0" w:line="175" w:lineRule="exact"/>
        <w:rPr>
          <w:sz w:val="20"/>
          <w:szCs w:val="20"/>
          <w:color w:val="auto"/>
        </w:rPr>
      </w:pPr>
    </w:p>
    <w:p>
      <w:pPr>
        <w:ind w:left="632" w:hanging="632"/>
        <w:spacing w:after="0"/>
        <w:tabs>
          <w:tab w:leader="none" w:pos="6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Octave (the “Board of Directors”) will consist of</w:t>
      </w:r>
    </w:p>
    <w:p>
      <w:pPr>
        <w:spacing w:after="0" w:line="27" w:lineRule="exact"/>
        <w:rPr>
          <w:rFonts w:ascii="Times New Roman" w:cs="Times New Roman" w:eastAsia="Times New Roman" w:hAnsi="Times New Roman"/>
          <w:sz w:val="18"/>
          <w:szCs w:val="18"/>
          <w:color w:val="auto"/>
        </w:rPr>
      </w:pPr>
    </w:p>
    <w:p>
      <w:pPr>
        <w:ind w:left="65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named in an amendment to this information statement prior to the effectiveness statement forms a part.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firstLine="68"/>
        <w:spacing w:after="0" w:line="282" w:lineRule="auto"/>
        <w:rPr>
          <w:sz w:val="20"/>
          <w:szCs w:val="20"/>
          <w:color w:val="auto"/>
        </w:rPr>
      </w:pPr>
      <w:r>
        <w:rPr>
          <w:rFonts w:ascii="Times New Roman" w:cs="Times New Roman" w:eastAsia="Times New Roman" w:hAnsi="Times New Roman"/>
          <w:sz w:val="18"/>
          <w:szCs w:val="18"/>
          <w:color w:val="auto"/>
        </w:rPr>
        <w:t>directors. Initial members of the Board of Directors will of the registration statement of which this information</w:t>
      </w:r>
    </w:p>
    <w:p>
      <w:pPr>
        <w:spacing w:after="0" w:line="323" w:lineRule="exact"/>
        <w:rPr>
          <w:sz w:val="20"/>
          <w:szCs w:val="20"/>
          <w:color w:val="auto"/>
        </w:rPr>
      </w:pPr>
    </w:p>
    <w:p>
      <w:pPr>
        <w:sectPr>
          <w:pgSz w:w="11900" w:h="16838" w:orient="portrait"/>
          <w:cols w:equalWidth="0" w:num="2">
            <w:col w:w="6992" w:space="80"/>
            <w:col w:w="4160"/>
          </w:cols>
          <w:pgMar w:left="328" w:top="1417" w:right="339" w:bottom="1440" w:gutter="0" w:footer="0" w:header="0"/>
          <w:type w:val="continuous"/>
        </w:sectPr>
      </w:pPr>
    </w:p>
    <w:p>
      <w:pPr>
        <w:jc w:val="both"/>
        <w:ind w:left="652"/>
        <w:spacing w:after="0" w:line="261" w:lineRule="auto"/>
        <w:rPr>
          <w:sz w:val="20"/>
          <w:szCs w:val="20"/>
          <w:color w:val="auto"/>
        </w:rPr>
      </w:pPr>
      <w:r>
        <w:rPr>
          <w:rFonts w:ascii="Times New Roman" w:cs="Times New Roman" w:eastAsia="Times New Roman" w:hAnsi="Times New Roman"/>
          <w:sz w:val="18"/>
          <w:szCs w:val="18"/>
          <w:color w:val="auto"/>
        </w:rPr>
        <w:t>The Chief Executive Officer of Octave will be Mattias Stenberg, who will be responsible for the strategic direction of Octave, including its overall operations and performance. The Chief Financial Officer of Octave will be Benjamin Maslen. Other individuals that will serve as our executive officers following the completion of the Distribution are set forth below in “Corporate Governance and Management—Directors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232"/>
          </w:cols>
          <w:pgMar w:left="328" w:top="1417" w:right="339" w:bottom="1440" w:gutter="0" w:footer="0" w:header="0"/>
          <w:type w:val="continuous"/>
        </w:sectPr>
      </w:pPr>
    </w:p>
    <w:bookmarkStart w:id="17" w:name="page18"/>
    <w:bookmarkEnd w:id="17"/>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Hexagon shareholders be subject to taxation on Octave Shares received in the Distribution?</w:t>
      </w:r>
    </w:p>
    <w:p>
      <w:pPr>
        <w:spacing w:after="0" w:line="162" w:lineRule="exact"/>
        <w:rPr>
          <w:sz w:val="20"/>
          <w:szCs w:val="20"/>
          <w:color w:val="auto"/>
        </w:rPr>
      </w:pPr>
    </w:p>
    <w:p>
      <w:pPr>
        <w:jc w:val="both"/>
        <w:ind w:left="660" w:hanging="652"/>
        <w:spacing w:after="0" w:line="236" w:lineRule="auto"/>
        <w:tabs>
          <w:tab w:leader="none" w:pos="6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federal income tax law, the Distribution is intended to qualify as a transaction that is generally tax-free as a “reorganization” for U.S. federal income tax purposes under Section 355 of the Internal Revenue Code of 1986, as amended (the “Code”). Accordingly, it is expected that, except with respect to cash received in lieu of fractional Octave Shares or fractional Octave SDRs, no gain or loss should be recognized by you, and no amount should be included in your taxable income, upon the receipt of Octave Shares or Octave SDRs in the distribution for U.S. federal income tax purposes. U.S. Holders (as defined in “Material U.S. Federal Income Tax Consequences”) will, however, recognize gain or loss for U.S. federal income tax purposes with respect to cash received in lieu of fractional Octave Shares or fractional Octave SDRs. Although the Distribution is intended to be tax-free, the Internal Revenue Service (the “IRS”) could assert that the Distribution does not qualify for tax-free treatment. If the IRS were successful in taking this position, U.S. Holders (as defined in “Material U.S. Federal Income Tax Consequences”) would be subject to tax as if they had received a taxable distribution equal to the fair market value of the Octave Shares or Octave SDRs received by them in the Distribution. For more information regarding the material U.S. federal income tax consequences of the Distribution, see “Material U.S. Federal Income Tax Consequences.”</w:t>
      </w:r>
    </w:p>
    <w:p>
      <w:pPr>
        <w:spacing w:after="0" w:line="150"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Irish tax law, holders of Hexagon Shares who are not tax resident in Ireland and who do not have a branch or agency in Ireland through which a trade is carried on to which the holding of such shares is attributable will not be subject to Irish tax as a result of the Distribution. For a further discussion, see “Material Irish Tax Consequences.”</w:t>
      </w:r>
    </w:p>
    <w:p>
      <w:pPr>
        <w:spacing w:after="0" w:line="12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Swedish tax law, Hexagon has applied for a written confirmation from the Swedish Tax Agency that the Distribution, together with certain related transactions, qualifies as a transaction that is generally tax exempt for Swedish tax purposes under the Lex-ASEA rule. Material Swedish tax consequences of the Distribution are described in detail under the heading “Material Swedish Tax Consequences.”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consequences of the Distribution to each holder of Hexagon Shares may depend on such holder’s particular facts and circumstances.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Hexagon Shares are urged to consult their own tax advisors to understand fully the tax consequences to them of the Distribution.</w:t>
      </w:r>
    </w:p>
    <w:p>
      <w:pPr>
        <w:spacing w:after="0" w:line="149"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Octave intend to pay cash dividends?</w:t>
      </w:r>
    </w:p>
    <w:p>
      <w:pPr>
        <w:spacing w:after="0" w:line="175" w:lineRule="exact"/>
        <w:rPr>
          <w:sz w:val="20"/>
          <w:szCs w:val="20"/>
          <w:color w:val="auto"/>
        </w:rPr>
      </w:pPr>
    </w:p>
    <w:p>
      <w:pPr>
        <w:jc w:val="both"/>
        <w:ind w:left="660" w:hanging="652"/>
        <w:spacing w:after="0" w:line="266" w:lineRule="auto"/>
        <w:tabs>
          <w:tab w:leader="none" w:pos="6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Octave currently anticipates that it will retain future earnings for the development, operation, and expansion of the Octave Business, and does not anticipate declaring or paying cash dividends in the near future. The payment of any dividends in the future, and the timing and amount thereof, is within the discretion of the Board of Directors. See “The Separation and the Distribution—Dividend Policy.”</w:t>
      </w:r>
    </w:p>
    <w:p>
      <w:pPr>
        <w:spacing w:after="0" w:line="118"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Irish withholding tax on future dividends, if any, by Octave?</w:t>
      </w:r>
    </w:p>
    <w:p>
      <w:pPr>
        <w:spacing w:after="0" w:line="175" w:lineRule="exact"/>
        <w:rPr>
          <w:sz w:val="20"/>
          <w:szCs w:val="20"/>
          <w:color w:val="auto"/>
        </w:rPr>
      </w:pPr>
    </w:p>
    <w:p>
      <w:pPr>
        <w:jc w:val="both"/>
        <w:ind w:left="660" w:hanging="652"/>
        <w:spacing w:after="0" w:line="266" w:lineRule="auto"/>
        <w:tabs>
          <w:tab w:leader="none" w:pos="6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expected to be a tax resident solely in Ireland. As long as Octave is resident for tax purposes in Ireland, any dividends paid by Octave will be subject to Irish withholding tax. The relevant shareholder may be entitled to an exemption from Irish withholding tax provided that such shareholder has complied with necessary procedural formalities. See “Material Irish Tax Consequences.”</w:t>
      </w:r>
    </w:p>
    <w:p>
      <w:pPr>
        <w:spacing w:after="0" w:line="118"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 Irish stamp tax liability on the transfer or sale of Octave Shares by Octave shareholders after the Distribution?</w:t>
      </w:r>
    </w:p>
    <w:p>
      <w:pPr>
        <w:spacing w:after="0" w:line="175" w:lineRule="exact"/>
        <w:rPr>
          <w:sz w:val="20"/>
          <w:szCs w:val="20"/>
          <w:color w:val="auto"/>
        </w:rPr>
      </w:pPr>
    </w:p>
    <w:p>
      <w:pPr>
        <w:ind w:left="660" w:hanging="652"/>
        <w:spacing w:after="0" w:line="282" w:lineRule="auto"/>
        <w:tabs>
          <w:tab w:leader="none" w:pos="6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stamp taxes are expected to be payable in Ireland on transfers of Octave Shares within DTC or transfer of Octave SDRs within Euroclear Sweden. For further discussion, see “Material Irish Tax Consequences.”</w:t>
      </w:r>
    </w:p>
    <w:p>
      <w:pPr>
        <w:spacing w:after="0" w:line="104"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Octave Shares trade?</w:t>
      </w:r>
    </w:p>
    <w:p>
      <w:pPr>
        <w:spacing w:after="0" w:line="175" w:lineRule="exact"/>
        <w:rPr>
          <w:sz w:val="20"/>
          <w:szCs w:val="20"/>
          <w:color w:val="auto"/>
        </w:rPr>
      </w:pPr>
    </w:p>
    <w:p>
      <w:pPr>
        <w:jc w:val="both"/>
        <w:ind w:left="660" w:hanging="652"/>
        <w:spacing w:after="0" w:line="266" w:lineRule="auto"/>
        <w:tabs>
          <w:tab w:leader="none" w:pos="6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there is no public market for Octave Shares, although a “when-issued” market in Octave Class B Ordinary Shares may develop after the record date for the Distribution. We have applied for the Octave Class B Ordinary Shares to be listed on Nasdaq New York under the symbol “OCTV.” Assuming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240"/>
          </w:cols>
          <w:pgMar w:left="320" w:top="1413" w:right="339" w:bottom="1440" w:gutter="0" w:footer="0" w:header="0"/>
        </w:sectPr>
      </w:pPr>
    </w:p>
    <w:bookmarkStart w:id="18" w:name="page19"/>
    <w:bookmarkEnd w:id="18"/>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listing application is approved, it is anticipated that trading will commence on or about the first trading day following the Distribution. No assurance can be given that Octave’s listing application will be approved. Octave cannot predict the trading prices for Octave Shares on or after the Distribution Date. Please also refer to “How will Hexagon distribute Octave Shares to me?”.</w:t>
      </w:r>
    </w:p>
    <w:p>
      <w:pPr>
        <w:spacing w:after="0" w:line="118"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Octave SDRs trade?</w:t>
      </w:r>
    </w:p>
    <w:p>
      <w:pPr>
        <w:spacing w:after="0" w:line="175" w:lineRule="exact"/>
        <w:rPr>
          <w:sz w:val="20"/>
          <w:szCs w:val="20"/>
          <w:color w:val="auto"/>
        </w:rPr>
      </w:pPr>
    </w:p>
    <w:p>
      <w:pPr>
        <w:jc w:val="both"/>
        <w:ind w:left="660" w:hanging="652"/>
        <w:spacing w:after="0" w:line="255" w:lineRule="auto"/>
        <w:tabs>
          <w:tab w:leader="none" w:pos="65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currently intends to distribute interests in Octave Class B Ordinary Shares through an SDR program, which Octave SDRs will be listed on Nasdaq Stockholm substantially concurrently with listing the Octave Class B Ordinary Shares on Nasdaq New York. Octave intends to maintain the Octave SDR Program until further notice, which Octave expects to be for about two years following the Distribution, however Octave intends to evaluate the Octave SDR Program over time in light of liquidity and relative trading volume on Nasdaq Stockholm and Nasdaq New York and Octave will provide at least three months’ notice to holders of Octave SDRs prior to termination of the listing of the Octave SDRs on Nasdaq Stockholm. There can be no assurance that the Octave SDR Program will be maintained for this period. See “Description of Swedish Depository Receipts.”</w:t>
      </w:r>
    </w:p>
    <w:p>
      <w:pPr>
        <w:spacing w:after="0" w:line="131"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Distribution affect the trading price of my Hexagon Class B Shares?</w:t>
      </w:r>
    </w:p>
    <w:p>
      <w:pPr>
        <w:spacing w:after="0" w:line="175" w:lineRule="exact"/>
        <w:rPr>
          <w:sz w:val="20"/>
          <w:szCs w:val="20"/>
          <w:color w:val="auto"/>
        </w:rPr>
      </w:pPr>
    </w:p>
    <w:p>
      <w:pPr>
        <w:jc w:val="both"/>
        <w:ind w:left="660" w:hanging="652"/>
        <w:spacing w:after="0" w:line="255" w:lineRule="auto"/>
        <w:tabs>
          <w:tab w:leader="none" w:pos="6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After the initial distribution of Octave Class B Ordinary Shares, the trading price of Hexagon Class B Shares may be lower than the trading price of Hexagon Class B Shares immediately prior to the Distribution. Moreover, until the market has evaluated the operations of Hexagon without the operations of the Octave Business, the trading price of Hexagon Class B Shares (listed on Nasdaq Stockholm), Octave Class B Shares (listed on Nasdaq New York), and Octave SDRs (listed on Nasdaq Stockholm) may fluctuate significantly. Hexagon believes that the separation of Octave from Hexagon offers its shareholders the greatest long-term value. However, the combined trading prices of Hexagon Class B Shares, Octave Class B Ordinary Shares, and Octave SDRs after the Distribution may be lower than the trading price of Hexagon Class B Shares prior to the Distribution. See “Risk Factors.”</w:t>
      </w:r>
    </w:p>
    <w:p>
      <w:pPr>
        <w:spacing w:after="0" w:line="131"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number of Hexagon Shares I own change as a result of the Distribution?</w:t>
      </w:r>
    </w:p>
    <w:p>
      <w:pPr>
        <w:spacing w:after="0" w:line="175" w:lineRule="exact"/>
        <w:rPr>
          <w:sz w:val="20"/>
          <w:szCs w:val="20"/>
          <w:color w:val="auto"/>
        </w:rPr>
      </w:pPr>
    </w:p>
    <w:p>
      <w:pPr>
        <w:ind w:left="640" w:hanging="632"/>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number of Hexagon Shares you own will not change as a result of the Distribution.</w:t>
      </w:r>
    </w:p>
    <w:p>
      <w:pPr>
        <w:spacing w:after="0" w:line="167"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risks associated with owning Octave Shares and Octave SDRs?</w:t>
      </w:r>
    </w:p>
    <w:p>
      <w:pPr>
        <w:spacing w:after="0" w:line="175" w:lineRule="exact"/>
        <w:rPr>
          <w:sz w:val="20"/>
          <w:szCs w:val="20"/>
          <w:color w:val="auto"/>
        </w:rPr>
      </w:pPr>
    </w:p>
    <w:p>
      <w:pPr>
        <w:jc w:val="both"/>
        <w:ind w:left="660" w:hanging="652"/>
        <w:spacing w:after="0" w:line="261" w:lineRule="auto"/>
        <w:tabs>
          <w:tab w:leader="none" w:pos="6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There are risks associated with owning Octave Shares and Octave SDRs. Ownership of Octave Shares and Octave SDRs is subject to both general and specific risks related to the Octave Business, the industry in which it operates, its ongoing relationships with Hexagon, and its status as a new, independent publicly-traded company. Ownership of Octave Shares and Octave SDRs is also subject to risks related to the separation and Distribution. See “Risk Factors.”</w:t>
      </w:r>
    </w:p>
    <w:p>
      <w:pPr>
        <w:spacing w:after="0" w:line="122"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Octave have any indebtedness?</w:t>
      </w:r>
    </w:p>
    <w:p>
      <w:pPr>
        <w:spacing w:after="0" w:line="175" w:lineRule="exact"/>
        <w:rPr>
          <w:sz w:val="20"/>
          <w:szCs w:val="20"/>
          <w:color w:val="auto"/>
        </w:rPr>
      </w:pPr>
    </w:p>
    <w:p>
      <w:pPr>
        <w:jc w:val="both"/>
        <w:ind w:left="660" w:hanging="652"/>
        <w:spacing w:after="0" w:line="258" w:lineRule="auto"/>
        <w:tabs>
          <w:tab w:leader="none" w:pos="65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Octave expects to incur indebtedness in connection with the Distribution, at this time the capital structure of Octave has not been determined. If the level of indebtedness is determined before the effectiveness of the registration statement of which this information statement forms a part, then this information statement will be amended to reflect such anticipated level of indebtedness and capital structure. If the level of indebtedness is determined after the effectiveness of the registration statement of which this information statement forms a part, then Octave will file a current report on Form 8-K to disclose such level and incurrence of indebtedness and capital structure.</w:t>
      </w:r>
    </w:p>
    <w:p>
      <w:pPr>
        <w:spacing w:after="0" w:line="125"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the distribution agent, transfer agent, and registrar for Octave Shares?</w:t>
      </w:r>
    </w:p>
    <w:p>
      <w:pPr>
        <w:spacing w:after="0" w:line="175" w:lineRule="exact"/>
        <w:rPr>
          <w:sz w:val="20"/>
          <w:szCs w:val="20"/>
          <w:color w:val="auto"/>
        </w:rPr>
      </w:pPr>
    </w:p>
    <w:p>
      <w:pPr>
        <w:jc w:val="both"/>
        <w:ind w:left="660" w:right="260" w:hanging="652"/>
        <w:spacing w:after="0" w:line="266" w:lineRule="auto"/>
        <w:tabs>
          <w:tab w:leader="none" w:pos="6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agent, transfer agent, and registrar for Octave Shares will be Computershare Trust Company, N.A. For questions relating to the transfer or mechanics of the Distribution, you should contact Computershare Trust Company, N.A. at (866) 644 4127 (within the United States, U.S. territories,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240"/>
          </w:cols>
          <w:pgMar w:left="320" w:top="1417" w:right="339" w:bottom="1440" w:gutter="0" w:footer="0" w:header="0"/>
        </w:sectPr>
      </w:pPr>
    </w:p>
    <w:bookmarkStart w:id="19" w:name="page20"/>
    <w:bookmarkEnd w:id="19"/>
    <w:p>
      <w:pPr>
        <w:ind w:left="652"/>
        <w:spacing w:after="0"/>
        <w:rPr>
          <w:sz w:val="20"/>
          <w:szCs w:val="20"/>
          <w:color w:val="auto"/>
        </w:rPr>
      </w:pPr>
      <w:r>
        <w:rPr>
          <w:rFonts w:ascii="Times New Roman" w:cs="Times New Roman" w:eastAsia="Times New Roman" w:hAnsi="Times New Roman"/>
          <w:sz w:val="18"/>
          <w:szCs w:val="18"/>
          <w:color w:val="auto"/>
        </w:rPr>
        <w:t>Canada) or at +1 (781) 575 2906 (outside the United States, U.S. territories, and Canada) or by web.queries@computershare.com.</w:t>
      </w:r>
    </w:p>
    <w:p>
      <w:pPr>
        <w:spacing w:after="0" w:line="167" w:lineRule="exact"/>
        <w:rPr>
          <w:sz w:val="20"/>
          <w:szCs w:val="20"/>
          <w:color w:val="auto"/>
        </w:rPr>
      </w:pPr>
    </w:p>
    <w:p>
      <w:pPr>
        <w:ind w:left="652" w:hanging="652"/>
        <w:spacing w:after="0"/>
        <w:tabs>
          <w:tab w:leader="none" w:pos="65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the custodian bank for the Octave SDRs?</w:t>
      </w:r>
    </w:p>
    <w:p>
      <w:pPr>
        <w:spacing w:after="0" w:line="175" w:lineRule="exact"/>
        <w:rPr>
          <w:sz w:val="20"/>
          <w:szCs w:val="20"/>
          <w:color w:val="auto"/>
        </w:rPr>
      </w:pPr>
    </w:p>
    <w:p>
      <w:pPr>
        <w:ind w:left="632" w:hanging="632"/>
        <w:spacing w:after="0"/>
        <w:tabs>
          <w:tab w:leader="none" w:pos="63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bank for the Octave SDRs will be:</w:t>
      </w:r>
    </w:p>
    <w:p>
      <w:pPr>
        <w:spacing w:after="0" w:line="171" w:lineRule="exact"/>
        <w:rPr>
          <w:rFonts w:ascii="Times New Roman" w:cs="Times New Roman" w:eastAsia="Times New Roman" w:hAnsi="Times New Roman"/>
          <w:sz w:val="18"/>
          <w:szCs w:val="18"/>
          <w:color w:val="auto"/>
        </w:rPr>
      </w:pPr>
    </w:p>
    <w:p>
      <w:pPr>
        <w:ind w:left="652" w:right="74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Skandinaviska Enskilda Banken AB (publ) Kungsträdgårdsgatan 8</w:t>
      </w:r>
    </w:p>
    <w:p>
      <w:pPr>
        <w:ind w:left="652" w:right="900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SE-106 40 Stockholm Sweden</w:t>
      </w:r>
    </w:p>
    <w:p>
      <w:pPr>
        <w:spacing w:after="0" w:line="1" w:lineRule="exact"/>
        <w:rPr>
          <w:rFonts w:ascii="Times New Roman" w:cs="Times New Roman" w:eastAsia="Times New Roman" w:hAnsi="Times New Roman"/>
          <w:sz w:val="18"/>
          <w:szCs w:val="18"/>
          <w:color w:val="auto"/>
        </w:rPr>
      </w:pPr>
    </w:p>
    <w:p>
      <w:pPr>
        <w:ind w:left="652"/>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seb.sdr@seb.se</w:t>
      </w: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number: +46 8 785 10 00</w:t>
      </w:r>
    </w:p>
    <w:p>
      <w:pPr>
        <w:spacing w:after="0" w:line="151"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For questions relating to the transfer or mechanics of the Octave SDRs in connection with the Distribution, you should contact Computershare Trust Company, N.A. at (866) 644 4127 (within the United States, U.S. territories, and Canada), at +1 (781) 575 2906 (outside the United States, U.S. territories, and Canada) or by email at web.queries@computershare.com.</w:t>
      </w:r>
    </w:p>
    <w:p>
      <w:pPr>
        <w:spacing w:after="0" w:line="118" w:lineRule="exact"/>
        <w:rPr>
          <w:sz w:val="20"/>
          <w:szCs w:val="20"/>
          <w:color w:val="auto"/>
        </w:rPr>
      </w:pPr>
    </w:p>
    <w:p>
      <w:pPr>
        <w:ind w:left="652" w:hanging="652"/>
        <w:spacing w:after="0"/>
        <w:tabs>
          <w:tab w:leader="none" w:pos="652"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get more information?</w:t>
      </w:r>
    </w:p>
    <w:p>
      <w:pPr>
        <w:spacing w:after="0" w:line="175" w:lineRule="exact"/>
        <w:rPr>
          <w:sz w:val="20"/>
          <w:szCs w:val="20"/>
          <w:color w:val="auto"/>
        </w:rPr>
      </w:pPr>
    </w:p>
    <w:p>
      <w:pPr>
        <w:ind w:left="652" w:hanging="652"/>
        <w:spacing w:after="0" w:line="282" w:lineRule="auto"/>
        <w:tabs>
          <w:tab w:leader="none" w:pos="64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relating to the mechanics of the distribution of Octave Shares, you should contact the distribution agent, transfer agent, and registrar of Octave.</w:t>
      </w:r>
    </w:p>
    <w:p>
      <w:pPr>
        <w:spacing w:after="0" w:line="107"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 question relating to the mechanics of the Octave SDRs, you should contact SEB.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232"/>
          </w:cols>
          <w:pgMar w:left="328" w:top="1417"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853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8535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information contained in this information statement. This summary is included for convenience only and is not, and should not be considered, complete. This summary is qualified in its entirety by more detailed information contained elsewhere in this information statement, which should be read carefully and in its entirety. Please refer to the section entitled “Risk Factors” for a discussion of risks related to Octave and the Distribution.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will acquire certain corporate infrastructure and other assets and liabilities described in this information statement through a series of restructuring transactions to be effected by Hexagon prior to the Distribution. Where we describe historical business activities of the Octave Business in this information statement, we do so as if these restructuring transactions had already occurred and Hexagon’s activities related to such assets and liabilities had been performed by Octave.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Statement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provides software that helps organizations better understand and manage the environments in which they design, build, operate, and protect their assets, people, and critical infrastructure. Our platform delivers context-aware intelligence that strengthens decision-making, reduces risk, and improves the quality, performance, and safety of the operations our customers depend 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w:t>
      </w:r>
    </w:p>
    <w:p>
      <w:pPr>
        <w:spacing w:after="0" w:line="1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AI capabilities within the platform are embedded in the operational workflows rather than used solely for reports or analysis. These capabilities help identify likely equipment failures, detect anomalies across the design-to-build-to-operate lifecycle, highlight conditions that may require attention, and support teams in prioritizing preventive actions based on identified risk and performance patterns. As we continue to develop and acquire new capabilities, we seek to integrate and connect these capabilities to enhance the aggregate value of our platform for our customers.</w:t>
      </w:r>
    </w:p>
    <w:p>
      <w:pPr>
        <w:spacing w:after="0" w:line="12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As organizations face increasing operational complexity, rising data volumes, and tighter performance requirements, demand continues to grow for software that can provide context-aware intelligence and support more informed, timely decision-making. Our commitment to customer success is reflected in our strong retention rates. As of December 31, 2024, our Gross Retention Rate (“GRR”) was 97%, and GRR for Large Customers (i.e., a parent entity or government department that has ARR (as defined below) of $500,000 or more as of the end of the current period) was 99%, demonstrating the mission-critical nature of our software and the high degree of loyalty within our customer base. For more information on GRR, see “Management's Discussion and Analysis of Financial Condition and Results of Operations—Key Business Metrics—Gross Retention Rate”. We serve diverse markets, including power generation and utilities, data centers, heavy construction, process industries, public safety, transportation networks, and other environments where reliability, safety, and coordinated operations are essential.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900"/>
          </w:cols>
          <w:pgMar w:left="1000" w:top="1440" w:right="99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30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Platform Environments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Octave’s software platform supports collaboration, improves continuity, and helps organizations reduce risk and strengthen the reliability of their systems across the following four core workflow environments:</w:t>
      </w:r>
    </w:p>
    <w:p>
      <w:pPr>
        <w:spacing w:after="0" w:line="108" w:lineRule="exact"/>
        <w:rPr>
          <w:sz w:val="20"/>
          <w:szCs w:val="20"/>
          <w:color w:val="auto"/>
        </w:rPr>
      </w:pPr>
    </w:p>
    <w:p>
      <w:pPr>
        <w:ind w:left="640" w:hanging="322"/>
        <w:spacing w:after="0" w:line="282" w:lineRule="auto"/>
        <w:tabs>
          <w:tab w:leader="none" w:pos="6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Supports 3D modeling, engineering analysis, simulation, and geospatial intelligence. This helps teams create information-rich digital representations that serve as the basis for downstream activities.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Connects engineering, procurement, fabrication, construction, and commissioning workflows. This helps teams coordinate materials, track progress, manage changes, and improve cost and schedule predictability.</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Unifies operational data, historical information, maintenance activities, quality systems, and worker tools. This enables real-time insight, predictive intelligence, operational technology cyber security, and improved asset and system performance.</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Supports public safety and physical security workflows. This includes incident response, emergency management, situational awareness, digital security, and regulatory compliance.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Markets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Organizations across the markets we serve are operating under increasing complexity. Several durable trends are driving demand for software that helps unify and contextualize information, enhance decision-making, and improve the performance and reliability of critical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AI Is Accelerating Data Proliferation and Infrastructure Modernization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adoption of AI across industries continues to generate large volumes of new data and increase the need for modern, scalable digital infrastructure. As organizations embed AI into more of their workflows, they require software that can unify data silos, standardize inputs, and support automated analysis. According to a McKinsey report, approximately 71% of firms are already using generative AI in at least one function. Organizations that prioritize end-to-end data transformation and modernize their technology foundations will be better positioned to take advantage of these capabilities.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Rising Global Energy Demand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Global energy consumption is increasing as industrial activity grows and as digital infrastructure, including data centers that support AI workloads, expands. Many of our customers operate in energy-intensive sectors such as oil and gas, power generation, nuclear, petrochemical processing, and electric grid operations. These environments depend on software that helps maintain safe, reliable, and efficient operations as demand for energy continues to rise.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Pent-Up Demand for Infrastructure Investment</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Physical infrastructure is aging across several regions, and investment cycles have not kept pace with societal and economic needs. As infrastructure becomes a limiting factor for growth, including the expansion of data centers, utilities, and other large-scale facilities, organizations are seeking digital tools that help plan, build, operate, and maintain assets more effectively. Software that supports connected workflows and better operational insight is critical.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Early-Stage Digital Transformation Across Industrial and Public Sectors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Many industries are still in the early stages of adopting modern, connected software for design, construction, operation, and public safety workflows. As organizations replace legacy tools and modernize how work is performed, they require platforms that can integrate and contextualize data from different sources and support more consistent, coordinated processes. This shift continues to drive demand for cloud, hybrid, and data-driven solutions.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900"/>
          </w:cols>
          <w:pgMar w:left="1000" w:top="1440" w:right="99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333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5. Growth in Data-Driven Decision-Making</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The volume of operational, sensor, engineering, and field data continues to increase, while workforce demographics are shifting. Experienced workers are retiring, and newer workers expect digital tools that help guide decision-making. Organizations are investing in solutions that make information more accessible, help teams recognize patterns, and support earlier and predictive action in complex environments.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6. Increasing Regulatory and Compliance Requirements</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Across industries, regulatory expectations related to safety, quality, environmental performance, and reporting continue to evolve. Organizations require software that helps maintain accurate records, demonstrate compliance, and respond to audits or inspections. This creates demand for systems that provide traceability, consistent workflows, and the ability to manage compliance-related information throughout the lifecycle of a project or asset.</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jc w:val="both"/>
        <w:ind w:left="6" w:right="20"/>
        <w:spacing w:after="0" w:line="254" w:lineRule="auto"/>
        <w:rPr>
          <w:sz w:val="20"/>
          <w:szCs w:val="20"/>
          <w:color w:val="auto"/>
        </w:rPr>
      </w:pPr>
      <w:r>
        <w:rPr>
          <w:rFonts w:ascii="Times New Roman" w:cs="Times New Roman" w:eastAsia="Times New Roman" w:hAnsi="Times New Roman"/>
          <w:sz w:val="18"/>
          <w:szCs w:val="18"/>
          <w:color w:val="auto"/>
        </w:rPr>
        <w:t>Based on market research and an assessment of various third party sources, including Gartner, IDC and Oxford Economics, we estimate that the total addressable market (“TAM”) for broader industrial and infrastructure asset lifecycle software at approximately $55 billion in 2025 and our serviceable addressable market (“SAM”) at approximately $28 billion in 2025. This SAM reflects our core solutions and primary end-markets and excludes adjacent software offerings and non-core industries. We expect this SAM to grow at a compound annual growth rate of approximately 10% to over $40 billion by 2029. For more information, see “Risk Factors—The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w:t>
      </w:r>
    </w:p>
    <w:p>
      <w:pPr>
        <w:spacing w:after="0" w:line="13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Market growth drivers include:</w:t>
      </w:r>
    </w:p>
    <w:p>
      <w:pPr>
        <w:spacing w:after="0" w:line="175" w:lineRule="exact"/>
        <w:rPr>
          <w:sz w:val="20"/>
          <w:szCs w:val="20"/>
          <w:color w:val="auto"/>
        </w:rPr>
      </w:pPr>
    </w:p>
    <w:p>
      <w:pPr>
        <w:ind w:left="326" w:hanging="326"/>
        <w:spacing w:after="0"/>
        <w:tabs>
          <w:tab w:leader="none" w:pos="3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complexity and stricter regulations in process and manufacturing industries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digital twins, predictive maintenance, and quality systems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and sustainability requirements in construction and infrastructure</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Modernization of emergency management and public safety systems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adoption of geospatial intelligence and real-time operational analytics</w:t>
      </w:r>
    </w:p>
    <w:p>
      <w:pPr>
        <w:spacing w:after="0" w:line="171"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We believe Octave is positioned to capture this opportunity through our end-to-end coverage, AI-driven automation, data-centric digital twins, and flexible deployment options.</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Our Solutions and Software Platform</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Octave provides software that empowers organizations to understand, manage, and improve the workflows they depend on. Our solutions are organized around four workflow environments across design, build, operate, and protect, and share a common platform that ensures continuity, context, and intelligence.</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Design Environment</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The design environment is where the digital foundation of a system begins. Octave helps engineers, designers, and planners create accurate, information-rich representations of assets, layouts, processes, and geospatial contexts. Our software supports 2D and 3D modeling, engineering analysis, digital simulation, geospatial intelligence, and governance standards to help teams validate design decisions before they become costly to change.</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906"/>
          </w:cols>
          <w:pgMar w:left="994" w:top="1440" w:right="99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642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64222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rule-based 3D modeling</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stress, structural, and performance analysis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Geospatial visualization and spatial analytics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Metadata extraction and contextualization</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management and version control</w:t>
      </w:r>
    </w:p>
    <w:p>
      <w:pPr>
        <w:spacing w:after="0" w:line="171"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By establishing a trusted digital baseline, the design environment provides the continuity needed for safe, accurate construction and reliable operations throughout the asset lifecycle. It also establishes the basis for the digital twin.</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Build Environment</w:t>
      </w:r>
    </w:p>
    <w:p>
      <w:pPr>
        <w:spacing w:after="0" w:line="175" w:lineRule="exact"/>
        <w:rPr>
          <w:sz w:val="20"/>
          <w:szCs w:val="20"/>
          <w:color w:val="auto"/>
        </w:rPr>
      </w:pPr>
    </w:p>
    <w:p>
      <w:pPr>
        <w:jc w:val="both"/>
        <w:ind w:left="6" w:right="20"/>
        <w:spacing w:after="0" w:line="261" w:lineRule="auto"/>
        <w:rPr>
          <w:sz w:val="20"/>
          <w:szCs w:val="20"/>
          <w:color w:val="auto"/>
        </w:rPr>
      </w:pPr>
      <w:r>
        <w:rPr>
          <w:rFonts w:ascii="Times New Roman" w:cs="Times New Roman" w:eastAsia="Times New Roman" w:hAnsi="Times New Roman"/>
          <w:sz w:val="18"/>
          <w:szCs w:val="18"/>
          <w:color w:val="auto"/>
        </w:rPr>
        <w:t>The build environment connects engineering, procurement, fabrication, construction, and commissioning activities. Octave helps project teams understand design intent, track changes, coordinate materials, and see the status of work as conditions shift. By bringing planning, field execution, supply chain data, and progress information into one environment, teams can detect deviations earlier, reduce rework, and improve schedule and cost predictability.</w:t>
      </w:r>
    </w:p>
    <w:p>
      <w:pPr>
        <w:spacing w:after="0" w:line="126"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The build environment also helps field teams capture accurate information about materials, inspections, and work completed, ensuring that changes made during construction are recorded and reflected in the digital representation of the system.</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field tools for real-time work data</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supply chain coordination</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performance management connecting planning and execution</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and deviation tracking</w:t>
      </w:r>
    </w:p>
    <w:p>
      <w:pPr>
        <w:spacing w:after="0" w:line="171"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The build environment enables a more reliable handover to operations by capturing information generated during construction, ensuring that what is delivered reflects what was designed.</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Operate Environment</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The operate environment unifies operational signals, engineering context, historical records, and maintenance workflows so organizations can understand system behavior in real time and over time. Octave helps operators, technicians, and maintenance teams monitor equipment, processes, and assets; manage alarms and events; support shift handovers; optimize maintenance strategies; and identify emerging risks through predictive intelligence.</w:t>
      </w:r>
    </w:p>
    <w:p>
      <w:pPr>
        <w:spacing w:after="0" w:line="1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Connected worker capabilities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quality monitoring</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and reliability management</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Predictive analytics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access to asset information</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906"/>
          </w:cols>
          <w:pgMar w:left="994" w:top="1440" w:right="99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367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By combining operational data with design and build context, the operate environment helps organizations reduce downtime, improve product quality, maintain compliance, and enhance safety.</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Protect Environment</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The protect environment enables organizations to detect, understand, and respond to threats across physical, digital, and operational domains. Octave supports public safety agencies, security operations centers, emergency response organizations, and critical infrastructure operators.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Computer-aided dispatch and records management</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physical and digital security insights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detection and situational awareness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 governance for regulated environments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Multi-agency coordination</w:t>
      </w:r>
    </w:p>
    <w:p>
      <w:pPr>
        <w:spacing w:after="0" w:line="171" w:lineRule="exact"/>
        <w:rPr>
          <w:sz w:val="20"/>
          <w:szCs w:val="20"/>
          <w:color w:val="auto"/>
        </w:rPr>
      </w:pPr>
    </w:p>
    <w:p>
      <w:pPr>
        <w:ind w:left="6" w:right="20"/>
        <w:spacing w:after="0" w:line="282" w:lineRule="auto"/>
        <w:rPr>
          <w:sz w:val="20"/>
          <w:szCs w:val="20"/>
          <w:color w:val="auto"/>
        </w:rPr>
      </w:pPr>
      <w:r>
        <w:rPr>
          <w:rFonts w:ascii="Times New Roman" w:cs="Times New Roman" w:eastAsia="Times New Roman" w:hAnsi="Times New Roman"/>
          <w:sz w:val="18"/>
          <w:szCs w:val="18"/>
          <w:color w:val="auto"/>
        </w:rPr>
        <w:t>By unifying information across detection, assessment, command, and response, the protect environment helps organizations manage risk and maintain operational continuity.</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Industries and Environments We Serve</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Organizations use Octave across:</w:t>
      </w:r>
    </w:p>
    <w:p>
      <w:pPr>
        <w:spacing w:after="0" w:line="171" w:lineRule="exact"/>
        <w:rPr>
          <w:sz w:val="20"/>
          <w:szCs w:val="20"/>
          <w:color w:val="auto"/>
        </w:rPr>
      </w:pPr>
    </w:p>
    <w:p>
      <w:pPr>
        <w:ind w:left="326" w:hanging="326"/>
        <w:spacing w:after="0"/>
        <w:tabs>
          <w:tab w:leader="none" w:pos="3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and utilities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centers and IT infrastructure operators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construction and public works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process industries (e.g. oil &amp; gas processing, chemicals &amp; petrochemicals)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safety and emergency response agencies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networks and logistics operations</w:t>
      </w:r>
    </w:p>
    <w:p>
      <w:pPr>
        <w:spacing w:after="0" w:line="171" w:lineRule="exact"/>
        <w:rPr>
          <w:rFonts w:ascii="Times New Roman" w:cs="Times New Roman" w:eastAsia="Times New Roman" w:hAnsi="Times New Roman"/>
          <w:sz w:val="18"/>
          <w:szCs w:val="18"/>
          <w:color w:val="auto"/>
        </w:rPr>
      </w:pPr>
    </w:p>
    <w:p>
      <w:pPr>
        <w:ind w:left="32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Light Process Industries (e.g. pharmaceuticals &amp; life sciences, pulp &amp; paper manufacturing, food &amp; beverage manufacturing)</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manufacturing (e.g. automotive, aerospace &amp; defense, electronics)</w:t>
      </w:r>
    </w:p>
    <w:p>
      <w:pPr>
        <w:spacing w:after="0" w:line="1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Octave differentiates itself through:</w:t>
      </w:r>
    </w:p>
    <w:p>
      <w:pPr>
        <w:spacing w:after="0" w:line="1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1. End-to-End Coverage Across All Workflow Environments</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We provide software that supports the full arc of designing, constructing, operating, and securing complex work environments. This continuity helps organizations maintain consistent information across different teams and phases of workflows, improving coordination and reducing the risk of errors, delays, or rework. By supporting the complete lifecycle, the platform naturally expands with customer needs and becomes integrated into long-term operational workflows.</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906"/>
          </w:cols>
          <w:pgMar w:left="994" w:top="1440" w:right="99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27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Real-Time Data and Dynamic Digital Models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platform helps organizations work with live, data-driven models that incorporate real-time information and historical context. These capabilities support better situational awareness, help teams evaluate alternative actions, and provide insight into likely outcomes, allowing organizations to shift from reactive responses to more proactive and resilient operations.</w:t>
      </w:r>
    </w:p>
    <w:p>
      <w:pPr>
        <w:spacing w:after="0" w:line="12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Octave’s digital twins function as dynamic operational decision environments rather than static visual representations. They integrate real-time data, engineering context, historical information, and predictive intelligence to help teams understand what is happening, what may happen next, and how different actions may affect outcomes. By embedding these models into daily workflows, from design and construction through operations and maintenance, customers can move from reactive work to more proactive, informed decision-making.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AI-Driven Automation and Context-Aware Intelligence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AI and advanced analytics to help teams detect patterns, understand relationships between data points, and identify emerging issues earlier. These capabilities can reduce manual effort, improve consistency and help teams make faster, more informed decisions in industries where timing and accuracy are critical.</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Octave’s platform is designed to use AI to support operational decision-making rather than function as a standalone analytical tool. The platform contextualizes signals from sensors, logs, maintenance history, engineering models, and field data to help teams recognize conditions that may require attention. These capabilities support activities such as identifying likely points of equipment stress, detecting anomalies across handoffs from design to construction to operations, and assisting teams in determining appropriate next actions during field work, maintenance, or emergency response. By providing this level of operational context, Octave’s platform helps reduce distraction, improve prioritization, and strengthen reliability in mission-critical environments.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our AI-powered solutions, our products use a variety of customized open-source models, proprietary models, and third party models built into our platform. We contract these third party providers on commercial terms that are in line with market practice. We also contract with multiple, large US-based public cloud providers to supply the computing power for our products utilizing AI, noting that depending on the product or configuration, our customers may be supplying all or a portion of the computing power used by our software. To validate and improve the AI models included in our products and limit algorithmic hallucinations resulting from our use of AI, we take steps to maintain quality control of the software, including evaluating output against real data prior to deployment and as part of regular testing and model refinement and improvement. We also implement solutions to appropriately structure the data used as model inputs in order to improve the effectiveness of our solutions, reduce the likelihood of algorithmic errors, and engage with customers to educate them on how best to utilize our solutions that utilize AI. Further, use of our solutions by customers, who are often subject matter experts in their respective fields, often involve human review and intervention opportunities to detect potential inaccuracy and improve the models.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Seamless Integration and Configurability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support integration with a wide range of enterprise systems through open interfaces and object-level connectivity. This helps customers unify information that has traditionally been stored across separate tools and formats. Our configurable workflows allow organizations to adapt the platform to their processes while reducing implementation time and administrative overhead.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Deep Industry and Domain Expertise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software reflects decades of experience across industrial operations, public safety, engineering, construction, and infrastructure management. Our expertise enables us to deliver capabilities aligned with real-world workflows, regulatory requirements, and the operational demands of mission-critical environments. We are a trusted partner to organizations that manage physical assets, people, and critical infrastructure. Our deep domain expertise is essential to ensuring operational success in environments where complexity is high and the cost of failure is significant.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900"/>
          </w:cols>
          <w:pgMar w:left="1000" w:top="1440" w:right="99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001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00189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Governance, Auditability, and Compliance Support</w:t>
      </w:r>
    </w:p>
    <w:p>
      <w:pPr>
        <w:spacing w:after="0" w:line="17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Given our role supporting mission-critical environments, our platform incorporates defined security, privacy, and data governance practices designed to protect customer information, support regulatory compliance, and maintain system reliability. Our solutions are designed to accommodate customer security policies, local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residency regulations, and highly regulated operating environments. We provide capabilities that help organizations maintain accurate records, track changes across systems, and support regulatory and audit needs. These features help customers establish consistent processes, reduce operational risk, and manage compliance requirements, which is particularly critical in highly regulated industries.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Flexible Deployment Options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Customers can deploy our software through cloud, hybrid, or on-premises configurations. This flexibility allows organizations to align the platform with their operational, regulatory, and security requirements while maintaining visibility and control over their systems.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Lower Total Cost of Ownership Through Unified Workflows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reducing the need for software solutions from multiple providers, Octave enables configurable workflows and streamlined integrations to help organizations reduce implementation effort and ongoing maintenance costs. In addition, our subscription and license models give customers flexibility to scale usage as their needs evolve, further enabling efficient asset ownership and operation.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Distribution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March 2025, Hexagon announced that its board of directors had directed management to prepare for the spin-off of the Octave Business into an independent, publicly-traded company, in accordance with its previous announcement to investigate the separation and</w:t>
      </w:r>
    </w:p>
    <w:p>
      <w:pPr>
        <w:spacing w:after="0"/>
        <w:tabs>
          <w:tab w:leader="none" w:pos="3000" w:val="left"/>
          <w:tab w:leader="none" w:pos="3540" w:val="left"/>
        </w:tabs>
        <w:rPr>
          <w:sz w:val="20"/>
          <w:szCs w:val="20"/>
          <w:color w:val="auto"/>
        </w:rPr>
      </w:pPr>
      <w:r>
        <w:rPr>
          <w:rFonts w:ascii="Times New Roman" w:cs="Times New Roman" w:eastAsia="Times New Roman" w:hAnsi="Times New Roman"/>
          <w:sz w:val="18"/>
          <w:szCs w:val="18"/>
          <w:color w:val="auto"/>
        </w:rPr>
        <w:t>spin-off in October 2024.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Hexagon’s shareholders at a general meeting of Hexagon approved the Distribution.</w:t>
      </w:r>
    </w:p>
    <w:p>
      <w:pPr>
        <w:spacing w:after="0" w:line="15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 complete the Distribution, Hexagon will distribute to its shareholders all of the issued share capital of Octave. Octave Shares will be distributed on the Distribution Date to holders of record of Hexagon Shares on the record date. Each such holder will receive</w:t>
      </w:r>
    </w:p>
    <w:p>
      <w:pPr>
        <w:jc w:val="both"/>
        <w:spacing w:after="0" w:line="250" w:lineRule="auto"/>
        <w:rPr>
          <w:sz w:val="20"/>
          <w:szCs w:val="20"/>
          <w:color w:val="auto"/>
        </w:rPr>
      </w:pPr>
      <w:r>
        <w:rPr>
          <w:rFonts w:ascii="Times New Roman" w:cs="Times New Roman" w:eastAsia="Times New Roman" w:hAnsi="Times New Roman"/>
          <w:sz w:val="18"/>
          <w:szCs w:val="18"/>
          <w:color w:val="auto"/>
        </w:rPr>
        <w:t>Octave Class A Ordinary Shares for every Hexagon Class A Shares and Octave Class B Ordinary Shares for every Hexagon Class B Shares held as of the record date. The Octave Class B Ordinary Shares will be delivered to</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holders of record, other than affiliates of Hexagon, in the form of Octave SDRs. Octave Class A Ordinary Shares will be delivered to holders of Hexagon Class A Shares and Octave Class B Ordinary Shares will be delivered to holders of Hexagon Class B Shares that are Hexagon affiliates in book-entry form via Octave’s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00"/>
          </w:cols>
          <w:pgMar w:left="1000" w:top="1440" w:right="99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847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Ownership of Octave Shares and Octave SDRs is subject to numerous risks, including risks related to the Distribution, Octave’s business industry, laws and regulations, financing and capital market activities, and Octave’s share capital and the structure of the Octave SDRs. Any of these risks and others could materially adversely affect Octave’s business, results of operations, cash flows, and financial condition. The following summary of risks is not exhaustive. Please read the section entitled “Risk Factors” beginning on page </w:t>
      </w:r>
      <w:r>
        <w:rPr>
          <w:rFonts w:ascii="Times New Roman" w:cs="Times New Roman" w:eastAsia="Times New Roman" w:hAnsi="Times New Roman"/>
          <w:sz w:val="18"/>
          <w:szCs w:val="18"/>
          <w:u w:val="single" w:color="auto"/>
          <w:color w:val="0000FF"/>
        </w:rPr>
        <w:t>20</w:t>
      </w:r>
      <w:r>
        <w:rPr>
          <w:rFonts w:ascii="Times New Roman" w:cs="Times New Roman" w:eastAsia="Times New Roman" w:hAnsi="Times New Roman"/>
          <w:sz w:val="18"/>
          <w:szCs w:val="18"/>
          <w:color w:val="auto"/>
        </w:rPr>
        <w:t xml:space="preserve"> for a description of the principal risks that Octave faces. Some of the more significant challenges and risks include the following: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Separation and Distribution</w:t>
      </w:r>
    </w:p>
    <w:p>
      <w:pPr>
        <w:spacing w:after="0" w:line="175" w:lineRule="exact"/>
        <w:rPr>
          <w:sz w:val="20"/>
          <w:szCs w:val="20"/>
          <w:color w:val="auto"/>
        </w:rPr>
      </w:pPr>
    </w:p>
    <w:p>
      <w:pPr>
        <w:ind w:left="640" w:hanging="322"/>
        <w:spacing w:after="0" w:line="282" w:lineRule="auto"/>
        <w:tabs>
          <w:tab w:leader="none" w:pos="6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has no operating history as an independent, publicly-traded company, and Octave’s historical combined financial information may not be a reliable indicator of Octave’s future results.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post-separation value of Hexagon Class B Shares and Octave Class B Ordinary Shares may not equal or exceed the pre-Distribution value of Hexagon Class B Shares.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Distribution does not qualify as a transaction that is generally tax-free for U.S. federal income tax purposes, U.S. Holders could be subject to significant tax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Octave’s Business</w:t>
      </w:r>
    </w:p>
    <w:p>
      <w:pPr>
        <w:spacing w:after="0" w:line="175" w:lineRule="exact"/>
        <w:rPr>
          <w:sz w:val="20"/>
          <w:szCs w:val="20"/>
          <w:color w:val="auto"/>
        </w:rPr>
      </w:pPr>
    </w:p>
    <w:p>
      <w:pPr>
        <w:ind w:left="640" w:hanging="322"/>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operates in highly competitive markets and may not be able to remain commercially competitive.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exposed to risks related to its transition to a Software-as-a-Service business model.</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protect and enhance Octave’s brand could have an adverse effect on its ability to grow.</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relies on trade secret protection for certain of its core technologies, which may not adequately protect Octave’s intellectual property.</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subject to certain risks with respect to its counterparties on contracts, and improper conduct by Octave’s employees, vendors, or business partners or third-party vendors could adversely affect Octave’s business.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exposed to risks related to strategic transactions, including those related to integration of new acquisitions, indemnifications under acquisition agreements, and contingent liabilities of divested businesses.</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not be able to access capital, credit, and foreign exchange markets on favorable terms or at all.</w:t>
      </w:r>
    </w:p>
    <w:p>
      <w:pPr>
        <w:spacing w:after="0" w:line="171"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not be able to attract and retain the personnel it depends on to innovate and grow, particularly in AI and other advanced technologies.</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implementation timelines, delays, or performance issues for our software solutions could expose Octave to potential liability or reputational harm.</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global operations expose Octave to geopolitical, regulatory, and economic risks.</w:t>
      </w:r>
    </w:p>
    <w:p>
      <w:pPr>
        <w:spacing w:after="0" w:line="171"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could face penalties and loss of contract eligibility if Octave’s government contracting subsidiary does not comply with applicable regulatory requirements.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Octave’s Technology</w:t>
      </w:r>
    </w:p>
    <w:p>
      <w:pPr>
        <w:spacing w:after="0" w:line="175" w:lineRule="exact"/>
        <w:rPr>
          <w:sz w:val="20"/>
          <w:szCs w:val="20"/>
          <w:color w:val="auto"/>
        </w:rPr>
      </w:pPr>
    </w:p>
    <w:p>
      <w:pPr>
        <w:ind w:left="640" w:right="20" w:hanging="322"/>
        <w:spacing w:after="0" w:line="282" w:lineRule="auto"/>
        <w:tabs>
          <w:tab w:leader="none" w:pos="6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relies on certain technologies that it does not own or control, including third-party commercially licensed and open-source software.</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of Octave’s cloud-based platform or cybersecurity breaches could severely disrupt operations, and cybersecurity threats could result in costly breaches, liability, and rising cybersecurity insurance premiums.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900"/>
          </w:cols>
          <w:pgMar w:left="1000" w:top="1440" w:right="99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8122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81222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40" w:hanging="322"/>
        <w:spacing w:after="0" w:line="282" w:lineRule="auto"/>
        <w:tabs>
          <w:tab w:leader="none" w:pos="6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global software development approach may lead to inconsistent oversight and quality control, and Octave’s software may contain unknown vulnerabilities, defects, or otherwise fail to perform as expected.</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AI could reduce demand for Octave’s products.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business is dependent upon substantial investment in information technology.</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use of unsupported legacy products exposes Octave to potential liability and reputational risk.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Risks</w:t>
      </w:r>
    </w:p>
    <w:p>
      <w:pPr>
        <w:spacing w:after="0" w:line="175" w:lineRule="exact"/>
        <w:rPr>
          <w:sz w:val="20"/>
          <w:szCs w:val="20"/>
          <w:color w:val="auto"/>
        </w:rPr>
      </w:pPr>
    </w:p>
    <w:p>
      <w:pPr>
        <w:jc w:val="both"/>
        <w:ind w:left="640" w:right="20" w:hanging="322"/>
        <w:spacing w:after="0" w:line="266" w:lineRule="auto"/>
        <w:tabs>
          <w:tab w:leader="none" w:pos="6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subject to extensive laws and regulations, including those related to anti-corruption, data protection and privacy, export controls, and antitrust, among others, and any changes thereto or violations thereof could have a material adverse effect on Octave’s business.</w:t>
      </w:r>
    </w:p>
    <w:p>
      <w:pPr>
        <w:spacing w:after="0" w:line="12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become involved in litigation, including securities litigation, arbitration, governmental proceedings, and stemming from third-party conduct beyond Octave’s control.</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software products could be subject to unauthorized access, misuse, or diversion, which may result in serious legal, regulatory, and reputational consequences.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Octave Class B Ordinary Shares and Octave SDRs</w:t>
      </w:r>
    </w:p>
    <w:p>
      <w:pPr>
        <w:spacing w:after="0" w:line="175" w:lineRule="exact"/>
        <w:rPr>
          <w:sz w:val="20"/>
          <w:szCs w:val="20"/>
          <w:color w:val="auto"/>
        </w:rPr>
      </w:pPr>
    </w:p>
    <w:p>
      <w:pPr>
        <w:ind w:left="640" w:right="20" w:hanging="322"/>
        <w:spacing w:after="0" w:line="282"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Octave will be a “foreign private issuer,” which could make the Octave Class B Ordinary Shares less attractive to investors.</w:t>
      </w:r>
    </w:p>
    <w:p>
      <w:pPr>
        <w:spacing w:after="0" w:line="107" w:lineRule="exact"/>
        <w:rPr>
          <w:rFonts w:ascii="Times New Roman" w:cs="Times New Roman" w:eastAsia="Times New Roman" w:hAnsi="Times New Roman"/>
          <w:sz w:val="18"/>
          <w:szCs w:val="18"/>
          <w:color w:val="auto"/>
        </w:rPr>
      </w:pPr>
    </w:p>
    <w:p>
      <w:pPr>
        <w:jc w:val="both"/>
        <w:ind w:left="640" w:right="20" w:hanging="322"/>
        <w:spacing w:after="0" w:line="266"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Octave Class B Ordinary Shares will be distributed through a temporary SDR program, and Octave SDR holders do not have the same rights as shareholders. If Octave terminates the Octave SDR Program, holders may incur costs or the price of Octave Class B Ordinary Shares could be volatile.</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Markets for the Octave Class B Ordinary Shares or Octave SDRs do not now exist and may not develop.</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sales or the possibility of such sales by existing shareholders of Hexagon shares, including Octave’s significant shareholder, Melker Schörling AB, could cause Octave’s share price to decline.</w:t>
      </w:r>
    </w:p>
    <w:p>
      <w:pPr>
        <w:spacing w:after="0" w:line="107" w:lineRule="exact"/>
        <w:rPr>
          <w:rFonts w:ascii="Times New Roman" w:cs="Times New Roman" w:eastAsia="Times New Roman" w:hAnsi="Times New Roman"/>
          <w:sz w:val="18"/>
          <w:szCs w:val="18"/>
          <w:color w:val="auto"/>
        </w:rPr>
      </w:pPr>
    </w:p>
    <w:p>
      <w:pPr>
        <w:jc w:val="both"/>
        <w:ind w:left="640" w:hanging="322"/>
        <w:spacing w:after="0" w:line="266"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in Octave’s memorandum and articles of association, in the form expected to be in effect at the time of the Distribution (the “Articles”) has the effect of concentrating voting control and the ability to influence corporate matters with Octave’s significant shareholder, Melker Schörling AB.</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does not intend to pay dividends on the Octave Shares in the near future.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percentage ownership of the Octave Class B Ordinary Shares may be diluted in the future.</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not be able to implement effective internal controls over financial reporting, and Octave’s disclosure controls and procedures may not prevent or detect all errors or acts of fraud.</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analysts may not publish research or reports or may publish unfavorable research about Octave’s business, and may downgrade Octave Class B Ordinary Shares or our sector.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Octave’s Jurisdiction of Incorporation in Ireland</w:t>
      </w:r>
    </w:p>
    <w:p>
      <w:pPr>
        <w:spacing w:after="0" w:line="175" w:lineRule="exact"/>
        <w:rPr>
          <w:sz w:val="20"/>
          <w:szCs w:val="20"/>
          <w:color w:val="auto"/>
        </w:rPr>
      </w:pPr>
    </w:p>
    <w:p>
      <w:pPr>
        <w:jc w:val="both"/>
        <w:ind w:left="640" w:right="20" w:hanging="322"/>
        <w:spacing w:after="0" w:line="261" w:lineRule="auto"/>
        <w:tabs>
          <w:tab w:leader="none" w:pos="6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law in Octave’s jurisdiction of incorporation, Ireland, might afford less protection to the holders of Octave Shares, Octave SDRs, or other securities representing shares of Octave than would U.S. laws. Any actual or potential offer to acquire Octave will be subject to certain provisions of the Irish and Swedish takeover rules, and certain provisions in the Articles could prevent an acquisition of Octave.</w:t>
      </w:r>
    </w:p>
    <w:p>
      <w:pPr>
        <w:spacing w:after="0" w:line="125"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Irish law imposes restrictions on certain aspects of capital management and payment of dividends.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Octave’s shares may be subject to Irish stamp duty or Irish capital acquisitions tax.</w:t>
      </w:r>
    </w:p>
    <w:p>
      <w:pPr>
        <w:sectPr>
          <w:pgSz w:w="11900" w:h="16838" w:orient="portrait"/>
          <w:cols w:equalWidth="0" w:num="1">
            <w:col w:w="9900"/>
          </w:cols>
          <w:pgMar w:left="1000" w:top="1440" w:right="999"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900"/>
          </w:cols>
          <w:pgMar w:left="1000" w:top="1440" w:right="999" w:bottom="97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218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22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SUMMARY OF THE SEPARATION AND THE DISTRIBUTION</w:t>
            </w:r>
          </w:p>
        </w:tc>
        <w:tc>
          <w:tcPr>
            <w:tcW w:w="1800" w:type="dxa"/>
            <w:vAlign w:val="bottom"/>
          </w:tcPr>
          <w:p>
            <w:pPr>
              <w:spacing w:after="0"/>
              <w:rPr>
                <w:sz w:val="20"/>
                <w:szCs w:val="20"/>
                <w:color w:val="auto"/>
              </w:rPr>
            </w:pPr>
          </w:p>
        </w:tc>
      </w:tr>
      <w:tr>
        <w:trPr>
          <w:trHeight w:val="378"/>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Please see “The Separation and the Distribution” for a more detailed description of the matters described below.</w:t>
            </w:r>
          </w:p>
        </w:tc>
        <w:tc>
          <w:tcPr>
            <w:tcW w:w="1800" w:type="dxa"/>
            <w:vAlign w:val="bottom"/>
          </w:tcPr>
          <w:p>
            <w:pPr>
              <w:spacing w:after="0"/>
              <w:rPr>
                <w:sz w:val="24"/>
                <w:szCs w:val="24"/>
                <w:color w:val="auto"/>
              </w:rPr>
            </w:pPr>
          </w:p>
        </w:tc>
      </w:tr>
      <w:tr>
        <w:trPr>
          <w:trHeight w:val="37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Distributing Company</w:t>
            </w:r>
          </w:p>
        </w:tc>
        <w:tc>
          <w:tcPr>
            <w:tcW w:w="766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Hexagon AB is a Swedish corporation (</w:t>
            </w:r>
            <w:r>
              <w:rPr>
                <w:rFonts w:ascii="Times New Roman" w:cs="Times New Roman" w:eastAsia="Times New Roman" w:hAnsi="Times New Roman"/>
                <w:sz w:val="18"/>
                <w:szCs w:val="18"/>
                <w:i w:val="1"/>
                <w:iCs w:val="1"/>
                <w:color w:val="auto"/>
              </w:rPr>
              <w:t>Aktiebolag</w:t>
            </w:r>
            <w:r>
              <w:rPr>
                <w:rFonts w:ascii="Times New Roman" w:cs="Times New Roman" w:eastAsia="Times New Roman" w:hAnsi="Times New Roman"/>
                <w:sz w:val="18"/>
                <w:szCs w:val="18"/>
                <w:color w:val="auto"/>
              </w:rPr>
              <w:t>) and, prior to the</w:t>
            </w:r>
          </w:p>
        </w:tc>
      </w:tr>
      <w:tr>
        <w:trPr>
          <w:trHeight w:val="180"/>
        </w:trPr>
        <w:tc>
          <w:tcPr>
            <w:tcW w:w="2220" w:type="dxa"/>
            <w:vAlign w:val="bottom"/>
          </w:tcPr>
          <w:p>
            <w:pPr>
              <w:spacing w:after="0"/>
              <w:rPr>
                <w:sz w:val="15"/>
                <w:szCs w:val="15"/>
                <w:color w:val="auto"/>
              </w:rPr>
            </w:pPr>
          </w:p>
        </w:tc>
        <w:tc>
          <w:tcPr>
            <w:tcW w:w="7660" w:type="dxa"/>
            <w:vAlign w:val="bottom"/>
            <w:gridSpan w:val="3"/>
          </w:tcPr>
          <w:p>
            <w:pPr>
              <w:ind w:left="2260"/>
              <w:spacing w:after="0" w:line="181" w:lineRule="exact"/>
              <w:rPr>
                <w:sz w:val="20"/>
                <w:szCs w:val="20"/>
                <w:color w:val="auto"/>
              </w:rPr>
            </w:pPr>
            <w:r>
              <w:rPr>
                <w:rFonts w:ascii="Times New Roman" w:cs="Times New Roman" w:eastAsia="Times New Roman" w:hAnsi="Times New Roman"/>
                <w:sz w:val="18"/>
                <w:szCs w:val="18"/>
                <w:color w:val="auto"/>
              </w:rPr>
              <w:t>Distribution, is engaged principally in the development of technologies</w:t>
            </w:r>
          </w:p>
        </w:tc>
      </w:tr>
      <w:tr>
        <w:trPr>
          <w:trHeight w:val="176"/>
        </w:trPr>
        <w:tc>
          <w:tcPr>
            <w:tcW w:w="2220" w:type="dxa"/>
            <w:vAlign w:val="bottom"/>
          </w:tcPr>
          <w:p>
            <w:pPr>
              <w:spacing w:after="0"/>
              <w:rPr>
                <w:sz w:val="15"/>
                <w:szCs w:val="15"/>
                <w:color w:val="auto"/>
              </w:rPr>
            </w:pPr>
          </w:p>
        </w:tc>
        <w:tc>
          <w:tcPr>
            <w:tcW w:w="7660" w:type="dxa"/>
            <w:vAlign w:val="bottom"/>
            <w:gridSpan w:val="3"/>
          </w:tcPr>
          <w:p>
            <w:pPr>
              <w:ind w:left="2260"/>
              <w:spacing w:after="0" w:line="176" w:lineRule="exact"/>
              <w:rPr>
                <w:sz w:val="20"/>
                <w:szCs w:val="20"/>
                <w:color w:val="auto"/>
              </w:rPr>
            </w:pPr>
            <w:r>
              <w:rPr>
                <w:rFonts w:ascii="Times New Roman" w:cs="Times New Roman" w:eastAsia="Times New Roman" w:hAnsi="Times New Roman"/>
                <w:sz w:val="18"/>
                <w:szCs w:val="18"/>
                <w:color w:val="auto"/>
              </w:rPr>
              <w:t>that focus on connecting and automating production and people-centered</w:t>
            </w:r>
          </w:p>
        </w:tc>
      </w:tr>
      <w:tr>
        <w:trPr>
          <w:trHeight w:val="184"/>
        </w:trPr>
        <w:tc>
          <w:tcPr>
            <w:tcW w:w="2220" w:type="dxa"/>
            <w:vAlign w:val="bottom"/>
          </w:tcPr>
          <w:p>
            <w:pPr>
              <w:spacing w:after="0"/>
              <w:rPr>
                <w:sz w:val="16"/>
                <w:szCs w:val="16"/>
                <w:color w:val="auto"/>
              </w:rPr>
            </w:pPr>
          </w:p>
        </w:tc>
        <w:tc>
          <w:tcPr>
            <w:tcW w:w="7660" w:type="dxa"/>
            <w:vAlign w:val="bottom"/>
            <w:gridSpan w:val="3"/>
          </w:tcPr>
          <w:p>
            <w:pPr>
              <w:ind w:left="2260"/>
              <w:spacing w:after="0" w:line="184" w:lineRule="exact"/>
              <w:rPr>
                <w:sz w:val="20"/>
                <w:szCs w:val="20"/>
                <w:color w:val="auto"/>
              </w:rPr>
            </w:pPr>
            <w:r>
              <w:rPr>
                <w:rFonts w:ascii="Times New Roman" w:cs="Times New Roman" w:eastAsia="Times New Roman" w:hAnsi="Times New Roman"/>
                <w:sz w:val="18"/>
                <w:szCs w:val="18"/>
                <w:color w:val="auto"/>
              </w:rPr>
              <w:t>ecosystems,  across  a  range  of  applications,  including  industrial</w:t>
            </w:r>
          </w:p>
        </w:tc>
      </w:tr>
      <w:tr>
        <w:trPr>
          <w:trHeight w:val="180"/>
        </w:trPr>
        <w:tc>
          <w:tcPr>
            <w:tcW w:w="2220" w:type="dxa"/>
            <w:vAlign w:val="bottom"/>
          </w:tcPr>
          <w:p>
            <w:pPr>
              <w:spacing w:after="0"/>
              <w:rPr>
                <w:sz w:val="15"/>
                <w:szCs w:val="15"/>
                <w:color w:val="auto"/>
              </w:rPr>
            </w:pPr>
          </w:p>
        </w:tc>
        <w:tc>
          <w:tcPr>
            <w:tcW w:w="7660" w:type="dxa"/>
            <w:vAlign w:val="bottom"/>
            <w:gridSpan w:val="3"/>
          </w:tcPr>
          <w:p>
            <w:pPr>
              <w:ind w:left="2260"/>
              <w:spacing w:after="0" w:line="181" w:lineRule="exact"/>
              <w:rPr>
                <w:sz w:val="20"/>
                <w:szCs w:val="20"/>
                <w:color w:val="auto"/>
              </w:rPr>
            </w:pPr>
            <w:r>
              <w:rPr>
                <w:rFonts w:ascii="Times New Roman" w:cs="Times New Roman" w:eastAsia="Times New Roman" w:hAnsi="Times New Roman"/>
                <w:sz w:val="18"/>
                <w:szCs w:val="18"/>
                <w:color w:val="auto"/>
              </w:rPr>
              <w:t>manufacturing, infrastructure development, public sector management,</w:t>
            </w:r>
          </w:p>
        </w:tc>
      </w:tr>
      <w:tr>
        <w:trPr>
          <w:trHeight w:val="176"/>
        </w:trPr>
        <w:tc>
          <w:tcPr>
            <w:tcW w:w="2220" w:type="dxa"/>
            <w:vAlign w:val="bottom"/>
          </w:tcPr>
          <w:p>
            <w:pPr>
              <w:spacing w:after="0"/>
              <w:rPr>
                <w:sz w:val="15"/>
                <w:szCs w:val="15"/>
                <w:color w:val="auto"/>
              </w:rPr>
            </w:pPr>
          </w:p>
        </w:tc>
        <w:tc>
          <w:tcPr>
            <w:tcW w:w="7660" w:type="dxa"/>
            <w:vAlign w:val="bottom"/>
            <w:gridSpan w:val="3"/>
          </w:tcPr>
          <w:p>
            <w:pPr>
              <w:ind w:left="2260"/>
              <w:spacing w:after="0" w:line="176" w:lineRule="exact"/>
              <w:rPr>
                <w:sz w:val="20"/>
                <w:szCs w:val="20"/>
                <w:color w:val="auto"/>
              </w:rPr>
            </w:pPr>
            <w:r>
              <w:rPr>
                <w:rFonts w:ascii="Times New Roman" w:cs="Times New Roman" w:eastAsia="Times New Roman" w:hAnsi="Times New Roman"/>
                <w:sz w:val="18"/>
                <w:szCs w:val="18"/>
                <w:color w:val="auto"/>
              </w:rPr>
              <w:t>and mobility solutions. Following the Distribution, Hexagon will focus on</w:t>
            </w:r>
          </w:p>
        </w:tc>
      </w:tr>
      <w:tr>
        <w:trPr>
          <w:trHeight w:val="184"/>
        </w:trPr>
        <w:tc>
          <w:tcPr>
            <w:tcW w:w="2220" w:type="dxa"/>
            <w:vAlign w:val="bottom"/>
          </w:tcPr>
          <w:p>
            <w:pPr>
              <w:spacing w:after="0"/>
              <w:rPr>
                <w:sz w:val="16"/>
                <w:szCs w:val="16"/>
                <w:color w:val="auto"/>
              </w:rPr>
            </w:pPr>
          </w:p>
        </w:tc>
        <w:tc>
          <w:tcPr>
            <w:tcW w:w="7660" w:type="dxa"/>
            <w:vAlign w:val="bottom"/>
            <w:gridSpan w:val="3"/>
          </w:tcPr>
          <w:p>
            <w:pPr>
              <w:ind w:left="2260"/>
              <w:spacing w:after="0" w:line="184" w:lineRule="exact"/>
              <w:rPr>
                <w:sz w:val="20"/>
                <w:szCs w:val="20"/>
                <w:color w:val="auto"/>
              </w:rPr>
            </w:pPr>
            <w:r>
              <w:rPr>
                <w:rFonts w:ascii="Times New Roman" w:cs="Times New Roman" w:eastAsia="Times New Roman" w:hAnsi="Times New Roman"/>
                <w:sz w:val="18"/>
                <w:szCs w:val="18"/>
                <w:color w:val="auto"/>
              </w:rPr>
              <w:t>its core mission: helping industrial customers address labor shortages and</w:t>
            </w:r>
          </w:p>
        </w:tc>
      </w:tr>
      <w:tr>
        <w:trPr>
          <w:trHeight w:val="180"/>
        </w:trPr>
        <w:tc>
          <w:tcPr>
            <w:tcW w:w="2220" w:type="dxa"/>
            <w:vAlign w:val="bottom"/>
          </w:tcPr>
          <w:p>
            <w:pPr>
              <w:spacing w:after="0"/>
              <w:rPr>
                <w:sz w:val="15"/>
                <w:szCs w:val="15"/>
                <w:color w:val="auto"/>
              </w:rPr>
            </w:pPr>
          </w:p>
        </w:tc>
        <w:tc>
          <w:tcPr>
            <w:tcW w:w="7660" w:type="dxa"/>
            <w:vAlign w:val="bottom"/>
            <w:gridSpan w:val="3"/>
          </w:tcPr>
          <w:p>
            <w:pPr>
              <w:ind w:left="2260"/>
              <w:spacing w:after="0" w:line="181" w:lineRule="exact"/>
              <w:rPr>
                <w:sz w:val="20"/>
                <w:szCs w:val="20"/>
                <w:color w:val="auto"/>
              </w:rPr>
            </w:pPr>
            <w:r>
              <w:rPr>
                <w:rFonts w:ascii="Times New Roman" w:cs="Times New Roman" w:eastAsia="Times New Roman" w:hAnsi="Times New Roman"/>
                <w:sz w:val="18"/>
                <w:szCs w:val="18"/>
                <w:color w:val="auto"/>
              </w:rPr>
              <w:t>embrace  sustainability  via  its  advanced  capabilities  in  precision</w:t>
            </w:r>
          </w:p>
        </w:tc>
      </w:tr>
      <w:tr>
        <w:trPr>
          <w:trHeight w:val="176"/>
        </w:trPr>
        <w:tc>
          <w:tcPr>
            <w:tcW w:w="2220" w:type="dxa"/>
            <w:vAlign w:val="bottom"/>
          </w:tcPr>
          <w:p>
            <w:pPr>
              <w:spacing w:after="0"/>
              <w:rPr>
                <w:sz w:val="15"/>
                <w:szCs w:val="15"/>
                <w:color w:val="auto"/>
              </w:rPr>
            </w:pPr>
          </w:p>
        </w:tc>
        <w:tc>
          <w:tcPr>
            <w:tcW w:w="7660" w:type="dxa"/>
            <w:vAlign w:val="bottom"/>
            <w:gridSpan w:val="3"/>
          </w:tcPr>
          <w:p>
            <w:pPr>
              <w:ind w:left="2260"/>
              <w:spacing w:after="0" w:line="176" w:lineRule="exact"/>
              <w:rPr>
                <w:sz w:val="20"/>
                <w:szCs w:val="20"/>
                <w:color w:val="auto"/>
              </w:rPr>
            </w:pPr>
            <w:r>
              <w:rPr>
                <w:rFonts w:ascii="Times New Roman" w:cs="Times New Roman" w:eastAsia="Times New Roman" w:hAnsi="Times New Roman"/>
                <w:sz w:val="18"/>
                <w:szCs w:val="18"/>
                <w:color w:val="auto"/>
              </w:rPr>
              <w:t>measurement, reality capture, positioning and autonomy technologies, and</w:t>
            </w:r>
          </w:p>
        </w:tc>
      </w:tr>
      <w:tr>
        <w:trPr>
          <w:trHeight w:val="234"/>
        </w:trPr>
        <w:tc>
          <w:tcPr>
            <w:tcW w:w="2220" w:type="dxa"/>
            <w:vAlign w:val="bottom"/>
          </w:tcPr>
          <w:p>
            <w:pPr>
              <w:spacing w:after="0"/>
              <w:rPr>
                <w:sz w:val="20"/>
                <w:szCs w:val="20"/>
                <w:color w:val="auto"/>
              </w:rPr>
            </w:pPr>
          </w:p>
        </w:tc>
        <w:tc>
          <w:tcPr>
            <w:tcW w:w="45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robotic solutions.</w:t>
            </w: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Distributed Company</w:t>
            </w:r>
          </w:p>
        </w:tc>
        <w:tc>
          <w:tcPr>
            <w:tcW w:w="766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Octave is an Irish public limited company and, prior to the Distribution, a</w:t>
            </w:r>
          </w:p>
        </w:tc>
      </w:tr>
      <w:tr>
        <w:trPr>
          <w:trHeight w:val="180"/>
        </w:trPr>
        <w:tc>
          <w:tcPr>
            <w:tcW w:w="2220" w:type="dxa"/>
            <w:vAlign w:val="bottom"/>
          </w:tcPr>
          <w:p>
            <w:pPr>
              <w:spacing w:after="0"/>
              <w:rPr>
                <w:sz w:val="15"/>
                <w:szCs w:val="15"/>
                <w:color w:val="auto"/>
              </w:rPr>
            </w:pPr>
          </w:p>
        </w:tc>
        <w:tc>
          <w:tcPr>
            <w:tcW w:w="7660" w:type="dxa"/>
            <w:vAlign w:val="bottom"/>
            <w:gridSpan w:val="3"/>
          </w:tcPr>
          <w:p>
            <w:pPr>
              <w:ind w:left="2260"/>
              <w:spacing w:after="0" w:line="181" w:lineRule="exact"/>
              <w:rPr>
                <w:sz w:val="20"/>
                <w:szCs w:val="20"/>
                <w:color w:val="auto"/>
              </w:rPr>
            </w:pPr>
            <w:r>
              <w:rPr>
                <w:rFonts w:ascii="Times New Roman" w:cs="Times New Roman" w:eastAsia="Times New Roman" w:hAnsi="Times New Roman"/>
                <w:sz w:val="18"/>
                <w:szCs w:val="18"/>
                <w:color w:val="auto"/>
              </w:rPr>
              <w:t>wholly owned subsidiary of Hexagon. Following the Distribution, Octave</w:t>
            </w:r>
          </w:p>
        </w:tc>
      </w:tr>
      <w:tr>
        <w:trPr>
          <w:trHeight w:val="175"/>
        </w:trPr>
        <w:tc>
          <w:tcPr>
            <w:tcW w:w="2220" w:type="dxa"/>
            <w:vAlign w:val="bottom"/>
          </w:tcPr>
          <w:p>
            <w:pPr>
              <w:spacing w:after="0"/>
              <w:rPr>
                <w:sz w:val="15"/>
                <w:szCs w:val="15"/>
                <w:color w:val="auto"/>
              </w:rPr>
            </w:pPr>
          </w:p>
        </w:tc>
        <w:tc>
          <w:tcPr>
            <w:tcW w:w="7660" w:type="dxa"/>
            <w:vAlign w:val="bottom"/>
            <w:gridSpan w:val="3"/>
          </w:tcPr>
          <w:p>
            <w:pPr>
              <w:ind w:left="2260"/>
              <w:spacing w:after="0" w:line="176" w:lineRule="exact"/>
              <w:rPr>
                <w:sz w:val="20"/>
                <w:szCs w:val="20"/>
                <w:color w:val="auto"/>
              </w:rPr>
            </w:pPr>
            <w:r>
              <w:rPr>
                <w:rFonts w:ascii="Times New Roman" w:cs="Times New Roman" w:eastAsia="Times New Roman" w:hAnsi="Times New Roman"/>
                <w:sz w:val="18"/>
                <w:szCs w:val="18"/>
                <w:color w:val="auto"/>
              </w:rPr>
              <w:t>will be an independent publicly-traded company and will own and operate</w:t>
            </w:r>
          </w:p>
        </w:tc>
      </w:tr>
      <w:tr>
        <w:trPr>
          <w:trHeight w:val="184"/>
        </w:trPr>
        <w:tc>
          <w:tcPr>
            <w:tcW w:w="2220" w:type="dxa"/>
            <w:vAlign w:val="bottom"/>
          </w:tcPr>
          <w:p>
            <w:pPr>
              <w:spacing w:after="0"/>
              <w:rPr>
                <w:sz w:val="16"/>
                <w:szCs w:val="16"/>
                <w:color w:val="auto"/>
              </w:rPr>
            </w:pPr>
          </w:p>
        </w:tc>
        <w:tc>
          <w:tcPr>
            <w:tcW w:w="7660" w:type="dxa"/>
            <w:vAlign w:val="bottom"/>
            <w:gridSpan w:val="3"/>
          </w:tcPr>
          <w:p>
            <w:pPr>
              <w:ind w:left="2260"/>
              <w:spacing w:after="0" w:line="184" w:lineRule="exact"/>
              <w:rPr>
                <w:sz w:val="20"/>
                <w:szCs w:val="20"/>
                <w:color w:val="auto"/>
              </w:rPr>
            </w:pPr>
            <w:r>
              <w:rPr>
                <w:rFonts w:ascii="Times New Roman" w:cs="Times New Roman" w:eastAsia="Times New Roman" w:hAnsi="Times New Roman"/>
                <w:sz w:val="18"/>
                <w:szCs w:val="18"/>
                <w:color w:val="auto"/>
              </w:rPr>
              <w:t>the Octave Business, focusing on being a global provider of software for</w:t>
            </w:r>
          </w:p>
        </w:tc>
      </w:tr>
      <w:tr>
        <w:trPr>
          <w:trHeight w:val="180"/>
        </w:trPr>
        <w:tc>
          <w:tcPr>
            <w:tcW w:w="2220" w:type="dxa"/>
            <w:vAlign w:val="bottom"/>
          </w:tcPr>
          <w:p>
            <w:pPr>
              <w:spacing w:after="0"/>
              <w:rPr>
                <w:sz w:val="15"/>
                <w:szCs w:val="15"/>
                <w:color w:val="auto"/>
              </w:rPr>
            </w:pPr>
          </w:p>
        </w:tc>
        <w:tc>
          <w:tcPr>
            <w:tcW w:w="7660" w:type="dxa"/>
            <w:vAlign w:val="bottom"/>
            <w:gridSpan w:val="3"/>
          </w:tcPr>
          <w:p>
            <w:pPr>
              <w:ind w:left="2260"/>
              <w:spacing w:after="0" w:line="181" w:lineRule="exact"/>
              <w:rPr>
                <w:sz w:val="20"/>
                <w:szCs w:val="20"/>
                <w:color w:val="auto"/>
              </w:rPr>
            </w:pPr>
            <w:r>
              <w:rPr>
                <w:rFonts w:ascii="Times New Roman" w:cs="Times New Roman" w:eastAsia="Times New Roman" w:hAnsi="Times New Roman"/>
                <w:sz w:val="18"/>
                <w:szCs w:val="18"/>
                <w:color w:val="auto"/>
              </w:rPr>
              <w:t>enterprises, organizations, and governments to design, build, operate, and</w:t>
            </w:r>
          </w:p>
        </w:tc>
      </w:tr>
      <w:tr>
        <w:trPr>
          <w:trHeight w:val="176"/>
        </w:trPr>
        <w:tc>
          <w:tcPr>
            <w:tcW w:w="2220" w:type="dxa"/>
            <w:vAlign w:val="bottom"/>
          </w:tcPr>
          <w:p>
            <w:pPr>
              <w:spacing w:after="0"/>
              <w:rPr>
                <w:sz w:val="15"/>
                <w:szCs w:val="15"/>
                <w:color w:val="auto"/>
              </w:rPr>
            </w:pPr>
          </w:p>
        </w:tc>
        <w:tc>
          <w:tcPr>
            <w:tcW w:w="7660" w:type="dxa"/>
            <w:vAlign w:val="bottom"/>
            <w:gridSpan w:val="3"/>
          </w:tcPr>
          <w:p>
            <w:pPr>
              <w:ind w:left="2260"/>
              <w:spacing w:after="0" w:line="176" w:lineRule="exact"/>
              <w:rPr>
                <w:sz w:val="20"/>
                <w:szCs w:val="20"/>
                <w:color w:val="auto"/>
              </w:rPr>
            </w:pPr>
            <w:r>
              <w:rPr>
                <w:rFonts w:ascii="Times New Roman" w:cs="Times New Roman" w:eastAsia="Times New Roman" w:hAnsi="Times New Roman"/>
                <w:sz w:val="18"/>
                <w:szCs w:val="18"/>
                <w:color w:val="auto"/>
              </w:rPr>
              <w:t>protect critical industrial and infrastructure assets. Please see the sections</w:t>
            </w:r>
          </w:p>
        </w:tc>
      </w:tr>
      <w:tr>
        <w:trPr>
          <w:trHeight w:val="184"/>
        </w:trPr>
        <w:tc>
          <w:tcPr>
            <w:tcW w:w="2220" w:type="dxa"/>
            <w:vAlign w:val="bottom"/>
          </w:tcPr>
          <w:p>
            <w:pPr>
              <w:spacing w:after="0"/>
              <w:rPr>
                <w:sz w:val="16"/>
                <w:szCs w:val="16"/>
                <w:color w:val="auto"/>
              </w:rPr>
            </w:pPr>
          </w:p>
        </w:tc>
        <w:tc>
          <w:tcPr>
            <w:tcW w:w="7660" w:type="dxa"/>
            <w:vAlign w:val="bottom"/>
            <w:gridSpan w:val="3"/>
          </w:tcPr>
          <w:p>
            <w:pPr>
              <w:ind w:left="2260"/>
              <w:spacing w:after="0" w:line="184" w:lineRule="exact"/>
              <w:rPr>
                <w:sz w:val="20"/>
                <w:szCs w:val="20"/>
                <w:color w:val="auto"/>
              </w:rPr>
            </w:pPr>
            <w:r>
              <w:rPr>
                <w:rFonts w:ascii="Times New Roman" w:cs="Times New Roman" w:eastAsia="Times New Roman" w:hAnsi="Times New Roman"/>
                <w:sz w:val="18"/>
                <w:szCs w:val="18"/>
                <w:color w:val="auto"/>
              </w:rPr>
              <w:t>of  this  information  statement  entitled  “Business  of  Octave”  and</w:t>
            </w:r>
          </w:p>
        </w:tc>
      </w:tr>
      <w:tr>
        <w:trPr>
          <w:trHeight w:val="180"/>
        </w:trPr>
        <w:tc>
          <w:tcPr>
            <w:tcW w:w="2220" w:type="dxa"/>
            <w:vAlign w:val="bottom"/>
          </w:tcPr>
          <w:p>
            <w:pPr>
              <w:spacing w:after="0"/>
              <w:rPr>
                <w:sz w:val="15"/>
                <w:szCs w:val="15"/>
                <w:color w:val="auto"/>
              </w:rPr>
            </w:pPr>
          </w:p>
        </w:tc>
        <w:tc>
          <w:tcPr>
            <w:tcW w:w="7660" w:type="dxa"/>
            <w:vAlign w:val="bottom"/>
            <w:gridSpan w:val="3"/>
          </w:tcPr>
          <w:p>
            <w:pPr>
              <w:ind w:left="2260"/>
              <w:spacing w:after="0" w:line="181"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w:t>
            </w:r>
          </w:p>
        </w:tc>
      </w:tr>
      <w:tr>
        <w:trPr>
          <w:trHeight w:val="234"/>
        </w:trPr>
        <w:tc>
          <w:tcPr>
            <w:tcW w:w="2220" w:type="dxa"/>
            <w:vAlign w:val="bottom"/>
          </w:tcPr>
          <w:p>
            <w:pPr>
              <w:spacing w:after="0"/>
              <w:rPr>
                <w:sz w:val="20"/>
                <w:szCs w:val="20"/>
                <w:color w:val="auto"/>
              </w:rPr>
            </w:pPr>
          </w:p>
        </w:tc>
        <w:tc>
          <w:tcPr>
            <w:tcW w:w="766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Results of Operations” for information concerning the Octave Business.</w:t>
            </w:r>
          </w:p>
        </w:tc>
      </w:tr>
      <w:tr>
        <w:trPr>
          <w:trHeight w:val="23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Ratio</w:t>
            </w:r>
          </w:p>
        </w:tc>
        <w:tc>
          <w:tcPr>
            <w:tcW w:w="766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Each holder of Hexagon Class A Shares and/or Hexagon Class B Shares</w:t>
            </w:r>
          </w:p>
        </w:tc>
      </w:tr>
      <w:tr>
        <w:trPr>
          <w:trHeight w:val="180"/>
        </w:trPr>
        <w:tc>
          <w:tcPr>
            <w:tcW w:w="2220" w:type="dxa"/>
            <w:vAlign w:val="bottom"/>
          </w:tcPr>
          <w:p>
            <w:pPr>
              <w:spacing w:after="0"/>
              <w:rPr>
                <w:sz w:val="15"/>
                <w:szCs w:val="15"/>
                <w:color w:val="auto"/>
              </w:rPr>
            </w:pPr>
          </w:p>
        </w:tc>
        <w:tc>
          <w:tcPr>
            <w:tcW w:w="5860" w:type="dxa"/>
            <w:vAlign w:val="bottom"/>
            <w:gridSpan w:val="2"/>
          </w:tcPr>
          <w:p>
            <w:pPr>
              <w:ind w:left="2260"/>
              <w:spacing w:after="0" w:line="181" w:lineRule="exact"/>
              <w:rPr>
                <w:sz w:val="20"/>
                <w:szCs w:val="20"/>
                <w:color w:val="auto"/>
              </w:rPr>
            </w:pPr>
            <w:r>
              <w:rPr>
                <w:rFonts w:ascii="Times New Roman" w:cs="Times New Roman" w:eastAsia="Times New Roman" w:hAnsi="Times New Roman"/>
                <w:sz w:val="18"/>
                <w:szCs w:val="18"/>
                <w:color w:val="auto"/>
              </w:rPr>
              <w:t>as of the record date will receive a distribution of</w:t>
            </w:r>
          </w:p>
        </w:tc>
        <w:tc>
          <w:tcPr>
            <w:tcW w:w="18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Octave Class A</w:t>
            </w:r>
          </w:p>
        </w:tc>
      </w:tr>
      <w:tr>
        <w:trPr>
          <w:trHeight w:val="175"/>
        </w:trPr>
        <w:tc>
          <w:tcPr>
            <w:tcW w:w="2220" w:type="dxa"/>
            <w:vAlign w:val="bottom"/>
          </w:tcPr>
          <w:p>
            <w:pPr>
              <w:spacing w:after="0"/>
              <w:rPr>
                <w:sz w:val="15"/>
                <w:szCs w:val="15"/>
                <w:color w:val="auto"/>
              </w:rPr>
            </w:pPr>
          </w:p>
        </w:tc>
        <w:tc>
          <w:tcPr>
            <w:tcW w:w="4520" w:type="dxa"/>
            <w:vAlign w:val="bottom"/>
          </w:tcPr>
          <w:p>
            <w:pPr>
              <w:ind w:left="2260"/>
              <w:spacing w:after="0" w:line="176" w:lineRule="exact"/>
              <w:rPr>
                <w:sz w:val="20"/>
                <w:szCs w:val="20"/>
                <w:color w:val="auto"/>
              </w:rPr>
            </w:pPr>
            <w:r>
              <w:rPr>
                <w:rFonts w:ascii="Times New Roman" w:cs="Times New Roman" w:eastAsia="Times New Roman" w:hAnsi="Times New Roman"/>
                <w:sz w:val="18"/>
                <w:szCs w:val="18"/>
                <w:color w:val="auto"/>
              </w:rPr>
              <w:t>Ordinary Shares for every</w:t>
            </w:r>
          </w:p>
        </w:tc>
        <w:tc>
          <w:tcPr>
            <w:tcW w:w="3140" w:type="dxa"/>
            <w:vAlign w:val="bottom"/>
            <w:gridSpan w:val="2"/>
          </w:tcPr>
          <w:p>
            <w:pPr>
              <w:jc w:val="right"/>
              <w:ind w:right="570"/>
              <w:spacing w:after="0" w:line="176" w:lineRule="exact"/>
              <w:rPr>
                <w:sz w:val="20"/>
                <w:szCs w:val="20"/>
                <w:color w:val="auto"/>
              </w:rPr>
            </w:pPr>
            <w:r>
              <w:rPr>
                <w:rFonts w:ascii="Times New Roman" w:cs="Times New Roman" w:eastAsia="Times New Roman" w:hAnsi="Times New Roman"/>
                <w:sz w:val="18"/>
                <w:szCs w:val="18"/>
                <w:color w:val="auto"/>
              </w:rPr>
              <w:t>Hexagon Class A Shares and</w:t>
            </w:r>
          </w:p>
        </w:tc>
      </w:tr>
      <w:tr>
        <w:trPr>
          <w:trHeight w:val="184"/>
        </w:trPr>
        <w:tc>
          <w:tcPr>
            <w:tcW w:w="2220" w:type="dxa"/>
            <w:vAlign w:val="bottom"/>
          </w:tcPr>
          <w:p>
            <w:pPr>
              <w:spacing w:after="0"/>
              <w:rPr>
                <w:sz w:val="16"/>
                <w:szCs w:val="16"/>
                <w:color w:val="auto"/>
              </w:rPr>
            </w:pPr>
          </w:p>
        </w:tc>
        <w:tc>
          <w:tcPr>
            <w:tcW w:w="5860" w:type="dxa"/>
            <w:vAlign w:val="bottom"/>
            <w:gridSpan w:val="2"/>
          </w:tcPr>
          <w:p>
            <w:pPr>
              <w:ind w:left="2260"/>
              <w:spacing w:after="0" w:line="184" w:lineRule="exact"/>
              <w:rPr>
                <w:sz w:val="20"/>
                <w:szCs w:val="20"/>
                <w:color w:val="auto"/>
              </w:rPr>
            </w:pPr>
            <w:r>
              <w:rPr>
                <w:rFonts w:ascii="Times New Roman" w:cs="Times New Roman" w:eastAsia="Times New Roman" w:hAnsi="Times New Roman"/>
                <w:sz w:val="18"/>
                <w:szCs w:val="18"/>
                <w:color w:val="auto"/>
              </w:rPr>
              <w:t>Octave Class B Ordinary Shares for every</w:t>
            </w:r>
          </w:p>
        </w:tc>
        <w:tc>
          <w:tcPr>
            <w:tcW w:w="18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99"/>
              </w:rPr>
              <w:t>Hexagon Class B Shares</w:t>
            </w:r>
          </w:p>
        </w:tc>
      </w:tr>
      <w:tr>
        <w:trPr>
          <w:trHeight w:val="234"/>
        </w:trPr>
        <w:tc>
          <w:tcPr>
            <w:tcW w:w="2220" w:type="dxa"/>
            <w:vAlign w:val="bottom"/>
          </w:tcPr>
          <w:p>
            <w:pPr>
              <w:spacing w:after="0"/>
              <w:rPr>
                <w:sz w:val="20"/>
                <w:szCs w:val="20"/>
                <w:color w:val="auto"/>
              </w:rPr>
            </w:pPr>
          </w:p>
        </w:tc>
        <w:tc>
          <w:tcPr>
            <w:tcW w:w="45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held as of the record date.</w:t>
            </w: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8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to be Distributed</w:t>
            </w:r>
          </w:p>
        </w:tc>
        <w:tc>
          <w:tcPr>
            <w:tcW w:w="766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Octave Class A Ordinary Shares and Octave Class B Ordinary Shares.</w:t>
            </w:r>
          </w:p>
        </w:tc>
      </w:tr>
      <w:tr>
        <w:trPr>
          <w:trHeight w:val="297"/>
        </w:trPr>
        <w:tc>
          <w:tcPr>
            <w:tcW w:w="2220" w:type="dxa"/>
            <w:vAlign w:val="bottom"/>
          </w:tcPr>
          <w:p>
            <w:pPr>
              <w:spacing w:after="0"/>
              <w:rPr>
                <w:sz w:val="24"/>
                <w:szCs w:val="24"/>
                <w:color w:val="auto"/>
              </w:rPr>
            </w:pPr>
          </w:p>
        </w:tc>
        <w:tc>
          <w:tcPr>
            <w:tcW w:w="766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Non-affiliate holders of Hexagon Class B Shares will receive Octave</w:t>
            </w:r>
          </w:p>
        </w:tc>
      </w:tr>
      <w:tr>
        <w:trPr>
          <w:trHeight w:val="176"/>
        </w:trPr>
        <w:tc>
          <w:tcPr>
            <w:tcW w:w="2220" w:type="dxa"/>
            <w:vAlign w:val="bottom"/>
          </w:tcPr>
          <w:p>
            <w:pPr>
              <w:spacing w:after="0"/>
              <w:rPr>
                <w:sz w:val="15"/>
                <w:szCs w:val="15"/>
                <w:color w:val="auto"/>
              </w:rPr>
            </w:pPr>
          </w:p>
        </w:tc>
        <w:tc>
          <w:tcPr>
            <w:tcW w:w="7660" w:type="dxa"/>
            <w:vAlign w:val="bottom"/>
            <w:gridSpan w:val="3"/>
          </w:tcPr>
          <w:p>
            <w:pPr>
              <w:ind w:left="2260"/>
              <w:spacing w:after="0" w:line="176" w:lineRule="exact"/>
              <w:rPr>
                <w:sz w:val="20"/>
                <w:szCs w:val="20"/>
                <w:color w:val="auto"/>
              </w:rPr>
            </w:pPr>
            <w:r>
              <w:rPr>
                <w:rFonts w:ascii="Times New Roman" w:cs="Times New Roman" w:eastAsia="Times New Roman" w:hAnsi="Times New Roman"/>
                <w:sz w:val="18"/>
                <w:szCs w:val="18"/>
                <w:color w:val="auto"/>
              </w:rPr>
              <w:t>Class B Ordinary Shares by way of SEB issuing Octave SDRs that each</w:t>
            </w:r>
          </w:p>
        </w:tc>
      </w:tr>
      <w:tr>
        <w:trPr>
          <w:trHeight w:val="184"/>
        </w:trPr>
        <w:tc>
          <w:tcPr>
            <w:tcW w:w="2220" w:type="dxa"/>
            <w:vAlign w:val="bottom"/>
          </w:tcPr>
          <w:p>
            <w:pPr>
              <w:spacing w:after="0"/>
              <w:rPr>
                <w:sz w:val="16"/>
                <w:szCs w:val="16"/>
                <w:color w:val="auto"/>
              </w:rPr>
            </w:pPr>
          </w:p>
        </w:tc>
        <w:tc>
          <w:tcPr>
            <w:tcW w:w="7660" w:type="dxa"/>
            <w:vAlign w:val="bottom"/>
            <w:gridSpan w:val="3"/>
          </w:tcPr>
          <w:p>
            <w:pPr>
              <w:ind w:left="2260"/>
              <w:spacing w:after="0" w:line="184" w:lineRule="exact"/>
              <w:rPr>
                <w:sz w:val="20"/>
                <w:szCs w:val="20"/>
                <w:color w:val="auto"/>
              </w:rPr>
            </w:pPr>
            <w:r>
              <w:rPr>
                <w:rFonts w:ascii="Times New Roman" w:cs="Times New Roman" w:eastAsia="Times New Roman" w:hAnsi="Times New Roman"/>
                <w:sz w:val="18"/>
                <w:szCs w:val="18"/>
                <w:color w:val="auto"/>
              </w:rPr>
              <w:t>represent one underlying Octave Class B Ordinary Share into such</w:t>
            </w:r>
          </w:p>
        </w:tc>
      </w:tr>
      <w:tr>
        <w:trPr>
          <w:trHeight w:val="180"/>
        </w:trPr>
        <w:tc>
          <w:tcPr>
            <w:tcW w:w="2220" w:type="dxa"/>
            <w:vAlign w:val="bottom"/>
          </w:tcPr>
          <w:p>
            <w:pPr>
              <w:spacing w:after="0"/>
              <w:rPr>
                <w:sz w:val="15"/>
                <w:szCs w:val="15"/>
                <w:color w:val="auto"/>
              </w:rPr>
            </w:pPr>
          </w:p>
        </w:tc>
        <w:tc>
          <w:tcPr>
            <w:tcW w:w="7660" w:type="dxa"/>
            <w:vAlign w:val="bottom"/>
            <w:gridSpan w:val="3"/>
          </w:tcPr>
          <w:p>
            <w:pPr>
              <w:ind w:left="2260"/>
              <w:spacing w:after="0" w:line="181" w:lineRule="exact"/>
              <w:rPr>
                <w:sz w:val="20"/>
                <w:szCs w:val="20"/>
                <w:color w:val="auto"/>
              </w:rPr>
            </w:pPr>
            <w:r>
              <w:rPr>
                <w:rFonts w:ascii="Times New Roman" w:cs="Times New Roman" w:eastAsia="Times New Roman" w:hAnsi="Times New Roman"/>
                <w:sz w:val="18"/>
                <w:szCs w:val="18"/>
                <w:color w:val="auto"/>
              </w:rPr>
              <w:t>holders’ Euroclear Sweden accounts. Octave intends to maintain the</w:t>
            </w:r>
          </w:p>
        </w:tc>
      </w:tr>
      <w:tr>
        <w:trPr>
          <w:trHeight w:val="176"/>
        </w:trPr>
        <w:tc>
          <w:tcPr>
            <w:tcW w:w="2220" w:type="dxa"/>
            <w:vAlign w:val="bottom"/>
          </w:tcPr>
          <w:p>
            <w:pPr>
              <w:spacing w:after="0"/>
              <w:rPr>
                <w:sz w:val="15"/>
                <w:szCs w:val="15"/>
                <w:color w:val="auto"/>
              </w:rPr>
            </w:pPr>
          </w:p>
        </w:tc>
        <w:tc>
          <w:tcPr>
            <w:tcW w:w="7660" w:type="dxa"/>
            <w:vAlign w:val="bottom"/>
            <w:gridSpan w:val="3"/>
          </w:tcPr>
          <w:p>
            <w:pPr>
              <w:ind w:left="2260"/>
              <w:spacing w:after="0" w:line="176" w:lineRule="exact"/>
              <w:rPr>
                <w:sz w:val="20"/>
                <w:szCs w:val="20"/>
                <w:color w:val="auto"/>
              </w:rPr>
            </w:pPr>
            <w:r>
              <w:rPr>
                <w:rFonts w:ascii="Times New Roman" w:cs="Times New Roman" w:eastAsia="Times New Roman" w:hAnsi="Times New Roman"/>
                <w:sz w:val="18"/>
                <w:szCs w:val="18"/>
                <w:color w:val="auto"/>
              </w:rPr>
              <w:t>Octave SDR Program until further notice, which Octave expects to be for</w:t>
            </w:r>
          </w:p>
        </w:tc>
      </w:tr>
      <w:tr>
        <w:trPr>
          <w:trHeight w:val="184"/>
        </w:trPr>
        <w:tc>
          <w:tcPr>
            <w:tcW w:w="2220" w:type="dxa"/>
            <w:vAlign w:val="bottom"/>
          </w:tcPr>
          <w:p>
            <w:pPr>
              <w:spacing w:after="0"/>
              <w:rPr>
                <w:sz w:val="16"/>
                <w:szCs w:val="16"/>
                <w:color w:val="auto"/>
              </w:rPr>
            </w:pPr>
          </w:p>
        </w:tc>
        <w:tc>
          <w:tcPr>
            <w:tcW w:w="7660" w:type="dxa"/>
            <w:vAlign w:val="bottom"/>
            <w:gridSpan w:val="3"/>
          </w:tcPr>
          <w:p>
            <w:pPr>
              <w:ind w:left="2260"/>
              <w:spacing w:after="0" w:line="184" w:lineRule="exact"/>
              <w:rPr>
                <w:sz w:val="20"/>
                <w:szCs w:val="20"/>
                <w:color w:val="auto"/>
              </w:rPr>
            </w:pPr>
            <w:r>
              <w:rPr>
                <w:rFonts w:ascii="Times New Roman" w:cs="Times New Roman" w:eastAsia="Times New Roman" w:hAnsi="Times New Roman"/>
                <w:sz w:val="18"/>
                <w:szCs w:val="18"/>
                <w:color w:val="auto"/>
              </w:rPr>
              <w:t>about two years following the Distribution; however, Octave intends to</w:t>
            </w:r>
          </w:p>
        </w:tc>
      </w:tr>
      <w:tr>
        <w:trPr>
          <w:trHeight w:val="180"/>
        </w:trPr>
        <w:tc>
          <w:tcPr>
            <w:tcW w:w="2220" w:type="dxa"/>
            <w:vAlign w:val="bottom"/>
          </w:tcPr>
          <w:p>
            <w:pPr>
              <w:spacing w:after="0"/>
              <w:rPr>
                <w:sz w:val="15"/>
                <w:szCs w:val="15"/>
                <w:color w:val="auto"/>
              </w:rPr>
            </w:pPr>
          </w:p>
        </w:tc>
        <w:tc>
          <w:tcPr>
            <w:tcW w:w="7660" w:type="dxa"/>
            <w:vAlign w:val="bottom"/>
            <w:gridSpan w:val="3"/>
          </w:tcPr>
          <w:p>
            <w:pPr>
              <w:ind w:left="2260"/>
              <w:spacing w:after="0" w:line="181" w:lineRule="exact"/>
              <w:rPr>
                <w:sz w:val="20"/>
                <w:szCs w:val="20"/>
                <w:color w:val="auto"/>
              </w:rPr>
            </w:pPr>
            <w:r>
              <w:rPr>
                <w:rFonts w:ascii="Times New Roman" w:cs="Times New Roman" w:eastAsia="Times New Roman" w:hAnsi="Times New Roman"/>
                <w:sz w:val="18"/>
                <w:szCs w:val="18"/>
                <w:color w:val="auto"/>
              </w:rPr>
              <w:t>evaluate the Octave SDR Program over time in light of liquidity and</w:t>
            </w:r>
          </w:p>
        </w:tc>
      </w:tr>
      <w:tr>
        <w:trPr>
          <w:trHeight w:val="175"/>
        </w:trPr>
        <w:tc>
          <w:tcPr>
            <w:tcW w:w="2220" w:type="dxa"/>
            <w:vAlign w:val="bottom"/>
          </w:tcPr>
          <w:p>
            <w:pPr>
              <w:spacing w:after="0"/>
              <w:rPr>
                <w:sz w:val="15"/>
                <w:szCs w:val="15"/>
                <w:color w:val="auto"/>
              </w:rPr>
            </w:pPr>
          </w:p>
        </w:tc>
        <w:tc>
          <w:tcPr>
            <w:tcW w:w="7660" w:type="dxa"/>
            <w:vAlign w:val="bottom"/>
            <w:gridSpan w:val="3"/>
          </w:tcPr>
          <w:p>
            <w:pPr>
              <w:ind w:left="2260"/>
              <w:spacing w:after="0" w:line="176" w:lineRule="exact"/>
              <w:rPr>
                <w:sz w:val="20"/>
                <w:szCs w:val="20"/>
                <w:color w:val="auto"/>
              </w:rPr>
            </w:pPr>
            <w:r>
              <w:rPr>
                <w:rFonts w:ascii="Times New Roman" w:cs="Times New Roman" w:eastAsia="Times New Roman" w:hAnsi="Times New Roman"/>
                <w:sz w:val="18"/>
                <w:szCs w:val="18"/>
                <w:color w:val="auto"/>
              </w:rPr>
              <w:t>relative trading volume on Nasdaq Stockholm and Nasdaq New York.</w:t>
            </w:r>
          </w:p>
        </w:tc>
      </w:tr>
      <w:tr>
        <w:trPr>
          <w:trHeight w:val="184"/>
        </w:trPr>
        <w:tc>
          <w:tcPr>
            <w:tcW w:w="2220" w:type="dxa"/>
            <w:vAlign w:val="bottom"/>
          </w:tcPr>
          <w:p>
            <w:pPr>
              <w:spacing w:after="0"/>
              <w:rPr>
                <w:sz w:val="16"/>
                <w:szCs w:val="16"/>
                <w:color w:val="auto"/>
              </w:rPr>
            </w:pPr>
          </w:p>
        </w:tc>
        <w:tc>
          <w:tcPr>
            <w:tcW w:w="7660" w:type="dxa"/>
            <w:vAlign w:val="bottom"/>
            <w:gridSpan w:val="3"/>
          </w:tcPr>
          <w:p>
            <w:pPr>
              <w:ind w:left="2260"/>
              <w:spacing w:after="0" w:line="184" w:lineRule="exact"/>
              <w:rPr>
                <w:sz w:val="20"/>
                <w:szCs w:val="20"/>
                <w:color w:val="auto"/>
              </w:rPr>
            </w:pPr>
            <w:r>
              <w:rPr>
                <w:rFonts w:ascii="Times New Roman" w:cs="Times New Roman" w:eastAsia="Times New Roman" w:hAnsi="Times New Roman"/>
                <w:sz w:val="18"/>
                <w:szCs w:val="18"/>
                <w:color w:val="auto"/>
              </w:rPr>
              <w:t>There can be no assurance that the Octave SDR Program will be</w:t>
            </w:r>
          </w:p>
        </w:tc>
      </w:tr>
      <w:tr>
        <w:trPr>
          <w:trHeight w:val="234"/>
        </w:trPr>
        <w:tc>
          <w:tcPr>
            <w:tcW w:w="2220" w:type="dxa"/>
            <w:vAlign w:val="bottom"/>
          </w:tcPr>
          <w:p>
            <w:pPr>
              <w:spacing w:after="0"/>
              <w:rPr>
                <w:sz w:val="20"/>
                <w:szCs w:val="20"/>
                <w:color w:val="auto"/>
              </w:rPr>
            </w:pPr>
          </w:p>
        </w:tc>
        <w:tc>
          <w:tcPr>
            <w:tcW w:w="45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maintained for this period.</w:t>
            </w: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Fractional Shares and SDRs</w:t>
            </w:r>
          </w:p>
        </w:tc>
        <w:tc>
          <w:tcPr>
            <w:tcW w:w="766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Fractional  Octave  Shares  and  fractional  Octave  SDRs  will  not  be</w:t>
            </w:r>
          </w:p>
        </w:tc>
      </w:tr>
      <w:tr>
        <w:trPr>
          <w:trHeight w:val="180"/>
        </w:trPr>
        <w:tc>
          <w:tcPr>
            <w:tcW w:w="2220" w:type="dxa"/>
            <w:vAlign w:val="bottom"/>
          </w:tcPr>
          <w:p>
            <w:pPr>
              <w:spacing w:after="0"/>
              <w:rPr>
                <w:sz w:val="15"/>
                <w:szCs w:val="15"/>
                <w:color w:val="auto"/>
              </w:rPr>
            </w:pPr>
          </w:p>
        </w:tc>
        <w:tc>
          <w:tcPr>
            <w:tcW w:w="7660" w:type="dxa"/>
            <w:vAlign w:val="bottom"/>
            <w:gridSpan w:val="3"/>
          </w:tcPr>
          <w:p>
            <w:pPr>
              <w:ind w:left="2260"/>
              <w:spacing w:after="0" w:line="181" w:lineRule="exact"/>
              <w:rPr>
                <w:sz w:val="20"/>
                <w:szCs w:val="20"/>
                <w:color w:val="auto"/>
              </w:rPr>
            </w:pPr>
            <w:r>
              <w:rPr>
                <w:rFonts w:ascii="Times New Roman" w:cs="Times New Roman" w:eastAsia="Times New Roman" w:hAnsi="Times New Roman"/>
                <w:sz w:val="18"/>
                <w:szCs w:val="18"/>
                <w:color w:val="auto"/>
              </w:rPr>
              <w:t>distributed.  Instead,  Computershare,  in  its  capacity  as  transfer  and</w:t>
            </w:r>
          </w:p>
        </w:tc>
      </w:tr>
      <w:tr>
        <w:trPr>
          <w:trHeight w:val="175"/>
        </w:trPr>
        <w:tc>
          <w:tcPr>
            <w:tcW w:w="2220" w:type="dxa"/>
            <w:vAlign w:val="bottom"/>
          </w:tcPr>
          <w:p>
            <w:pPr>
              <w:spacing w:after="0"/>
              <w:rPr>
                <w:sz w:val="15"/>
                <w:szCs w:val="15"/>
                <w:color w:val="auto"/>
              </w:rPr>
            </w:pPr>
          </w:p>
        </w:tc>
        <w:tc>
          <w:tcPr>
            <w:tcW w:w="7660" w:type="dxa"/>
            <w:vAlign w:val="bottom"/>
            <w:gridSpan w:val="3"/>
          </w:tcPr>
          <w:p>
            <w:pPr>
              <w:ind w:left="2260"/>
              <w:spacing w:after="0" w:line="176" w:lineRule="exact"/>
              <w:rPr>
                <w:sz w:val="20"/>
                <w:szCs w:val="20"/>
                <w:color w:val="auto"/>
              </w:rPr>
            </w:pPr>
            <w:r>
              <w:rPr>
                <w:rFonts w:ascii="Times New Roman" w:cs="Times New Roman" w:eastAsia="Times New Roman" w:hAnsi="Times New Roman"/>
                <w:sz w:val="18"/>
                <w:szCs w:val="18"/>
                <w:color w:val="auto"/>
              </w:rPr>
              <w:t>distribution agent, will aggregate fractional Octave Shares into whole</w:t>
            </w:r>
          </w:p>
        </w:tc>
      </w:tr>
      <w:tr>
        <w:trPr>
          <w:trHeight w:val="204"/>
        </w:trPr>
        <w:tc>
          <w:tcPr>
            <w:tcW w:w="2220" w:type="dxa"/>
            <w:vAlign w:val="bottom"/>
          </w:tcPr>
          <w:p>
            <w:pPr>
              <w:spacing w:after="0"/>
              <w:rPr>
                <w:sz w:val="17"/>
                <w:szCs w:val="17"/>
                <w:color w:val="auto"/>
              </w:rPr>
            </w:pPr>
          </w:p>
        </w:tc>
        <w:tc>
          <w:tcPr>
            <w:tcW w:w="7660" w:type="dxa"/>
            <w:vAlign w:val="bottom"/>
            <w:gridSpan w:val="3"/>
          </w:tcPr>
          <w:p>
            <w:pPr>
              <w:ind w:left="2260"/>
              <w:spacing w:after="0" w:line="204" w:lineRule="exact"/>
              <w:rPr>
                <w:sz w:val="20"/>
                <w:szCs w:val="20"/>
                <w:color w:val="auto"/>
              </w:rPr>
            </w:pPr>
            <w:r>
              <w:rPr>
                <w:rFonts w:ascii="Times New Roman" w:cs="Times New Roman" w:eastAsia="Times New Roman" w:hAnsi="Times New Roman"/>
                <w:sz w:val="18"/>
                <w:szCs w:val="18"/>
                <w:color w:val="auto"/>
              </w:rPr>
              <w:t>shares and then sell the whole shares on Nasdaq New York, while SEB, in</w:t>
            </w:r>
          </w:p>
        </w:tc>
      </w:tr>
    </w:tbl>
    <w:p>
      <w:pPr>
        <w:jc w:val="both"/>
        <w:ind w:left="4480" w:right="20"/>
        <w:spacing w:after="0" w:line="208" w:lineRule="auto"/>
        <w:rPr>
          <w:sz w:val="20"/>
          <w:szCs w:val="20"/>
          <w:color w:val="auto"/>
        </w:rPr>
      </w:pPr>
      <w:r>
        <w:rPr>
          <w:rFonts w:ascii="Times New Roman" w:cs="Times New Roman" w:eastAsia="Times New Roman" w:hAnsi="Times New Roman"/>
          <w:sz w:val="18"/>
          <w:szCs w:val="18"/>
          <w:color w:val="auto"/>
        </w:rPr>
        <w:t>its capacity as Octave SDR depositary, will aggregate fractional Octave SDRs into whole Octave SDRs and sell the whole Octave SDRs on Nasdaq Stockholm. In each case, the whole shares and whole Octave</w:t>
      </w:r>
    </w:p>
    <w:p>
      <w:pPr>
        <w:spacing w:after="0" w:line="2" w:lineRule="exact"/>
        <w:rPr>
          <w:sz w:val="20"/>
          <w:szCs w:val="20"/>
          <w:color w:val="auto"/>
        </w:rPr>
      </w:pPr>
    </w:p>
    <w:p>
      <w:pPr>
        <w:jc w:val="both"/>
        <w:ind w:left="4480" w:right="20"/>
        <w:spacing w:after="0" w:line="208" w:lineRule="auto"/>
        <w:rPr>
          <w:sz w:val="20"/>
          <w:szCs w:val="20"/>
          <w:color w:val="auto"/>
        </w:rPr>
      </w:pPr>
      <w:r>
        <w:rPr>
          <w:rFonts w:ascii="Times New Roman" w:cs="Times New Roman" w:eastAsia="Times New Roman" w:hAnsi="Times New Roman"/>
          <w:sz w:val="18"/>
          <w:szCs w:val="18"/>
          <w:color w:val="auto"/>
        </w:rPr>
        <w:t>SDRs will be sold at prevailing rates and Computershare and SEB, as applicable, will distribute the net cash proceeds pro rata to each holder who would otherwise have been entitled to fractional shares or fractional</w:t>
      </w:r>
    </w:p>
    <w:p>
      <w:pPr>
        <w:spacing w:after="0" w:line="2" w:lineRule="exact"/>
        <w:rPr>
          <w:sz w:val="20"/>
          <w:szCs w:val="20"/>
          <w:color w:val="auto"/>
        </w:rPr>
      </w:pPr>
    </w:p>
    <w:p>
      <w:pPr>
        <w:jc w:val="both"/>
        <w:ind w:left="4480" w:right="20"/>
        <w:spacing w:after="0" w:line="226" w:lineRule="auto"/>
        <w:rPr>
          <w:sz w:val="20"/>
          <w:szCs w:val="20"/>
          <w:color w:val="auto"/>
        </w:rPr>
      </w:pPr>
      <w:r>
        <w:rPr>
          <w:rFonts w:ascii="Times New Roman" w:cs="Times New Roman" w:eastAsia="Times New Roman" w:hAnsi="Times New Roman"/>
          <w:sz w:val="18"/>
          <w:szCs w:val="18"/>
          <w:color w:val="auto"/>
        </w:rPr>
        <w:t>SDRs in the Distribution. These cash proceeds in respect of fractional shares or fractional SDRs generally will be taxable to those shareholders.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880"/>
          </w:cols>
          <w:pgMar w:left="1000" w:top="1440" w:right="1019" w:bottom="1440" w:gutter="0" w:footer="0" w:header="0"/>
          <w:type w:val="continuous"/>
        </w:sectPr>
      </w:pPr>
    </w:p>
    <w:bookmarkStart w:id="30" w:name="page31"/>
    <w:bookmarkEnd w:id="30"/>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76"/>
        </w:trPr>
        <w:tc>
          <w:tcPr>
            <w:tcW w:w="5100" w:type="dxa"/>
            <w:vAlign w:val="bottom"/>
            <w:tcBorders>
              <w:top w:val="single" w:sz="8" w:color="auto"/>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Distribution Agent, Transfer Agent, and Registrar for the</w:t>
            </w:r>
          </w:p>
        </w:tc>
        <w:tc>
          <w:tcPr>
            <w:tcW w:w="14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3020" w:type="dxa"/>
            <w:vAlign w:val="bottom"/>
            <w:tcBorders>
              <w:top w:val="single" w:sz="8" w:color="auto"/>
              <w:right w:val="single" w:sz="8" w:color="auto"/>
            </w:tcBorders>
          </w:tcPr>
          <w:p>
            <w:pPr>
              <w:spacing w:after="0"/>
              <w:rPr>
                <w:sz w:val="24"/>
                <w:szCs w:val="24"/>
                <w:color w:val="auto"/>
              </w:rPr>
            </w:pPr>
          </w:p>
        </w:tc>
      </w:tr>
      <w:tr>
        <w:trPr>
          <w:trHeight w:val="234"/>
        </w:trPr>
        <w:tc>
          <w:tcPr>
            <w:tcW w:w="5100" w:type="dxa"/>
            <w:vAlign w:val="bottom"/>
            <w:tcBorders>
              <w:lef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Shares</w:t>
            </w:r>
          </w:p>
        </w:tc>
        <w:tc>
          <w:tcPr>
            <w:tcW w:w="1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p>
        </w:tc>
      </w:tr>
      <w:tr>
        <w:trPr>
          <w:trHeight w:val="283"/>
        </w:trPr>
        <w:tc>
          <w:tcPr>
            <w:tcW w:w="510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Record Date</w:t>
            </w:r>
          </w:p>
        </w:tc>
        <w:tc>
          <w:tcPr>
            <w:tcW w:w="1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record date is</w:t>
            </w: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Borders>
              <w:right w:val="single" w:sz="8" w:color="auto"/>
            </w:tcBorders>
          </w:tcPr>
          <w:p>
            <w:pPr>
              <w:jc w:val="right"/>
              <w:ind w:right="271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10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Distribution Date</w:t>
            </w:r>
          </w:p>
        </w:tc>
        <w:tc>
          <w:tcPr>
            <w:tcW w:w="3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Distribution Date is expected to be</w:t>
            </w:r>
          </w:p>
        </w:tc>
        <w:tc>
          <w:tcPr>
            <w:tcW w:w="3020" w:type="dxa"/>
            <w:vAlign w:val="bottom"/>
            <w:tcBorders>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p.m., Stockholm</w:t>
            </w:r>
          </w:p>
        </w:tc>
      </w:tr>
      <w:tr>
        <w:trPr>
          <w:trHeight w:val="234"/>
        </w:trPr>
        <w:tc>
          <w:tcPr>
            <w:tcW w:w="5100" w:type="dxa"/>
            <w:vAlign w:val="bottom"/>
            <w:tcBorders>
              <w:left w:val="single" w:sz="8" w:color="auto"/>
            </w:tcBorders>
          </w:tcPr>
          <w:p>
            <w:pPr>
              <w:spacing w:after="0"/>
              <w:rPr>
                <w:sz w:val="20"/>
                <w:szCs w:val="20"/>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time, on</w:t>
            </w:r>
          </w:p>
        </w:tc>
        <w:tc>
          <w:tcPr>
            <w:tcW w:w="16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Borders>
              <w:right w:val="single" w:sz="8" w:color="auto"/>
            </w:tcBorders>
          </w:tcPr>
          <w:p>
            <w:pPr>
              <w:spacing w:after="0"/>
              <w:rPr>
                <w:sz w:val="20"/>
                <w:szCs w:val="20"/>
                <w:color w:val="auto"/>
              </w:rPr>
            </w:pPr>
          </w:p>
        </w:tc>
      </w:tr>
      <w:tr>
        <w:trPr>
          <w:trHeight w:val="238"/>
        </w:trPr>
        <w:tc>
          <w:tcPr>
            <w:tcW w:w="510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Material U.S. Tax Consequences of the Distribution</w:t>
            </w:r>
          </w:p>
        </w:tc>
        <w:tc>
          <w:tcPr>
            <w:tcW w:w="61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The Distribution is intended to qualify as a transaction that is generally</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tax-free for U.S. federal income tax purposes under Section 355 of the</w:t>
            </w:r>
          </w:p>
        </w:tc>
      </w:tr>
      <w:tr>
        <w:trPr>
          <w:trHeight w:val="176"/>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Code. Accordingly, it is expected that, except with respect to cash</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received in lieu of fractional Octave Shares or fractional Octave SDRs, no</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gain or loss should be recognized by you, and no amount should be</w:t>
            </w:r>
          </w:p>
        </w:tc>
      </w:tr>
      <w:tr>
        <w:trPr>
          <w:trHeight w:val="176"/>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included in your income, upon the receipt of Octave Shares or Octave</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SDRs in the Distribution for U.S. federal income tax purposes. U.S.</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Holders (as defined in “Material U.S. Federal Income Tax Consequences”)</w:t>
            </w:r>
          </w:p>
        </w:tc>
      </w:tr>
      <w:tr>
        <w:trPr>
          <w:trHeight w:val="176"/>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will, however, recognize gain or loss for U.S. federal income tax purposes</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with respect to cash received in lieu of fractional Octave Shares or</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fractional Octave SDRs. You should consult your own tax advisor as to</w:t>
            </w:r>
          </w:p>
        </w:tc>
      </w:tr>
      <w:tr>
        <w:trPr>
          <w:trHeight w:val="176"/>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the particular consequences of the Distribution to you, including the</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applicability and effect of any U.S. federal, state and local tax laws. For</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more  information  regarding  the  material  U.S.  federal  income  tax</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consequences of the Distribution, see “Material U.S. Federal Income Tax</w:t>
            </w:r>
          </w:p>
        </w:tc>
      </w:tr>
      <w:tr>
        <w:trPr>
          <w:trHeight w:val="234"/>
        </w:trPr>
        <w:tc>
          <w:tcPr>
            <w:tcW w:w="5100" w:type="dxa"/>
            <w:vAlign w:val="bottom"/>
            <w:tcBorders>
              <w:left w:val="single" w:sz="8" w:color="auto"/>
            </w:tcBorders>
          </w:tcPr>
          <w:p>
            <w:pPr>
              <w:spacing w:after="0"/>
              <w:rPr>
                <w:sz w:val="20"/>
                <w:szCs w:val="20"/>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Consequences.”</w:t>
            </w:r>
          </w:p>
        </w:tc>
        <w:tc>
          <w:tcPr>
            <w:tcW w:w="1660" w:type="dxa"/>
            <w:vAlign w:val="bottom"/>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p>
        </w:tc>
      </w:tr>
      <w:tr>
        <w:trPr>
          <w:trHeight w:val="233"/>
        </w:trPr>
        <w:tc>
          <w:tcPr>
            <w:tcW w:w="510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Material Irish Tax Consequences of the Distribution</w:t>
            </w:r>
          </w:p>
        </w:tc>
        <w:tc>
          <w:tcPr>
            <w:tcW w:w="61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Under Irish tax law, holders of Hexagon Shares who are not tax resident in</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Ireland and who are entitled to an exemption from dividends withholding</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tax generally should not be subject to Irish tax as a result of the</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Distribution, provided they do not have a branch or agency in Ireland</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through which a trade is carried on to which the holding of such shares.</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You should consult your own tax advisor as to the particular consequences</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of the Distribution to you, including the applicability and effect of Irish</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tax  law.  For  more  information  regarding  the  material  Irish  tax</w:t>
            </w:r>
          </w:p>
        </w:tc>
      </w:tr>
      <w:tr>
        <w:trPr>
          <w:trHeight w:val="234"/>
        </w:trPr>
        <w:tc>
          <w:tcPr>
            <w:tcW w:w="5100" w:type="dxa"/>
            <w:vAlign w:val="bottom"/>
            <w:tcBorders>
              <w:left w:val="single" w:sz="8" w:color="auto"/>
            </w:tcBorders>
          </w:tcPr>
          <w:p>
            <w:pPr>
              <w:spacing w:after="0"/>
              <w:rPr>
                <w:sz w:val="20"/>
                <w:szCs w:val="20"/>
                <w:color w:val="auto"/>
              </w:rPr>
            </w:pPr>
          </w:p>
        </w:tc>
        <w:tc>
          <w:tcPr>
            <w:tcW w:w="61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consequences of the Distribution, see “Material Irish Tax Consequences.”</w:t>
            </w:r>
          </w:p>
        </w:tc>
      </w:tr>
      <w:tr>
        <w:trPr>
          <w:trHeight w:val="233"/>
        </w:trPr>
        <w:tc>
          <w:tcPr>
            <w:tcW w:w="510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Material Swedish Tax Consequences of the Distribution</w:t>
            </w:r>
          </w:p>
        </w:tc>
        <w:tc>
          <w:tcPr>
            <w:tcW w:w="61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Hexagon has applied for a written confirmation from the Swedish Tax</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Agency that the Distribution, together with certain related transactions,</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qualifies as a transaction that is generally tax exempt for Swedish tax</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purposes under the Lex-ASEA rule. You should consult your own tax</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advisor as to the particular consequences of the Distribution to you,</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including the applicability and effect of Swedish tax law. For more</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information  regarding  the  material  Swedish  tax  consequences,  see</w:t>
            </w:r>
          </w:p>
        </w:tc>
      </w:tr>
      <w:tr>
        <w:trPr>
          <w:trHeight w:val="234"/>
        </w:trPr>
        <w:tc>
          <w:tcPr>
            <w:tcW w:w="5100" w:type="dxa"/>
            <w:vAlign w:val="bottom"/>
            <w:tcBorders>
              <w:left w:val="single" w:sz="8" w:color="auto"/>
            </w:tcBorders>
          </w:tcPr>
          <w:p>
            <w:pPr>
              <w:spacing w:after="0"/>
              <w:rPr>
                <w:sz w:val="20"/>
                <w:szCs w:val="20"/>
                <w:color w:val="auto"/>
              </w:rPr>
            </w:pPr>
          </w:p>
        </w:tc>
        <w:tc>
          <w:tcPr>
            <w:tcW w:w="3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“Material Swedish Tax Consequences.”</w:t>
            </w:r>
          </w:p>
        </w:tc>
        <w:tc>
          <w:tcPr>
            <w:tcW w:w="3020" w:type="dxa"/>
            <w:vAlign w:val="bottom"/>
            <w:tcBorders>
              <w:right w:val="single" w:sz="8" w:color="auto"/>
            </w:tcBorders>
          </w:tcPr>
          <w:p>
            <w:pPr>
              <w:spacing w:after="0"/>
              <w:rPr>
                <w:sz w:val="20"/>
                <w:szCs w:val="20"/>
                <w:color w:val="auto"/>
              </w:rPr>
            </w:pPr>
          </w:p>
        </w:tc>
      </w:tr>
      <w:tr>
        <w:trPr>
          <w:trHeight w:val="238"/>
        </w:trPr>
        <w:tc>
          <w:tcPr>
            <w:tcW w:w="510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U.S. Stock Exchange Listing of Ordinary Shares</w:t>
            </w:r>
          </w:p>
        </w:tc>
        <w:tc>
          <w:tcPr>
            <w:tcW w:w="61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There is not currently a public market for Octave Shares. A “when-issued”</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market in Octave Class B Ordinary Shares may develop after the record</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date for the Distribution. Octave has applied for the Class B Ordinary</w:t>
            </w:r>
          </w:p>
        </w:tc>
      </w:tr>
      <w:tr>
        <w:trPr>
          <w:trHeight w:val="234"/>
        </w:trPr>
        <w:tc>
          <w:tcPr>
            <w:tcW w:w="5100" w:type="dxa"/>
            <w:vAlign w:val="bottom"/>
            <w:tcBorders>
              <w:left w:val="single" w:sz="8" w:color="auto"/>
            </w:tcBorders>
          </w:tcPr>
          <w:p>
            <w:pPr>
              <w:spacing w:after="0"/>
              <w:rPr>
                <w:sz w:val="20"/>
                <w:szCs w:val="20"/>
                <w:color w:val="auto"/>
              </w:rPr>
            </w:pPr>
          </w:p>
        </w:tc>
        <w:tc>
          <w:tcPr>
            <w:tcW w:w="61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Shares to be listed on Nasdaq New York under the symbol “OCTV.”</w:t>
            </w:r>
          </w:p>
        </w:tc>
      </w:tr>
      <w:tr>
        <w:trPr>
          <w:trHeight w:val="626"/>
        </w:trPr>
        <w:tc>
          <w:tcPr>
            <w:tcW w:w="5100" w:type="dxa"/>
            <w:vAlign w:val="bottom"/>
            <w:tcBorders>
              <w:left w:val="single" w:sz="8" w:color="auto"/>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76"/>
        </w:trPr>
        <w:tc>
          <w:tcPr>
            <w:tcW w:w="5080" w:type="dxa"/>
            <w:vAlign w:val="bottom"/>
            <w:tcBorders>
              <w:top w:val="single" w:sz="8" w:color="auto"/>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Stockholm Stock Exchange Listing of Octave SDRs</w:t>
            </w:r>
          </w:p>
        </w:tc>
        <w:tc>
          <w:tcPr>
            <w:tcW w:w="616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There is not currently a public market for Octave SDRs and Octave cannot</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guarantee that one will develop. Octave intends to distribute interests in</w:t>
            </w:r>
          </w:p>
        </w:tc>
      </w:tr>
      <w:tr>
        <w:trPr>
          <w:trHeight w:val="176"/>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Octave Class B Ordinary Shares through an SDR program, with Octave</w:t>
            </w:r>
          </w:p>
        </w:tc>
      </w:tr>
      <w:tr>
        <w:trPr>
          <w:trHeight w:val="18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intending  such  Octave  SDRs  to  be  listed  on  Nasdaq  Stockholm</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substantially concurrently with an intended listing of Octave Class B</w:t>
            </w:r>
          </w:p>
        </w:tc>
      </w:tr>
      <w:tr>
        <w:trPr>
          <w:trHeight w:val="176"/>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Ordinary Shares on Nasdaq New York. No assurance can be given that</w:t>
            </w:r>
          </w:p>
        </w:tc>
      </w:tr>
      <w:tr>
        <w:trPr>
          <w:trHeight w:val="18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Octave’s listing applications will be approved. Octave intends to maintain</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the Octave SDR Program until further notice, which Octave expects to be</w:t>
            </w:r>
          </w:p>
        </w:tc>
      </w:tr>
      <w:tr>
        <w:trPr>
          <w:trHeight w:val="234"/>
        </w:trPr>
        <w:tc>
          <w:tcPr>
            <w:tcW w:w="5080" w:type="dxa"/>
            <w:vAlign w:val="bottom"/>
            <w:tcBorders>
              <w:left w:val="single" w:sz="8" w:color="auto"/>
            </w:tcBorders>
          </w:tcPr>
          <w:p>
            <w:pPr>
              <w:spacing w:after="0"/>
              <w:rPr>
                <w:sz w:val="20"/>
                <w:szCs w:val="20"/>
                <w:color w:val="auto"/>
              </w:rPr>
            </w:pPr>
          </w:p>
        </w:tc>
        <w:tc>
          <w:tcPr>
            <w:tcW w:w="61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for about two years. See “Description of Swedish Depository Receipts.”</w:t>
            </w:r>
          </w:p>
        </w:tc>
      </w:tr>
      <w:tr>
        <w:trPr>
          <w:trHeight w:val="233"/>
        </w:trPr>
        <w:tc>
          <w:tcPr>
            <w:tcW w:w="508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Relationship  Between  Hexagon  and  Octave  After  the</w:t>
            </w:r>
          </w:p>
        </w:tc>
        <w:tc>
          <w:tcPr>
            <w:tcW w:w="61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Following the Distribution, Octave and Hexagon will be separate public</w:t>
            </w:r>
          </w:p>
        </w:tc>
      </w:tr>
      <w:tr>
        <w:trPr>
          <w:trHeight w:val="180"/>
        </w:trPr>
        <w:tc>
          <w:tcPr>
            <w:tcW w:w="5080" w:type="dxa"/>
            <w:vAlign w:val="bottom"/>
            <w:tcBorders>
              <w:left w:val="single" w:sz="8" w:color="auto"/>
            </w:tcBorders>
          </w:tcPr>
          <w:p>
            <w:pPr>
              <w:ind w:left="860"/>
              <w:spacing w:after="0" w:line="181" w:lineRule="exact"/>
              <w:rPr>
                <w:sz w:val="20"/>
                <w:szCs w:val="20"/>
                <w:color w:val="auto"/>
              </w:rPr>
            </w:pPr>
            <w:r>
              <w:rPr>
                <w:rFonts w:ascii="Times New Roman" w:cs="Times New Roman" w:eastAsia="Times New Roman" w:hAnsi="Times New Roman"/>
                <w:sz w:val="18"/>
                <w:szCs w:val="18"/>
                <w:color w:val="auto"/>
              </w:rPr>
              <w:t>Distribution</w:t>
            </w: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companies.  Octave  and  Hexagon  will  enter  into  the  Distribution</w:t>
            </w:r>
          </w:p>
        </w:tc>
      </w:tr>
      <w:tr>
        <w:trPr>
          <w:trHeight w:val="176"/>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Agreement and ancillary agreements for the purpose of accomplishing the</w:t>
            </w:r>
          </w:p>
        </w:tc>
      </w:tr>
      <w:tr>
        <w:trPr>
          <w:trHeight w:val="18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separation and the distribution of our ordinary shares to Hexagon’s</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shareholders.  These  ancillary  agreements  will  include  the  Tax</w:t>
            </w:r>
          </w:p>
        </w:tc>
      </w:tr>
      <w:tr>
        <w:trPr>
          <w:trHeight w:val="176"/>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Disaffiliation  Agreement,  the  Employee  Matters  Agreement,  the</w:t>
            </w:r>
          </w:p>
        </w:tc>
      </w:tr>
      <w:tr>
        <w:trPr>
          <w:trHeight w:val="18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Transition Services Agreement, and a number of ongoing commercial</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relationships.  These  agreements  will  generally  govern  Octave’s</w:t>
            </w:r>
          </w:p>
        </w:tc>
      </w:tr>
      <w:tr>
        <w:trPr>
          <w:trHeight w:val="176"/>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relationship with Hexagon subsequent to the Distribution and will provide</w:t>
            </w:r>
          </w:p>
        </w:tc>
      </w:tr>
      <w:tr>
        <w:trPr>
          <w:trHeight w:val="18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for the allocation of employee benefit, tax, and some other liabilities and</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obligations attributable to periods prior to, at, and after the Distribution.</w:t>
            </w:r>
          </w:p>
        </w:tc>
      </w:tr>
      <w:tr>
        <w:trPr>
          <w:trHeight w:val="176"/>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The Distribution Agreement includes an agreement that Octave and</w:t>
            </w:r>
          </w:p>
        </w:tc>
      </w:tr>
      <w:tr>
        <w:trPr>
          <w:trHeight w:val="18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Hexagon will provide each other with appropriate indemnities with respect</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to liabilities arising out of the business being transferred to Octave by</w:t>
            </w:r>
          </w:p>
        </w:tc>
      </w:tr>
      <w:tr>
        <w:trPr>
          <w:trHeight w:val="176"/>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Hexagon. Octave will be party to other arrangements with Hexagon and</w:t>
            </w:r>
          </w:p>
        </w:tc>
      </w:tr>
      <w:tr>
        <w:trPr>
          <w:trHeight w:val="18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its subsidiaries. See “Certain Relationships and Related Party Transactions</w:t>
            </w:r>
          </w:p>
        </w:tc>
      </w:tr>
      <w:tr>
        <w:trPr>
          <w:trHeight w:val="234"/>
        </w:trPr>
        <w:tc>
          <w:tcPr>
            <w:tcW w:w="5080" w:type="dxa"/>
            <w:vAlign w:val="bottom"/>
            <w:tcBorders>
              <w:left w:val="single" w:sz="8" w:color="auto"/>
            </w:tcBorders>
          </w:tcPr>
          <w:p>
            <w:pPr>
              <w:spacing w:after="0"/>
              <w:rPr>
                <w:sz w:val="20"/>
                <w:szCs w:val="20"/>
                <w:color w:val="auto"/>
              </w:rPr>
            </w:pPr>
          </w:p>
        </w:tc>
        <w:tc>
          <w:tcPr>
            <w:tcW w:w="61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—Relationship Between Hexagon and Octave After the Distribution.”</w:t>
            </w:r>
          </w:p>
        </w:tc>
      </w:tr>
      <w:tr>
        <w:trPr>
          <w:trHeight w:val="238"/>
        </w:trPr>
        <w:tc>
          <w:tcPr>
            <w:tcW w:w="508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Octave Dividend Policy</w:t>
            </w:r>
          </w:p>
        </w:tc>
        <w:tc>
          <w:tcPr>
            <w:tcW w:w="61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Octave does not expect to pay a regular cash dividend in the near future.</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The payment of any dividends in the future, and the timing and amount</w:t>
            </w:r>
          </w:p>
        </w:tc>
      </w:tr>
      <w:tr>
        <w:trPr>
          <w:trHeight w:val="176"/>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thereof, is within the discretion of the Board of Directors. See “The</w:t>
            </w:r>
          </w:p>
        </w:tc>
      </w:tr>
      <w:tr>
        <w:trPr>
          <w:trHeight w:val="234"/>
        </w:trPr>
        <w:tc>
          <w:tcPr>
            <w:tcW w:w="5080" w:type="dxa"/>
            <w:vAlign w:val="bottom"/>
            <w:tcBorders>
              <w:left w:val="single" w:sz="8" w:color="auto"/>
            </w:tcBorders>
          </w:tcPr>
          <w:p>
            <w:pPr>
              <w:spacing w:after="0"/>
              <w:rPr>
                <w:sz w:val="20"/>
                <w:szCs w:val="20"/>
                <w:color w:val="auto"/>
              </w:rPr>
            </w:pPr>
          </w:p>
        </w:tc>
        <w:tc>
          <w:tcPr>
            <w:tcW w:w="61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Separation and the Distribution—Dividend Policy.”</w:t>
            </w:r>
          </w:p>
        </w:tc>
      </w:tr>
      <w:tr>
        <w:trPr>
          <w:trHeight w:val="233"/>
        </w:trPr>
        <w:tc>
          <w:tcPr>
            <w:tcW w:w="508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Risk Factors</w:t>
            </w:r>
          </w:p>
        </w:tc>
        <w:tc>
          <w:tcPr>
            <w:tcW w:w="61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Hexagon shareholders should carefully consider the matters discussed</w:t>
            </w:r>
          </w:p>
        </w:tc>
      </w:tr>
      <w:tr>
        <w:trPr>
          <w:trHeight w:val="19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94" w:lineRule="exact"/>
              <w:rPr>
                <w:sz w:val="20"/>
                <w:szCs w:val="20"/>
                <w:color w:val="auto"/>
              </w:rPr>
            </w:pPr>
            <w:r>
              <w:rPr>
                <w:rFonts w:ascii="Times New Roman" w:cs="Times New Roman" w:eastAsia="Times New Roman" w:hAnsi="Times New Roman"/>
                <w:sz w:val="18"/>
                <w:szCs w:val="18"/>
                <w:color w:val="auto"/>
              </w:rPr>
              <w:t>under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w:t>
            </w:r>
          </w:p>
        </w:tc>
      </w:tr>
      <w:tr>
        <w:trPr>
          <w:trHeight w:val="598"/>
        </w:trPr>
        <w:tc>
          <w:tcPr>
            <w:tcW w:w="508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top w:val="single" w:sz="8" w:color="0000FF"/>
              <w:bottom w:val="single" w:sz="8" w:color="auto"/>
            </w:tcBorders>
          </w:tcPr>
          <w:p>
            <w:pPr>
              <w:spacing w:after="0"/>
              <w:rPr>
                <w:sz w:val="24"/>
                <w:szCs w:val="24"/>
                <w:color w:val="auto"/>
              </w:rPr>
            </w:pPr>
          </w:p>
        </w:tc>
        <w:tc>
          <w:tcPr>
            <w:tcW w:w="46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824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82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AND UNAUDITED PRO FORMA CONDENSED COMBINED FINANCIAL DATA</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tables present certain selected historical combined financial information as of September 30, 2025, December 31, 2024 and December 31, 2023 and for the nine months ended September 30, 2025 and 2024 and the years ended December 31, 2024, 2023, and 2022. The selected historical combined financial information is based on the audited Combined Financial Statements and unaudited Condensed Combined Financial Statements of the Octave Business included elsewhere in this information statement, which is derived from the consolidated historical financial statements of Hexagon.</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selected historical combined financial data presented below should be read in conjunction with Octave’s “Management’s Discussion and Analysis of Financial Condition and Results of Operations,” audited Combined Financial Statements and accompanying Notes, and unaudited Condensed Combined Financial Statements and accompanying Notes included elsewhere in this information statement. For each of the periods presented, Octave’s business was wholly owned by Hexagon. The financial information included herein may not necessarily reflect Octave’s financial position, results of operations, and cash flows in the future, or what Octave’s financial position, results of operations, and cash flows would have been had Octave been an independent, publicly-traded company during the periods presented. In addition, Octave’s historical combined financial information does not reflect changes that Octave expects to experience in the future as a result of Octave’s spin-off from Hexagon, including changes in the financing, operations, cost structure, and personnel needs of Octave’s business. Further, the historical combined financial information includes allocations of certain Hexagon corporate expenses, as described in Note 13, “Related Party Transactions” of the Notes to Combined Financial Statements. Octave believes the assumptions and methodologies underlying the allocation of these expenses are reasonable. However, such expenses may not be indicative of the actual level of expense that Octave would have incurred if Octave had operated as an independent, publicly-traded company, or of the costs expected to be incurred in the future. For factors that could cause actual results to differ materially from those presented in the Selected Historical and Unaudited Pro Forma Condensed Combined Financial Data, see “Cautionary Statement Concerning Forward-Looking Statements” and “Risk Factors” included elsewhere in this information statement.</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tables also present certain Unaudited Pro Forma Condensed Combined Financial Information of Octave as of September 30, 2025 and for the nine months ended September 30, 2025 and the year ended December 31, 2024. The Unaudited Pro Forma Condensed Combined Financial Information is derived from Octave’s audited Combined Financial Statements and unaudited Condensed Combined Financial Statements included elsewhere in this information statement and is not intended to be a complete presentation of Octave’s financial position or results of operations had the transactions contemplated by the Distribution Agreement and related agreements occurred as of the dates indicated. The Unaudited Pro Forma Condensed Combined Financial Statements should be read in conjunction with Octave’s “Management’s Discussion and Analysis of Financial Condition and Results of Operations,” audited Combined Financial Statements and accompanying Notes, and unaudited Condensed Combined Financial Statements and accompanying Notes included elsewhere in this information statement. The Unaudited Pro Forma Condensed Combined Statement of Operations gives effect to the Pro Forma Transactions (as defined herein) as if they had occurred on January 1, 2024, the first day of Octave’s fiscal year 2024. The Unaudited Pro Forma Condensed Combined Balance Sheet gives effect to the Pro Forma Transactions as if they had occurred on September 30, 2025, Octave’s latest balance sheet date. Refer to the “Unaudited Pro Forma Condensed Combined Financial Information” for further information about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900"/>
          </w:cols>
          <w:pgMar w:left="1000" w:top="1440" w:right="99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635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2635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HISTORICAL AND UNAUDITED PRO FORMA CONDENSED COMBINED FINANCIAL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48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3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0" w:type="dxa"/>
            <w:vAlign w:val="bottom"/>
          </w:tcPr>
          <w:p>
            <w:pPr>
              <w:spacing w:after="0"/>
              <w:rPr>
                <w:sz w:val="16"/>
                <w:szCs w:val="16"/>
                <w:color w:val="auto"/>
              </w:rPr>
            </w:pP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6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109,125</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109,125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97,214</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99,519</w:t>
            </w:r>
          </w:p>
        </w:tc>
        <w:tc>
          <w:tcPr>
            <w:tcW w:w="0" w:type="dxa"/>
            <w:vAlign w:val="bottom"/>
          </w:tcPr>
          <w:p>
            <w:pPr>
              <w:spacing w:after="0"/>
              <w:rPr>
                <w:sz w:val="1"/>
                <w:szCs w:val="1"/>
                <w:color w:val="auto"/>
              </w:rPr>
            </w:pPr>
          </w:p>
        </w:tc>
      </w:tr>
      <w:tr>
        <w:trPr>
          <w:trHeight w:val="254"/>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8,625,174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8,611,959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8,628,562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8,675,593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961,979</w:t>
            </w:r>
          </w:p>
        </w:tc>
        <w:tc>
          <w:tcPr>
            <w:tcW w:w="0" w:type="dxa"/>
            <w:vAlign w:val="bottom"/>
          </w:tcPr>
          <w:p>
            <w:pPr>
              <w:spacing w:after="0"/>
              <w:rPr>
                <w:sz w:val="1"/>
                <w:szCs w:val="1"/>
                <w:color w:val="auto"/>
              </w:rPr>
            </w:pPr>
          </w:p>
        </w:tc>
      </w:tr>
      <w:tr>
        <w:trPr>
          <w:trHeight w:val="230"/>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7,609,582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7,610,404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7,673,687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7,713,614</w:t>
            </w:r>
          </w:p>
        </w:tc>
        <w:tc>
          <w:tcPr>
            <w:tcW w:w="0" w:type="dxa"/>
            <w:vAlign w:val="bottom"/>
          </w:tcPr>
          <w:p>
            <w:pPr>
              <w:spacing w:after="0"/>
              <w:rPr>
                <w:sz w:val="1"/>
                <w:szCs w:val="1"/>
                <w:color w:val="auto"/>
              </w:rPr>
            </w:pPr>
          </w:p>
        </w:tc>
      </w:tr>
      <w:tr>
        <w:trPr>
          <w:trHeight w:val="254"/>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8,625,174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8,611,959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8,628,562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8,675,593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900"/>
          </w:cols>
          <w:pgMar w:left="980" w:top="1440" w:right="101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210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21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SELECTED HISTORICAL AND UNAUDITED PRO FORMA CONDENSED COMBINED FINANCIAL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40" w:type="dxa"/>
            <w:vAlign w:val="bottom"/>
          </w:tcPr>
          <w:p>
            <w:pPr>
              <w:spacing w:after="0"/>
              <w:rPr>
                <w:sz w:val="16"/>
                <w:szCs w:val="16"/>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5520" w:type="dxa"/>
            <w:vAlign w:val="bottom"/>
          </w:tcPr>
          <w:p>
            <w:pPr>
              <w:spacing w:after="0"/>
              <w:rPr>
                <w:sz w:val="23"/>
                <w:szCs w:val="23"/>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23"/>
                <w:szCs w:val="23"/>
                <w:color w:val="auto"/>
              </w:rPr>
            </w:pPr>
          </w:p>
        </w:tc>
        <w:tc>
          <w:tcPr>
            <w:tcW w:w="2660" w:type="dxa"/>
            <w:vAlign w:val="bottom"/>
            <w:gridSpan w:val="4"/>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4"/>
        </w:trPr>
        <w:tc>
          <w:tcPr>
            <w:tcW w:w="5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26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802,180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802,242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736,237</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193,061</w:t>
            </w:r>
          </w:p>
        </w:tc>
        <w:tc>
          <w:tcPr>
            <w:tcW w:w="0" w:type="dxa"/>
            <w:vAlign w:val="bottom"/>
          </w:tcPr>
          <w:p>
            <w:pPr>
              <w:spacing w:after="0"/>
              <w:rPr>
                <w:sz w:val="1"/>
                <w:szCs w:val="1"/>
                <w:color w:val="auto"/>
              </w:rPr>
            </w:pPr>
          </w:p>
        </w:tc>
      </w:tr>
      <w:tr>
        <w:trPr>
          <w:trHeight w:val="223"/>
        </w:trPr>
        <w:tc>
          <w:tcPr>
            <w:tcW w:w="5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929,298</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230,196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240,400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1,149,444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1,189,458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1,169,698</w:t>
            </w: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160,496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162,584</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270,003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300,652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323,080</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879,441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888,806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846,618</w:t>
            </w: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115,696</w:t>
            </w:r>
          </w:p>
        </w:tc>
        <w:tc>
          <w:tcPr>
            <w:tcW w:w="0" w:type="dxa"/>
            <w:vAlign w:val="bottom"/>
          </w:tcPr>
          <w:p>
            <w:pPr>
              <w:spacing w:after="0"/>
              <w:rPr>
                <w:sz w:val="1"/>
                <w:szCs w:val="1"/>
                <w:color w:val="auto"/>
              </w:rPr>
            </w:pPr>
          </w:p>
        </w:tc>
      </w:tr>
      <w:tr>
        <w:trPr>
          <w:trHeight w:val="229"/>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267,018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105,034</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687,746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585,022</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191,695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203,366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261,596</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261,752</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65,831</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161,008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195,921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900"/>
          </w:cols>
          <w:pgMar w:left="1000" w:top="1440" w:right="99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133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13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HISTORICAL AND UNAUDITED PRO FORMA CONDENSED COMBINED FINANCIAL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787,827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248,640</w:t>
            </w:r>
          </w:p>
        </w:tc>
        <w:tc>
          <w:tcPr>
            <w:tcW w:w="0" w:type="dxa"/>
            <w:vAlign w:val="bottom"/>
          </w:tcPr>
          <w:p>
            <w:pPr>
              <w:spacing w:after="0"/>
              <w:rPr>
                <w:sz w:val="1"/>
                <w:szCs w:val="1"/>
                <w:color w:val="auto"/>
              </w:rPr>
            </w:pPr>
          </w:p>
        </w:tc>
      </w:tr>
      <w:tr>
        <w:trPr>
          <w:trHeight w:val="223"/>
        </w:trPr>
        <w:tc>
          <w:tcPr>
            <w:tcW w:w="40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1,263,930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1,290,371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1,208,669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1,036,467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331,844</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1,515,829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183,324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238,137</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350,861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434,328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450,990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421,461</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1,164,968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1,182,177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1,101,500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946,850</w:t>
            </w:r>
          </w:p>
        </w:tc>
        <w:tc>
          <w:tcPr>
            <w:tcW w:w="0" w:type="dxa"/>
            <w:vAlign w:val="bottom"/>
          </w:tcPr>
          <w:p>
            <w:pPr>
              <w:spacing w:after="0"/>
              <w:rPr>
                <w:sz w:val="1"/>
                <w:szCs w:val="1"/>
                <w:color w:val="auto"/>
              </w:rPr>
            </w:pPr>
          </w:p>
        </w:tc>
      </w:tr>
      <w:tr>
        <w:trPr>
          <w:trHeight w:val="210"/>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121,604</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299,291</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128,485</w:t>
            </w: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786,685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777,465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649,408</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297,442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299,702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43,664</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311,207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256,038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Basic</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Diluted</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Basic</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900"/>
          </w:cols>
          <w:pgMar w:left="980" w:top="1440" w:right="101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619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561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Octave’s operating results, as calculated in accordance with generally accepted accounting principles in the United States (“U.S. GAAP”), Octave uses, and plans to continue using, certain non-GAAP financial measures when monitoring and evaluating operating performance. The non-GAAP financial measures presented in this information statement are supplemental measures of Octave’s performance and Octave’s liquidity that Octave believes help investors understand Octave’s financial condition and operating results and assess Octave’s future prospects. For more information about Octave’s non-GAAP financial measures and other performance metrics, see “Management’s Discussion and Analysis of Financial Condition and Results of Operations—Non-GAAP Financial Measures” and “Management’s Discussion and Analysis of Financial Condition and Results of Operations.”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non-GAAP financial measures presented in the discussion of Octave’s results of operations and liquidity and the respective most directly comparable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measures are:</w:t>
      </w:r>
    </w:p>
    <w:p>
      <w:pPr>
        <w:spacing w:after="0" w:line="108" w:lineRule="exact"/>
        <w:rPr>
          <w:sz w:val="20"/>
          <w:szCs w:val="20"/>
          <w:color w:val="auto"/>
        </w:rPr>
      </w:pPr>
    </w:p>
    <w:p>
      <w:pPr>
        <w:ind w:left="640" w:hanging="322"/>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income from operations—income from operations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margin—operating margin</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income—net income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flow—cash flow from operations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Octave presents certain measures in constant currency terms to exclude the estimated effects of foreign currency exchange rate fluctuations.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Octave uses these non-GAAP financial measures, and Octave believes that they assist Octave’s investors, to make period-to-period comparisons of Octave’s operational performance because they provide a view of Octave’s operating results and cash flows with or without items that are not, in Octave’s view, indicative of Octave’s core operating results. Octave believes that these non-GAAP financial measures, when used in conjunction with the most comparable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measure, help illustrate underlying trends in Octave’s business, and Octave uses the measures to establish budgets and operational goals (communicated internally and externally) for managing Octave’s business and evaluating Octave’s performance. Octave believes that providing non-GAAP financial measures also affords investors a view of Octave’s operating results and cash flows that may be more easily compared to the results of other companies in Octave’s industry that use similar financial measures to supplement their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results.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items excluded from the non-GAAP financial measures often have a material impact on Octave’s financial results. Accordingly, the non-GAAP financial measures included in this information statement should be considered in addition to, and not as a substitute for or superior to, the comparable measures prepared in accordance with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The following tables reconcile each of these non-GAAP financial measures to its most closely comparable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measure on Octave’s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900"/>
          </w:cols>
          <w:pgMar w:left="1000" w:top="1440" w:right="99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78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87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203,366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261,596</w:t>
            </w:r>
          </w:p>
        </w:tc>
        <w:tc>
          <w:tcPr>
            <w:tcW w:w="0" w:type="dxa"/>
            <w:vAlign w:val="bottom"/>
          </w:tcPr>
          <w:p>
            <w:pPr>
              <w:spacing w:after="0"/>
              <w:rPr>
                <w:sz w:val="1"/>
                <w:szCs w:val="1"/>
                <w:color w:val="auto"/>
              </w:rPr>
            </w:pP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2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55,702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55,212</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60,433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37,281</w:t>
            </w:r>
          </w:p>
        </w:tc>
        <w:tc>
          <w:tcPr>
            <w:tcW w:w="0" w:type="dxa"/>
            <w:vAlign w:val="bottom"/>
          </w:tcPr>
          <w:p>
            <w:pPr>
              <w:spacing w:after="0"/>
              <w:rPr>
                <w:sz w:val="1"/>
                <w:szCs w:val="1"/>
                <w:color w:val="auto"/>
              </w:rPr>
            </w:pPr>
          </w:p>
        </w:tc>
      </w:tr>
      <w:tr>
        <w:trPr>
          <w:trHeight w:val="23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12,286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10,851</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2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(23,535)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(5,789)</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42,883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641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351,776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364,342</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2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2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32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operating margin</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148,791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195,921</w:t>
            </w:r>
          </w:p>
        </w:tc>
        <w:tc>
          <w:tcPr>
            <w:tcW w:w="0" w:type="dxa"/>
            <w:vAlign w:val="bottom"/>
          </w:tcPr>
          <w:p>
            <w:pPr>
              <w:spacing w:after="0"/>
              <w:rPr>
                <w:sz w:val="1"/>
                <w:szCs w:val="1"/>
                <w:color w:val="auto"/>
              </w:rPr>
            </w:pPr>
          </w:p>
        </w:tc>
      </w:tr>
      <w:tr>
        <w:trPr>
          <w:trHeight w:val="23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2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55,702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55,212</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60,433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37,281</w:t>
            </w:r>
          </w:p>
        </w:tc>
        <w:tc>
          <w:tcPr>
            <w:tcW w:w="0" w:type="dxa"/>
            <w:vAlign w:val="bottom"/>
          </w:tcPr>
          <w:p>
            <w:pPr>
              <w:spacing w:after="0"/>
              <w:rPr>
                <w:sz w:val="1"/>
                <w:szCs w:val="1"/>
                <w:color w:val="auto"/>
              </w:rPr>
            </w:pP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12,286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10,851</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3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2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(23,535)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(5,789)</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42,883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32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divestitures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16,578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impacts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(35,353)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(22,134)</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278,426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276,533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350,529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366,306</w:t>
            </w:r>
          </w:p>
        </w:tc>
        <w:tc>
          <w:tcPr>
            <w:tcW w:w="0" w:type="dxa"/>
            <w:vAlign w:val="bottom"/>
          </w:tcPr>
          <w:p>
            <w:pPr>
              <w:spacing w:after="0"/>
              <w:rPr>
                <w:sz w:val="1"/>
                <w:szCs w:val="1"/>
                <w:color w:val="auto"/>
              </w:rPr>
            </w:pP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(6,087)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(4,949)</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(101,810)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(99,643)</w:t>
            </w:r>
          </w:p>
        </w:tc>
        <w:tc>
          <w:tcPr>
            <w:tcW w:w="0" w:type="dxa"/>
            <w:vAlign w:val="bottom"/>
          </w:tcPr>
          <w:p>
            <w:pPr>
              <w:spacing w:after="0"/>
              <w:rPr>
                <w:sz w:val="1"/>
                <w:szCs w:val="1"/>
                <w:color w:val="auto"/>
              </w:rPr>
            </w:pPr>
          </w:p>
        </w:tc>
      </w:tr>
      <w:tr>
        <w:trPr>
          <w:trHeight w:val="223"/>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242,632</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261,714</w:t>
            </w:r>
          </w:p>
        </w:tc>
        <w:tc>
          <w:tcPr>
            <w:tcW w:w="0" w:type="dxa"/>
            <w:vAlign w:val="bottom"/>
          </w:tcPr>
          <w:p>
            <w:pPr>
              <w:spacing w:after="0"/>
              <w:rPr>
                <w:sz w:val="1"/>
                <w:szCs w:val="1"/>
                <w:color w:val="auto"/>
              </w:rPr>
            </w:pPr>
          </w:p>
        </w:tc>
      </w:tr>
      <w:tr>
        <w:trPr>
          <w:trHeight w:val="21"/>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900"/>
          </w:cols>
          <w:pgMar w:left="980" w:top="1440" w:right="101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296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629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6"/>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395,492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297,442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536,788</w:t>
            </w: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488,817</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407,589</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operating margin</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6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256,038</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impacts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(38,865)</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421,362</w:t>
            </w:r>
          </w:p>
        </w:tc>
        <w:tc>
          <w:tcPr>
            <w:tcW w:w="1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371,570</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342,147</w:t>
            </w:r>
          </w:p>
        </w:tc>
        <w:tc>
          <w:tcPr>
            <w:tcW w:w="1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502,162</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436,436</w:t>
            </w:r>
          </w:p>
        </w:tc>
        <w:tc>
          <w:tcPr>
            <w:tcW w:w="6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404,574</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(134,942)</w:t>
            </w: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(122,356)</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(95,759)</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360,167</w:t>
            </w: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304,176</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295,941</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900"/>
          </w:cols>
          <w:pgMar w:left="980" w:top="1440" w:right="1019" w:bottom="1440" w:gutter="0" w:footer="0" w:header="0"/>
        </w:sectPr>
      </w:pPr>
    </w:p>
    <w:bookmarkStart w:id="39" w:name="page40"/>
    <w:bookmarkEnd w:id="3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following risk factors and all the other information contained in this information statement in evaluating the Octave Business and the Octave Shares. Any of the following risks could materially and adversely affect Octave’s business, financial condition, or results of operation.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Separation and Distribution</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increased administrative and other costs following the Distribution by virtue of our loss of access to functions and corporate services historically provided to us by Hexagon, and our ability to operate our business effectively may be adversely impacted if we do not, quickly and cost effectively, establish our own administrative and support functions necessary to operate as a standalone public company.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conduct of our business by Hexagon, and our operations since, have focused primarily on organizing, staffing, and preparing for the separation from Hexagon and the Distribution. Historically and through the date of the Distribution, our business was and will continue to be conducted by Hexagon as part of its broader corporate organization, rather than as an independent company, and we have shared economies of scope and scale in costs, employees, vendor relationships, and customer relationships with Hexagon. As such, we have not yet had the opportunity to demonstrate an independent ability to successfully conduct activities necessary for successful operation as a standalone company.</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do not, quickly and cost effectively, establish our own administrative and support functions necessary to operate as a standalone public company, then our ability to operate our business effectively may be adversely impacted and our accounting and other management systems and resource functions may not be adequately prepared to meet the financial reporting and other requirements to which we will be subject following the Distribution. Necessary initiatives we are undertaking to develop an independent ability to operate without access to Hexagon’s existing operational and administrative infrastructure will result in increased costs.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separation and Distribution, Hexagon or one or more of its affiliates provides various corporate services to supplement existing Octave functions, including certain legal, accounting, treasury, financial reporting, research &amp; development and human resources services, as well as IT and other corporate infrastructure. In connection with the Distribution, Octave and Hexagon will enter into a Distribution Agreement, a Tax Disaffiliation Agreement, an Employee Matters Agreement, a Transition Services Agreement, and other agreements for the purpose of accomplishing the separation and Distribution of Octave to Hexagon’s shareholders. These agreements are discussed in greater detail in “Certain Relationships and Related Party Transactions— Relationship Between Hexagon and Octave After the Distribution.”</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these agreements, Hexagon will provide some functions and services to Octave for a specified time period, but these arrangements may not fully capture the benefits Octave has enjoyed as a result of being integrated with Hexagon. Further, if Hexagon is unable to satisfy its performance and payment obligations under these agreements, Octave could incur significant operational difficulties or losses. We will need to make additional investments to replicate or outsource from other providers certain systems, functions, infrastructure, and personnel to which we will no longer have access after our separation from Hexagon, and we may encounter unforeseen expenses, difficulties, complications, and delays in doing so.</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our separation from Hexagon, we are also creating our own financial, administrative, corporate governance, public company compliance, and other support systems, including for the services Hexagon has historically provided to us, or we expect to contract with third parties to replace Hexagon’s systems that we are not establishing internally. We expect this process to be complex, time-consuming, and require significant monetary investments. We are also establishing or expanding our own tax, treasury, internal audit, investor relations, corporate governance, publicly-listed company compliance, and other corporate functions, including a new board of directors. These corporate functions fall beyond the scope of the operational service domains formerly provided by Hexagon and will require us to develop new standalone corporate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operational interruptions as we implement the new systems, or our failure to implement the new systems and replace Hexagon’s services successfully, and any higher costs associated with such new systems, could disrupt our business and could have a material adverse effect on our business, results of operations, and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will require significant resources and management attention.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standalone U.S. public company, we will incur significant new legal, regulatory, accounting, and other expenses that we did not independently incur as part of Hexagon.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we are not subject to the reporting and other requirements of the U.S. Securities Exchange Act 1934 (the “Exchange Act”). Following the effectiveness of the registration statement of which this information statement forms a part, we will be subject to such reporting and other obligations under the Exchange Act and the rules of the national securities exchange on which Octave Class B Ordinary Shares are listed. In addition, in connection with the listing of the Octave SDRs on Nasdaq Stockholm, we will be subject to such reporting and other obligations under the European Union Market Abuse Regulation (“MAR”) and the Nordic Main Market Rulebook for Issuers of Shares for Nasdaq Stockholm (“Nasdaq Stockholm’s Rulebook”). As a separate public company, we will be required to, among other things:</w:t>
      </w:r>
    </w:p>
    <w:p>
      <w:pPr>
        <w:spacing w:after="0" w:line="133" w:lineRule="exact"/>
        <w:rPr>
          <w:sz w:val="20"/>
          <w:szCs w:val="20"/>
          <w:color w:val="auto"/>
        </w:rPr>
      </w:pPr>
    </w:p>
    <w:p>
      <w:pPr>
        <w:ind w:left="6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and other shareholder communications in compliance with federal securities laws and rules, MAR, the Transparency Directive and Nasdaq Stockholm’s Rulebook;</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own board of directors and committees thereof, which comply with U.S. federal securities laws and rules and applicable stock exchange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inside information in compliance with MAR and Nasdaq Stockholm’s Rulebook;</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disclosure requirements in respect of persons discharging managerial responsibilities and any person closely associated with them, pursuant to MAR;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internal audit 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our own financial reporting and disclosure compliance functions;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investor relations function and incur expenses to maintain a public stock listing;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internal policies, including those relating to trading in our securities and disclosure controls and procedures;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regulations implemented by the SEC, the Sarbanes-Oxley Act, the Dodd-Frank Act, the PCAOB, the European Union, the European Securities and Markets Authority, the Swedish Financial Supervisory Authority, Nasdaq New York, which is the relevant U.S. national securities exchange and Nasdaq Stockholm.</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reporting and other obligations will place significant demands on our management and our administrative and operational resources, and we expect to face increased legal, accounting, administrative, and other costs and expenses relating to these demands that we had not incurred as a part of Hexagon. Certain of these functions will be provided on a transitional basis by Hexagon pursuant to a Transition Services Agreement. Please refer to “Certain Relationships and Related Party Transactions—Relationship Between Hexagon and Octave After the Distribution—Transition Services Agreement.” In particular, because Hexagon is not a public reporting company in the United States with securities registered under Section 12 of the Exchange Act, such new and additional reporting and other obligations of Octave will place significant demands on our management, which have limited or no experience managing U.S. public companies, interacting with U.S. public company investors and complying with complex laws pertaining to U.S. public companies. Our investment in compliance with existing and evolving regulatory requirements will result in increased administrative expenses and a diversion of some of management’s time and attention from sales-generating activities. Failure to satisfy these obligations could have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operating history as an independent, publicly-traded company, and our historical combined financial information is not necessarily representative of the results we could have achieved as an independent, publicly-traded company and may not be a reliable indicator of our future results.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 operating history as an independent, publicly-traded company and we may not be successful in continuing to operate and grow our business with a narrower focus and outside the broader Hexagon operating environment. We may not be able to achieve the full operational, financial, and strategic benefits expected to result from the separation and Distribution, or such benefits may be delayed or not occur at all. The anticipated benefits of the Distribution are based on a number of assumptions and uncertainties, which may prove to be incorrect or incomplete and we may not achieve these and other anticipated benefits for a variety of reasons, including those identified in this section “Risk Factors.” If we fail to achieve some or all of the benefits expected to result from the separation and Distribution, or if such benefits are delayed, it could have a material adverse effect on our business, results of operations, and financial position.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historical combined financial information included in this information statement is derived from Hexagon’s consolidated financial statements, and this information does not necessarily reflect the results of operations and financial position we would have achieved as an independent, publicly-traded company during the periods presented, or those that we will achieve in the future. This is primarily due to the following factors:</w:t>
      </w:r>
    </w:p>
    <w:p>
      <w:pPr>
        <w:spacing w:after="0" w:line="122" w:lineRule="exact"/>
        <w:rPr>
          <w:sz w:val="20"/>
          <w:szCs w:val="20"/>
          <w:color w:val="auto"/>
        </w:rPr>
      </w:pPr>
    </w:p>
    <w:p>
      <w:pPr>
        <w:jc w:val="both"/>
        <w:ind w:left="660" w:hanging="328"/>
        <w:spacing w:after="0" w:line="266"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we operated within various subsidiaries of Hexagon, and Hexagon performed various corporate functions for us. Our historical combined financial information reflects allocations of corporate expenses from Hexagon for these and similar functions. These allocations may not reflect the costs we will incur for similar services in the future as an independent publicly-traded company.</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enter into transactions with Hexagon that did not exist prior to the Distribution, such as Hexagon’s provision of transition and other services and licensing agreements, and we will undertake indemnification obligations, which will cause us to incur new costs. See “Certain Relationships and Related Party Transactions—Relationship Between Hexagon and Octave After the Distribution.”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combined financial information does not reflect changes we expect to experience in the future as a result of our separation from Hexagon, including changes in the financing, cash management, operations, cost structure, and personnel needs of our business. As part of Hexagon, we enjoyed certain benefits from Hexagon’s operating diversity, size, purchasing power, borrowing leverage, and available capital for investments, and we may lose these benefits after the Distribution. As an independent entity, we may be unable to purchase goods, services, and technologies, such as insurance and computer software licenses, or access capital markets on terms as favorable to us as those we obtained as part of Hexagon prior to the Distribution. Further, we will not have the same product diversity or scale and may not have similar purchasing power at the prices and terms obtained prior to the Distribution, which could decrease our overall profitability. Uncertainty related to the Distribution may lead customers, vendors, and other parties with which we currently do business or may do business with in the future to terminate or attempt to negotiate changes in our existing business relationships or cause them to consider entering into business relationships with parties other than Octave. Our business, financial condition, results of operations, and cash flows may thus be adversely affected. In addition, our historical combined financial data does not include an allocation of interest expense comparable to the interest expense we will incur as a result of the Distribution, including interest expense in connection with the incurrence of indebtedness by Octave.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After the separation, we will have indebtedness that could adversely affect our business, cash flows, and financial condition.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this time, the capital structure of Octave has not been determined. However, we intend to incur indebtedness in connection with the Distribution and may incur additional indebtedness in the future. Our indebtedness may impose restrictions on us that could have material adverse consequences by:</w:t>
      </w:r>
    </w:p>
    <w:p>
      <w:pPr>
        <w:spacing w:after="0" w:line="108"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 from operations to make payments on our indebtedness following the separation;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satisfy debt service and other obligations;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of a future credit ratings downgrade of our debt, which could increase future debt costs and limit the future availability of debt financing;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cash flow available to fund capital expenditures and other corporate purposes and to grow our business;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as needed or take advantage of business opportunities as they arise, pay cash dividends, or repurchase or redeem Octave Class A Ordinary Shares and/or Octave Class B Ordinary Shares;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expend resources to monitor and comply with covenants related to such indebtedness;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relative to our competitors that may not be as highly leveraged with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we incur additional indebtedness, the risks described above could increase. See “Description of Material Indebtedness.”</w:t>
      </w:r>
    </w:p>
    <w:p>
      <w:pPr>
        <w:spacing w:after="0" w:line="1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separation and Distribution may result in disruptions to, and negatively impact our relationships with, our customers, prospective customers, vendors, and other business partners.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activities are conducted in a large number of markets with multiple customer categories, including power generation and utilities, data centers, heavy construction, process industries, public safety, transportation networks, and other environments where reliability, safety, and coordinated operations are essential. Uncertainty related to the separation and Distribution may lead customers, prospective customers, vendors, or other parties with which we currently do business or may do business with in the future to terminate or attempt to negotiate material changes in our existing business relationships, or cause any of these parties to delay entering into business relationships with us or consider entering into business relationships with parties other than us. These disruptions could have a material and adverse effect on our business, prospects, financial condition, and results of operations. In addition, although Hexagon will continue to provide us with certain services under the Transition Services Agreement for a limited period after the Distribution, that agreement is temporary and limited and does not replicate the commercial, reputational or scale benefits customers associate with being part of Hexagon. As we transition to a standalone public company, our ability to leverage the infrastructure, resources and other synergies that come from being a part of the larger Hexagon Group will decrease, which may negatively affect customer sentiment and adversely affect our operations. In addition, some of our customers, prospective customers, vendors and other business partners accustomed to conducting business with larger organizations may not continue to do business with Octave following the separation and Distribution as a result of no longer being part of Hexagon. Furthermore, we expect to continue re-selling or distributing certain Hexagon products and services immediately following the Distribution that may expire or be wound down over time. For example, we expect our U.S. federal government business to continue to re-sell certain Hexagon products for a limited duration following the Distribution, which customer relationships will likely ultimately transition back to Hexagon over time.</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customers, prospective customers, vendors, or other parties with which we conduct business may need assurances that our scale, policies and/or attributes on a standalone basis are sufficient to satisfy their requirements or preferences for doing or continuing to do business with them. Any failure of parties to be satisfied with our operational capacity, financial stability or other business relationships following the Distribution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post-Distribution value of Hexagon Class B Shares and Octave Class B Ordinary Shares may not equal or exceed the pre-Distribution value of Hexagon Class B Shares.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Hexagon expects the trading price of Hexagon Class B Shares to be lower than the trading price immediately prior to the Distribution because the trading price will no longer include the value of the Octave Business. In addition, the trading price of Octave Class B Ordinary Shares may not reflect the full value of our business and assets, due to market inefficiencies in the initial trading of Octave Class B Ordinary Shares or Octave SDRs or variations in investor views regarding our business and prospects, among other market forces. The aggregate market value of Hexagon Class B Shares and Octave Class B Ordinary Shares as separate entities at any time following the Distribution may be lower than the market value of Hexagon Class B Shares immediately prior to the Distribution, and may fluctuate significantly, particularly during the period immediately following the Distribution and until the market has evaluated the operations of Hexagon and Octave. This could have a material adverse effect on our business, results of operations, and financial position. See “—Risks Relating to Octave Class B Ordinary Shares and Octave SDRs.”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and Distribution, we will assume and agree to indemnify Hexagon for certain liabilities. If we are required to make payments pursuant to these indemnities to Hexagon or, if Hexagon fails to indemnify us pursuant to the Distribution Agreement, or if Hexagon’s indemnification obligations are insufficient to protect us against certain obligations, we may need to divert cash to meet those obligations and our financial results could be significantly harmed.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Distribution Agreement and certain other agreements we intend to enter into with Hexagon in connection with the separation and Distribution, we will assume and agree to indemnify Hexagon for certain liabilities for uncapped amounts, which may include, among other items, associated defense costs and settlement amounts and judgments, as discussed further in “Certain Relationships and Related Party Transactions— Relationship Between Hexagon and Octave After the Distribution.” Payments pursuant to these indemnities may be significant and could harm our business. Third parties could also seek to hold us responsible for liabilities of the Hexagon business.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Hexagon will agree to indemnify us for certain liabilities of the Hexagon business, but such indemnity from Hexagon may not be sufficient to protect us against the full amount of such liabilities, and Hexagon may not fully satisfy its indemnification obligations (if at all). Moreover, even if we ultimately succeed in recovering from Hexagon any amounts for which we are held liable, we may be temporarily required to bear these losses ourselves. Each of these risks could have a material adverse effect on our business, results of operations, and financial position.</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Distribution and related transactions may expose us to potential liabilities arising out of state and federal fraudulent conveyance laws and legal distribution requirements.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Distribution could be challenged under various foreign, federal, and state laws. An unpaid creditor or an entity vested with the power of such creditor (such as a trustee or debtor-in-possession in a bankruptcy) could claim that Hexagon did not receive fair consideration or reasonably equivalent value in the Distribution, and that the Distribution left Hexagon insolvent or with unreasonably small capital or that Hexagon intended or believed it would incur debts beyond its ability to pay such debts as they mature. If a court were to agree with such a plaintiff, then such court could void the Distribution as a fraudulent transfer and could impose a number of different remedies, including, without limitation, returning our assets or your shares in Octave to Hexagon or providing Hexagon with a claim for money damages against us in an amount equal to the difference between the consideration received by Hexagon and the fair market value of Octave at the time of the Distribution. No assurance can be given as to what standard a court would apply to determine insolvency or that a court would determine that Hexagon was solvent at the time of or after giving effect to the Distribution.</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agreements with Hexagon may not reflect terms that would have resulted from negotiations with unaffiliated third parties, and we may have been able to receive better terms from unaffiliated third parties than the terms we receive in our agreements related to the Distribution.</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agreements related to the separation and Distribution, including, among others, the Distribution Agreement, the Tax Disaffiliation Agreement, the Employee Matters Agreement, the Transition Services Agreement,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agreements for the purpose of accomplishing the separation and Distribution of our share capital to Hexagon’s shareholders will have been entered into in the context of the separation and Distribution while we are still controlled by Hexagon. Accordingly, these agreements may not reflect terms that would have resulted from arm’s-length negotiations among unaffiliated third parties. The terms of the agreements being negotiated in the context of our separation and Distribution are related to, among other things, allocations of assets and liabilities, rights and indemnification, and other obligations between Hexagon and Octave. To the extent certain terms of those agreements provide for rights and obligations that could have been procured from third parties, we may have received better terms from third parties. There is a risk that we may incur greater costs or be subject to greater potential liability pursuant to our agreements with Hexagon for certain rights and obligations that could have been procured from unaffiliated third parties, which could have a material adverse effect on our business, prospects, financial condition, and result of operations.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more detailed description, see “Certain Relationships and Related Person Transactions—Relationship Between Hexagon and Octave After the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the global economy, the particular markets we serve, and the financial markets may adversely affect our future growth.</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sensitive to general economic conditions and depends on continued strength in the markets we serve. We engage in worldwide operations that are dependent on global economic and financial market conditions, as well as conditions that are unique to certain countries or regions. Our sales are often associated with capital improvements or availability of funding of customers that depends on a variety of factors outside of our control. Slower global economic growth, high inflation, high interest rates, actual or anticipated default on sovereign debt, volatility in the currency and credit markets, high levels of unemployment or underemployment, reduced levels of capital expenditures, changes or anticipation of potential changes in government trade, fiscal, tax and monetary policies, changes in capital requirements for financial institutions, government deficit reduction and budget negotiation dynamics, sequestration, austerity measures, weak macroeconomic conditions globally or in a part of the world, and other challenges that affect the global economy may adversely affect our business and our distributors, customers, and vendors. Certain products and services that support discretionary functions may be susceptible to changes in economic conditions, and economic conditions may affect the inclination and the capabilities of existing and potential customers to invest in various technologies. For example, the U.S. administration has increased tariffs on certain goods imported into the United States, raised the possibility of imposing significant additional tariff increases, and called for substantial changes to trade agreements.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growth in the global economy or in any of the markets we serve slows for a significant period, if there is significant deterioration in the global economy or such markets, or if improvements in the global economy do not benefit the markets we serve, there could be a material adverse effect on our business, results of operations, and financial position.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failure to maintain a market-level pace for product development and a high level of product and service quality may impact competitiveness, which could have a material adverse effect on our business, results of operations, and financial condition.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highly competitive markets and compete directly with global, national, regional, and local providers of our products, services, and solutions. The markets in which we operate are characterized by rapid technological advancement, evolving customer expectations, and continuous innovation. These sectors are seeing increased activity from large, well-capitalized competitors, and some of these competitors are entering adjacent markets, bundling offerings, or consolidating through strategic acquisitions. As a result, we face pressure not only from traditional competitors but also from emerging players and broader technology providers seeking to offer integrated, end-to-end digital solutions. These companies may be able to offer aggressive pricing, complementary services, or leverage their advantages of scale that we cannot easily match. Customers may prefer vendors with more comprehensive product suites or global reach, making it more difficult for us to win or retain business. If we are unable to effectively compete through innovation, pricing, rapid development, reliable quality, partnerships,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service then we could lose market share, be forced to reduce prices, or experience slower growth. Similarly, failure to fully integrate our software solutions into an integrated platform and/or ecosystem may lead to a failure to attract or retain customers, which could materially adversely affect our results of operations. In addition, slow adoption of new technology offerings, high switching costs, and weak customer economic conditions may be an impediment to future purchasing decisions that could negatively impact our business.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sectors are experiencing increased competition from new market entrants, including startups backed by private equity or venture capital funding. These companies often focus on rapid growth and market penetration, rather than near-term profitability, and may offer their products and services at significantly reduced prices or under highly favorable terms. We currently sell software that includes certain products with premium price points on a per-user basis as well as other licensure models, which can make us vulnerable to market disruption if a new or existing competitor were to introduce a comparable or superior product at a significantly lower price. Aggressive pricing and customer acquisition strategies by new market entrants or others could undercut our offerings, even if the competing products lack the maturity, security, or reliability required in mission-critical environments.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we risk losing market share to competitors offering more current or cost-effective alternatives if we do not maintain at least a market pace at which we develop, update, and retire technology and software products, which will require continuing to improve our internal development processes and increasing our agility following the separation. A delay or failure to modernize our offerings, adopt new platforms, features or protocols, or respond to emerging trends in a timely manner may result in our solutions becoming outdated or incompatible with customer needs and industry standards.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prolonged reliance on aging technologies may increase maintenance costs, introduce security vulnerabilities, and hinder our ability to scale or integrate with modern infrastructure. If our customers perceive our products as obsolete or inadequate for their evolving needs, or our customers shift to another vendor, we may experience reduced sales, increased customer churn, and reputational harm.</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transition to a SaaS business model presents significant risks, and failure to execute this strategy successfully could materially harm our financial performance.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 the process of transitioning portions of our business to an increasingly SaaS-based model, which represents a shift from traditional perpetual software licensing and delivery. Currently, a smaller proportion of our revenue is derived from SaaS solutions. The transition requires substantial investment in cloud infrastructure, product reengineering, security, customer onboarding, and support. It also may involve a temporary reduction in recognized revenue, as large up-front license fees are replaced with recurring subscription revenue, potentially impacting short-term financial performance.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a substantial part of our revenue is generated from maintenance and support subscriptions for legacy software products, and our long-term success depends on migrating these customers to our newer offerings. Any inability to transition customers to our new solutions could lead to a loss of revenue if current customers discontinue service or switch to competitors’ products.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effectively migrate customers to our new offerings, deliver compelling SaaS solutions, or compete with established SaaS providers, we may lose existing customers or fail to attract new ones. Additionally, internal execution risks, such as delays in product development, pricing misalignment, or organizational resistance, could hinder the transition. Any failure to execute our SaaS strategy could result in a loss of market share, reduced profitability, and a long-term decline in revenue, materially and adversely affecting our business and prospects.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strong brand, and any failure to maintain, protect, and enhance our brand would have an adverse effect on our ability to grow our business.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Hexagon, we have developed a strong brand that we believe has contributed significantly to the success of our business. Establishing Octave’s new external branding as a premium pure play software and SaaS brand is critical to growing our business. If we do not successfully build and maintain a strong brand, our business could be negatively impacted. Preserving and increasing the quality of our brand may require us to make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areas such as marketing, community relations, outreach technology, and employee training. There is a risk that those activities will not enhance brand awareness.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Brand value can be severely damaged even by isolated incidents, particularly if the incidents receive considerable negative publicity or result in litigation. Some of these incidents may relate to the way we manage our relationship with our customers, our growth strategies, or the ordinary course of our business. Other incidents may arise from events that are or may be beyond our ability to control and may damage our brand, such as actions taken (or not taken) relating to health, safety, welfare, or other matters; cybersecurity incidents and/or misuse of our products; litigation and claims; failure to maintain high ethical and social standards for all of our operations and activities; failure to comply with local laws and regulations; and illegal activity targeted at us or others. Our brand value could diminish significantly if any such incidents or other matters erode consumer confidence in Octave, which could have a material adverse effect on our business, results of operations, and financial position.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variety of laws to protect the proprietary nature of our software, which may not adequately protect our intellectual property, and infringement, misappropriation, or dilution of our intellectual property could harm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Distribution, Octave will take possession of over 450 patents and patent applications currently held by Hexagon. The patent portfolio includes holdings in the United States, Europe, China, Japan, Korea, Australia, and Canada. The portfolio is predominantly focused on technologies in software and computer-implemented arts. Unauthorized uses or other infringement of our intellectual property, including ones that are currently unknown to us, could diminish the value of our brand and may adversely affect our business. Failure to adequately protect our intellectual property rights could damage our brand and impair our ability to compete effectively. Even where we have effectively secured statutory protection for our intellectual property, our competitors may misappropriate our intellectual property. Defending or enforcing our rights, such as seeking an injunction and/or compensation for misappropriation of proprietary or confidential information, could result in the expenditure of significant resources and divert the attention of management, which in turn may adversely affect our business and operating results.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unauthorized third parties may use our intellectual property to trade on the goodwill of our brand, resulting in consumer confusion or dilution. Any reduction of our brand’s goodwill, consumer confusion, or dilution is likely to impact sales, and could have a material adverse effect on our business, results of operations, and financial position.</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many of our software businesses do not currently hold patents on core technologies, products, or software platforms. Instead, we rely in those instances on trade secret laws, confidentiality agreements, security practices, internal policies, and other contractual protections to safeguard our intellectual property. These measures offer more limited protections as compared to patent rights and require continuous vigilance, including robust internal controls and employee confidentiality obligations. If any of our trade secrets are disclosed, then we may lose our competitive advantage, and legal recourse may be limited or difficult to enforce, especially outside the United States. Moreover, our ability to assert exclusive rights over certain of our innovations through formal intellectual property litigation, or to deter competitors from developing similar technologies, may be hindered. This could allow others to replicate, market, or improve upon our offerings without infringing any protected rights, which could increase competitive pressure on us. Any erosion of our intellectual property protection could materially and adversely affect our business, competitive position, and long-term prospects.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risks with respect to our counterparties on contracts, and failure of such counterparties to meet their obligations could cause us to suffer losses or negatively impact our results of operations and cash flows.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and may enter into in the future, various long-term contracts with various parties. Such agreements subject us to counterparty risks, including the risk that our customers may be unable to fulfil their payment obligations. The ability of each of our counterparties to perform its obligations under a contract with us will depend on a number of factors that are beyond our control and may include, among other things, general economic conditions, the condition of the software industry, and the overall financial condition of the counterparty.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these contracts require cooperation of the counterparty for us to perform our obligations under the contract. Should a counterparty fail to honor its obligations under agreements with us, we could sustain significant losses which could have a material adverse effect on our business, results of operations, and financial position.</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financial statements may be impaired by improper conduct by any of our employees, vendors, or business partners, and the failure of third-party vendors or partners to perform as we expect or appropriately manage risks, or our failure to adequately monitor third-party performance, could result in harm to our reputation and have a material adverse effect on our business and results of operations.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engage with third-party vendors, subcontractors, and partners in a variety of ways, ranging from strategic collaborations and product development to running key internal operational processes and critical client systems. In many instances, these third parties are in direct contact with our customers in order to deliver services on our behalf or to fulfill their role in the applicable collaboration. In some instances, these third parties may be in possession of personal information of our customers or employees. In other instances, these third parties may play a critical role in developing products and services central to our business strategy. To be in a position to sell and deliver solutions to customers, we are dependent upon deliveries from third parties in accordance with agreed requirements relating to, for example, quantity, quality, and delivery times. Our third-party partners may encounter difficulties in the provision of required deliverables or may fail to provide us with timely services, which may delay us, and also may make decisions that may harm us or that are contrary to our best interests, including by pursuing opportunities outside of the applicable project or program, to the detriment of such project or program. If third parties (or their respective vendors, partners or subcontractors) were to fail to perform as we expect, fail to appropriately manage risks, provide diminished or delayed services to our customers, or face cybersecurity breaches of their information technology systems, or if we fail to adequately monitor their performance, our operations and reputation could be materially adversely affected, in particular any such failures related to the development of key products. Depending on the function involved, vendor or third-party application failure or error may lead to increased costs, business disruption, distraction to management, processing inefficiencies, the loss of or damage to intellectual property or sensitive data through security breaches or otherwise, effects on financial reporting, loss of customers, damage to our reputation, or litigation, regulatory claims, and/or remediation costs (including claims based on theories of breach of contract, vicarious liability, negligence, or failure to comply with laws and regulations). Third-party vendors and partners (or their respective vendors) may also fail to maintain or keep adequate levels of insurance, which could result in a loss to us or expose us to litigation.</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particular, we cannot provide assurance that our internal controls and compliance systems will always protect us from acts committed by our employees, vendors, or business partners (or of businesses we acquire or partner with) that would violate U.S. and/or non-U.S. laws, including the laws governing payments to government officials, bribery, fraud, kickbacks and false claims, pricing, sales and marketing practices, conflicts of interest, competition, employment practices and workplace behavior, export and import compliance, economic and trade sanctions, money laundering, and data privacy. Any such improper actions or allegations of such acts could damage our reputation and subject us to government, civil or criminal investigations, and related shareholder lawsuits, could lead to substantial civil and criminal, monetary and non-monetary penalties, and could cause us to incur significant legal and investigatory fees.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are exposed to risks that could lead to property damage and business interruption. Some of our potential losses may not be covered by insurance. We may not be able to obtain or maintain adequate insurance coverage.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assets, and staff are exposed to various risks of damages, losses, and injuries which could threaten our business continuity, earnings, financial assets, and personnel. Our products and distribution units are exposed to risks including, among others, fire, explosion, natural hazards, machinery failure, cyber threats, infrastructure failures, and power outages, which could lead to property damage and business interruption.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insurance programs are periodically amended to balance owned risk and insured risk, but our insurance does not cover all of the costs and losses from all events. We are responsible for certain retentions and deductibles that vary by policy, and we may suffer losses that exceed our insurance coverage limits by a material amount. We may also incur costs or suffer losses arising from events against which we have no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large-scale market trends or the occurrence of adverse events in our business, such as large-scale cybersecurity attacks, may raise our cost of procuring insurance or limit the amount or type of insurance we are able to secure. We may not be able to maintain our current coverage, or obtain new coverage in the future, on commercially reasonable terms or at all. Incurring uninsured or underinsured costs or losses could harm our business.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 Failure to successfully identify, complete, or integrate acquisitions into our existing operations could adversely affect our business, financial condition, or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important part of our current and future growth strategy is to actively pursue strategic acquisitions of companies and businesses. Accordingly, from time to time, we may consider strategic transactions, such as acquisitions of companies, asset purchases, and out-licensing or in-licensing of intellectual property, products, or technologies, which leverage our capabilities, enhance our customer base, geographic penetration, and scale to complement our current businesses. Since 2017, Octave has integrated 24 acquisitions, two of the most recent of which were completed in 2025 for an aggregate consideration of $16.8 million, net of cash acquired, two acquisitions in 2024 for an aggregate consideration of $30.6 million, net of cash acquired, and, in 2023, the acquisitions of Qognify and Projectmates were completed for an aggregate cash consideration of $348.0 million, net of cash acquired. Additional potential transactions that we may consider in the future include a variety of business arrangements, including spin-offs, strategic partnerships, joint ventures, restructurings, divestitures, business combinations, and investments.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believe that such transactions are an integral part of our long-term strategy, there are risks and uncertainties related to these activities. Acquisitions entail multiple risks and future transactions could increase our near- and long-term expenditures, result in potentially dilutive issuances of our equity securities, including Octave Shares, as well as the Octave SDRs, or the incurrence of debt, contingent liabilities, amortization expenses or acquired in-process research and development expenses, any of which could affect our financial condition, liquidity, and results of operations. The acquired entities’ relations with customers, vendors, key personnel, and affiliates may be negatively affected by the acquisition. There is also some risk that integration processes may prove more costly or time consuming than estimated and that anticipated synergies in whole or in part fail to materialize, or that positive impacts on earnings may take longer to realize than expected. An acquisition of a company that is not conducting its business at the high level of our standards, such as not in a sustainable way or in compliance with our Code of Business Conduct and Ethics, may have a negative impact on our reputation and brand and could have a material adverse effect on our business, results of operations, and financial position, despite our efforts to promptly remediate such conditions. Future acquisitions may also require us to obtain additional financing, which may not be available on favorable terms or at all. These transactions may not be successful and may require significant time and attention of management.</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integration of any business that we may acquire in the future may disrupt our existing business and may be a complex, risky, and costly endeavor for which we may never realize any or all potential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 In particular, acquisitions and strategic relationships involve the following risks, among others:</w:t>
      </w:r>
    </w:p>
    <w:p>
      <w:pPr>
        <w:spacing w:after="0" w:line="129" w:lineRule="exact"/>
        <w:rPr>
          <w:sz w:val="20"/>
          <w:szCs w:val="20"/>
          <w:color w:val="auto"/>
        </w:rPr>
      </w:pPr>
    </w:p>
    <w:p>
      <w:pPr>
        <w:ind w:left="66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business, technology, service, or product could underperform relative to our expectations and the price that we paid for it, or not perform in accordance with our anticipated timetable;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 or strategic relationships;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relationships could cause our financial results to differ from our own estimates or the investment community’s expectations in any given period, or over the long term;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pre-closing and post-closing earnings charges could adversely impact operating results in any given period, and the impact may be substantially different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ind w:left="660" w:right="2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relationships could create demands on our management, operational resources, and financial and internal control systems that we are unable to effectively address;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difficulty in integrating personnel, operations, financial, and other controls and systems, and retaining key employees and customers;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cost savings or other synergies anticipated in connection with an acquisition or strategic relationship;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by acquisition or strategic relationship unknown liabilities, known contingent liabilities that become realized, known liabilities that prove greater than anticipated, internal control deficiencies, or exposure to regulatory sanctions resulting from the acquired company’s activities;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liabilities or deficiencies mentioned above may increase our expenses, adversely affect our financial position, or cause us to fail to meet our public financial reporting obligations;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we may enter into post-closing financial arrangements such as purchase price adjustments, earn-out obligations, and indemnification obligations, which may have unpredictable financial results;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we have recorded significant goodwill and other intangible assets on our balance sheet, and if we are not able to realize the value of these assets, we may be required to incur charges relating to the impairment of these assets;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interests that diverge from those of strategic partners and we may not be able to direct the management and operations of the strategic relationship in the manner we believe is most appropriate, exposing us to additional risk.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not be able to successfully identify suitable acquisition candidates or complete transactions on acceptable terms, integrate acquired operations into our existing operations, or expand into new markets. Our failure to identify suitable strategic opportunities may restrict our ability to grow our business. Furthermore, consummation of transactions with desirable acquisition candidates may be subject to regulatory approvals, including, but not limited to the Committee on Foreign Investment in the United States, which may not be timely or approved.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or applicable insurance may not apply or effectively respond to claims. There is a risk that these indemnification provisions will not protect us fully or at all, and as a result we may face unexpected liabilities that adversely affect our financial statements.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Divestitures or other dispositions could negatively impact our business, and contingent liabilities from businesses that we have sold could adversely affect our financial statements.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continually assess the strategic fit of our existing businesses and may divest, spin-off, split-off, or otherwise dispose of businesses that are deemed not to fit with our strategic plan or are not achieving the desired return on investment, including several in the past year. These transactions pose risks and challenges that could negatively impact our business. For example, when we decide to sell or otherwise dispose of a business or assets, we may be unable to do so on satisfactory terms, within our anticipated timeframe, or at all, and even after reaching a definitive agreement to sell or dispose of a business the sale is typically subject to satisfaction of pre-closing conditions which may not become satisfied and other terms, such as earn-outs. In addition, divestitures or other dispositions may reduce or dilute Octave’s earnings per share, have other adverse financial and accounting impacts, and distract management, and disputes may arise with buyers.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we have retained responsibility for and/or have agreed to indemnify buyers against some known and unknown contingent liabilities related to a number of businesses we have sold or disposed. Historical effects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contingencies may not be indicative of their impact in the future, and future resolutions of these contingencies could accordingly have a material effect on our financial statements.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accepted accounting principles and related accounting pronouncements, implementation guidelines, and interpretations regarding a wide range of matters relevant to our business, such as revenue recognition, asset impairment and fair value determinations, inventories, business combinations and intangible asset valuations, leases, and litigation, are highly complex and involve many subjective assumptions, estimates, and judgments. Changes in these rules or their interpretation or changes in underlying assumptions, estimates, or judgments could have a material adverse effect on our business, results of operations, and financial position.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Distribution, we may not be able to access the capital, credit, and foreign exchange markets on terms that are favorable to us, or at all, and our ability to meet our capital needs may be harmed by the loss of financial support from Hexagon.</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Distribution, we expect to obtain any funds needed in excess of the amounts generated by our operating activities through the capital markets, bank financing, strategic relationships, or other arrangements. There is a risk that our ability to meet our capital needs, including servicing our own debt, will be harmed by the loss of financial support from Hexagon, which could have a material adverse effect on our business, results of operations, and financial condition. Hexagon can currently provide certain capital that may be needed in excess of the amounts generated by our operating activities. Generally, our working capital requirements and capital for our general corporate purposes, including acquisitions and capital expenditures, have historically been satisfied as part of the corporate-wide cash management policies of Hexagon. Following the Distribution, we may need to obtain additional financing from banks, through public offerings or private placements of debt or equity securities, strategic relationships, or other arrangements.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Distribution, our cost of capital may be higher than Hexagon’s cost of capital prior to the Distribution. Given the smaller relative size of Octave as compared to Hexagon after the Distribution, we may incur higher debt servicing and other costs relating to new indebtedness than we would have otherwise incurred and may be more susceptible to credit risk and liquidity risk than we were as part of Hexagon. A large portion of our total consolidated cash will also be held overseas and may not be efficiently accessible to fund our third-party debt and other financial obligations, which are expected to be primarily held in the United States. In the event of adverse capital and credit market conditions, including any increase in interest rates, we may be unable to obtain capital market financing on favorable terms, or at all. Further, changes in credit ratings issued by nationally recognized credit-rating agencies could adversely affect our ability to obtain capital market financing and the cost of such financing.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could have a material adverse effect on our business, results of operations, and financial position.</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proportion of our operations are in currencies other than our reporting currency, and adverse changes in exchange rates could negatively affect our results of operations.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our broad geographic spread, a significant proportion of our revenues, expenses, assets, and liabilities are denominated in currencies other than Octave’s reporting currency, including the euro, Canadian dollar, Chinese renminbi, Indian rupee, British pound, and Australian dollar, which expose us to fluctuations in foreign currencies relative to the U.S. dollar and may adversely affect our financial statements. An increase in strength of the U.S. dollar against these currencies increases the effective price of our products sold in U.S. dollars into other countries, which may require us to lower our prices or adversely affect sales. A decrease in the strength of the U.S. dollar could adversely affect the cost of materials, products, and services we purchase outside the United States. Emergence of digital forms of currency may likewise, either directly or indirectly,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be able to hedge such foreign exchange risks in a cost-effective manner, and our financial results may be adversely affected by adverse movements in reported results when translated into our reporting currency, the U.S. dollar.</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innovate and grow depends on our ability to attract, train, and retain highly skilled personnel, particularly in AI and other advanced technologies, and we may not be able to attract and retain key personnel.</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as a standalone company will depend in large part upon the leadership and performance of our management team and other key employees and our ability to recruit, develop, and retain top talent, especially in fields such as computer programming and architecture, AI, cloud computing, edge computing, and real-time data integration. Operating as an independent company will demand a significant amount of time and effort from our management and other employees and may give rise to increased employee turnover. Competition for skilled technologists is intense, particularly as technology companies and government contractors increasingly prioritize AI-driven innovation. If we are unable to attract qualified individuals or if we experience high turnover among key personnel, we may not be able to execute on our strategic roadmap. If we lose the services of members of our management team or other key employees, we may not be able to successfully manage our business or achieve our business objectives.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we will need to continue to attract and retain qualified key personnel in a highly competitive environment. Many of our personnel are required to have various subject matter expertise. We will not be able to leverage Hexagon’s historical reputation, performance, and brand identity to recruit and retain key personnel to run and operate our business. Our ability to attract, recruit, and retain such talent will depend on a number of factors, including the hiring practices of our competitors, the performance of our development programs, our compensation and benefits, our ability to build a strong company culture, work location and work environment, and economic conditions affecting our industry generally. If we cannot effectively hire and retain qualified employees, there could be a material adverse effect on our ability to operate, including to develop, implement, generate sales of, promote, market, and deliver software and hardware products, solutions and services, and provide customer support, and our business, prospects, financial condition, and results of operations could suffer significantly.</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Extended implementation timelines, delays, or performance issues for our software solutions in critical infrastructure projects could expose us to contractual risks or potential liability, customer dissatisfaction, or reputational harm.</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software implementations in critical infrastructure projects can sometimes require many months, sometimes multiple years, to complete due to the complexity of the systems and the highly regulated, mission-critical nature of the infrastructure involved. The lengthy duration of these projects increases exposure to risks, including, but not limited to, changes in customer requirements, evolving regulatory standards, technology obsolescence, resource constraints, or other unforeseen technical challenges. During extended implementation phases, which are customary in our business from time to time, delays or failures could result in breaches of contract, liquidated damages, missed deadlines, penalties, or claims for damages from customers relying on the timely deployment of our solutions.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delays may increase the risk of customer dissatisfaction, and if we are unable to meet contractual milestones or delivery expectations, there is a risk that one or more customers may terminate their agreements, refuse to renew, or seek alternative vendors. The loss of high-profile customers could lead other clients to reconsider or terminate their engagements with us. Some government customers may have rights to terminate certain contracts for convenience.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any performance, scalability, and quality issues with our offerings may negatively affect customer satisfaction, hinder adoption by new clients, and adversely affect our financial results and growth prospects. Delayed or failed project execution could expose us to legal liability, reputational damage, and materially and adversely affect our business, operations, and long-term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geopolitical, regulatory, and economic risks that could materially impact our business operations and financial returns.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substantial investments in developing our presence and capabilities across the globe, including in several emerging markets as well as mature, but increasingly regulated, markets such as Brazil, India, Saudi Arabia, and China, which includes commercializing and deploying key software offerings tailored for local markets. Our operations and prospects in some countries are subject to a range of risks stemming from the complex and evolving geopolitical and regulatory environment. For example, trade conflicts between the United States or other jurisdictions and China may reduce the desirability of international versions of software to be licensed in such other jurisdictions, including China. Ongoing trade tensions, export control restrictions, and shifting diplomatic relations could result in retaliatory measures, including tariffs, regulatory barriers, or sanctions that limit our ability to operate or compete effectively in the region. In particular, recent Chinese government mandates promoting the purchase and use of domestic software over non-Chinese alternatives could significantly reduce demand for our products in that country, regardless of quality or performance. Changing regulations around export controls, customs/tariffs, data localization, cybersecurity, and foreign investment may also impose costly compliance burdens, restrict our ability to scale operations, continue to service certain markets, and profitably sustain business in some countries.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Geopolitical risk is a significant risk factor for the global business, encompassing a broad range of issues such as political instability, trade wars, economic sanctions, terrorism, and state-sponsored cybersecurity threats, all of which can disrupt our operations, supply chains, customer demand, and our ability to generate profit. These risks could force us to adjust investment plans, diversify suppliers, and bolster cybersecurity measures to mitigate potential financial and operational damage, all of which may create costs and delay business plans.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factors, individually or collectively, increase the risk that we may not realize an adequate return on our investment in certain global operations, as well as be subject to adverse publicity or political backlash. Any deterioration in international relations or unfavorable policy developments in trade policy could materially and adversely affect our revenues, strategic plans, reputation, and long-term growth opportunities.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 federal government contracting subsidiary is subject to stringent and evolving regulatory requirements, and failure to comply could result in audit findings, penalties, or loss of contract eligibility.</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a separate legal entity dedicated to U.S. federal government contracting, which is subject to a distinct and complex set of regulatory and compliance obligations, including, where required, cybersecurity standards such as the U.S. Department of Defense’s Cybersecurity Maturity Model Certification program, cost accounting rules, and procurement regulations, in addition to rules relating to non-U.S. ownership, control, and/or influence. Meeting these requirements requires extensive internal controls, technical safeguards, and compliance with evolving standards. This entity must maintain strict operational independence from our commercial business, and any failure to observe this separation or meet the required standards could result in serious consequences. We are subject to frequent audits by U.S. government agencies, and failure to pass a government audit could lead to findings of noncompliance, penalties, suspension, or termination of contracts, or even debarment from future federal contracting opportunities. Given the high scrutiny applied to government contractors, even minor compliance lapses can have material reputational and financial effects. Additionally, we have an entity in our group of companies that is governed by a Proxy Agreement and the Defense Counterintelligence and Security Agreement (“DCSA”), which mitigates non-U.S. ownership, control, and/or influence. This arrangement is closely monitored by agencies of the U.S. government and prevents our management from involvement and visibility of some aspects of its business.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regulatory landscape for federal contractors continues to evolve rapidly, with frequent updates to cybersecurity mandates, labor requirements, supply chain restrictions, and export controls. In particular, recent executive orders and congressional mandates related to software supply chain security will likely increase our development and compliance costs, particularly for legacy products or offerings developed in a decentralized or global manner, and may expose us to additional scrutiny from customers, regulators, and third-party researchers, potentially leading to reputational risks if known vulnerabilities or high-risk components are identified or if any inaccuracies result in a perceived breach of warranty, failure to comply with contractual terms, or violation of federal cybersecurity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when acting as a prime contractor or subcontractor on U.S. government contracts, we are subject to mandatory “flow-down” provisions, which require us to comply with numerous federal regulations and to ensure that our subcontractors do the same. These provisions often relate to cybersecurity, labor laws, ethics and business conduct, data privacy, and other regulatory areas. Ensuring compliance across complex contracting chains is operationally challenging and resource intensive. As a prime contractor, we are responsible for ensuring that our subcontractors adhere to these requirements. As a subcontractor, we are obligated to adhere to the flow-down terms passed down by the prime contractor. Failure to meet these obligations, either through our own non-compliance or that of a subcontractor, could result in breach of contract, monetary damages, disqualification from future government contracting opportunities, and reputational harm. If we fail to flow down required terms, fail to enforce subcontractor compliance, or ourselves fail to comply with requirements when we are a subcontractor, we could face audits, contract disputes, penalties, and termination for default or cause, any of which could materially and adversely affect our government contracting business and financial performance.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Keeping pace with existing requirements and any updated requirements that may apply to us in the future requires significant internal resources and ongoing investment. If we are unable to effectively manage and adapt to the shifting regulatory environment, we may be exposed to compliance risk, increased costs, and adverse effects on our ability to grow or maintain our federal business.</w:t>
      </w:r>
      <w:r>
        <w:rPr>
          <w:rFonts w:ascii="Times New Roman" w:cs="Times New Roman" w:eastAsia="Times New Roman" w:hAnsi="Times New Roman"/>
          <w:sz w:val="18"/>
          <w:szCs w:val="18"/>
          <w:b w:val="1"/>
          <w:bCs w:val="1"/>
          <w:i w:val="1"/>
          <w:iCs w:val="1"/>
          <w:color w:val="auto"/>
        </w:rPr>
        <w:t>Failure to obtain or maintain required certifications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limit our ability to compete for business, particularly in regulated markets.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 range of certifications, permits, and accreditations—including, but not limited to, ISO (International Organization for Standardization), ITAR (International Traffic in Arms Regulations), FedRAMP (Federal Risk and Authorization Management Program), SOC 2 (Service and Organization Controls 2), and CMMC (Cybersecurity Maturity Model Certification), as well as other various industry-specific or technical credentials—to demonstrate compliance with industry standards, regulatory requirements, and customer expectations. These certifications are essential for us to bid on, win, and retain certain public and private sector contracts, especially those involving sensitive data or national security implications. Achieving and maintaining them requires significant investment in systems, processes, personnel training, and audits. Failure to meet the necessary requirements or successfully pass assessments may result in the suspension, revocation, or denial of certifications.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obtain or maintain any of these certifications, or if delays or deficiencies occur during the certification or re-certification processes, we may be disqualified from contract opportunities, experience contract terminations, or lose competitive standing. In addition, our reputation with government customers and industry partners may be harmed, and we may be exposed to penalties or additional compliance obligations. Any such outcomes could materially and adversely affect our operations, revenue, and long-term strategic growth in regulated markets.</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estimates of market opportunity—including total addressable market and serviceable addressable market—and forecasts of market growth included in this information statement may prove to be inaccurate. Market opportunity estimates and growth forecasts included in this information statement are subject to significant uncertainty and are based on assumptions and estimates that may not prove to be accurate. The variables that affect the calculation of our market opportunity are also subject to change over time.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expectations regarding potential future market opportunities that we may be able to address are subject to uncertainty. For example, our expectations regarding future market opportunities in industrial and infrastructure asset lifecycle software markets depend, among other things, on the extent to which we are able to develop new products and features that expand the applicability of our offerings. In particular, future market opportunities related to our transition to an SaaS business model are dependent on our success in migrating customers to our new offerings, delivering compelling SaaS solutions, and competing with established SaaS providers. See “—Our transition to a SaaS business model presents significant risks, and failure to execute this strategy successfully could materially harm our financial performance.” In addition, our expectations regarding future market opportunities represented by AI and related innovations are subject to uncertainties relating to the fact that AI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innovations are at a nascent stage and may not grow at the rates or in the manner we expect. See “—Advances in AI could adversely affect our business model.”</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assure you that any particular number or percentage of addressable customers covered by our market opportunity estimates will purchase our solutions at all or generate any particular level of revenue for us. In addition, any expansion in our market depends on a number of factors, including the cost, performance, and perceived value associated with our offerings and those of our competitors. Even if the market in which we compete meets the size estimates and growth forecasted in this information statement, our business could fail to achieve a substantial share of this market or grow at a similar rate, if at all. Our growth is subject to many risks and uncertainties. Accordingly, the estimates of market opportunity or forecasts of market growth included in this information statement should not be taken as indicative of our future growth.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Technology</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often rely on enabling technology, connectivity, software, and intellectual property that in certain instances we do not own or control. Failure to renew or expand existing licenses may require us to modify, limit, or discontinue certain offerings, which could materially affect our business, financial condition, and results of operations. Some of our products and services contain third-party commercially licensed and open-source software, which may pose particular risks to our proprietary software, products, and services in a manner that could have a negative effect on our business.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depend upon third-party technologies, software, and intellectual property, and we rely on products, technologies, and intellectual property that we license from third parties for use in our services. We cannot assure that these third-party licenses, or support for such licensed products and technologies, will continue to be available to us on commercially reasonable terms, if at all, or that such items will be free from error. Failure to fully comply with licensing terms for commercially licensed components in how we use, modify, or distribute these components could lead to claims of infringement, litigation, financial penalties, or require that we cease using such components and alter or remove related functionalities from our products. In addition, we cannot be certain that our licensors are not infringing the intellectual property rights of others or that our vendors and licensors have sufficient rights to the technology in all jurisdictions in which we may operate. Some of our license agreements may be terminated by our licensors for convenience. In the event that we cannot renew and/or expand existing licenses, we may be required to discontinue or limit our use of the products and technologies that include or incorporate the licensed intellectual property.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face risks related to the license obligations for open-source or third-party sourced components, which have been known to introduce security vulnerabilities, have other errors or weaknesses, or may impose conditions on our use of such components that are inconsistent with our business model or proprietary interests. For example,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Additionally, we could face claims from third parties alleging ownership of, or demanding release of, the open-source software or derivative works that we developed using such software, which could include our proprietary source code, or otherwise seeking to enforce the terms of the applicable open-source license.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open-source and third-party components can contain undisclosed vulnerabilities, viruses, worms, malware, ransomware, spyware, backdoors, Trojan horses, time bombs, or other malicious code, which may expose our products and customers to cybersecurity threats. The use of certain open-source software in particular can lead to greater risks than use of third-party commercial software, as open-source licensors generally do not provide warranties or controls on the origin of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any failure to adequately address these legal, compliance, or security issues could materially and adversely affect our operations, reputation, and financial condition.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in, or breach in security of, our information technology systems or data could adversely affect our business, reputation, and financial condition.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variety of information technology systems, some of which are provided and/or managed by third parties, to process, transmit, and store electronic information (including sensitive data such as confidential business information and personal data relating to employees, customers, other business partners, and clients), and to manage or support a variety of critical business processes and activities (such as receiving and fulfilling orders, billing, collecting and making payments, delivering products, providing services and support to customers, and fulfilling contractual obligations).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some of our software and services incorporate information technology that may house personal data and some products or software we sell to customers may connect to our systems for maintenance or other purposes. These systems, products, and services (including those we acquire through external contracting or business acquisitions) may be damaged, disrupted, or shut down due to attacks by computer hackers, computer viruses, ransomware, human error or malfeasance, power outages, hardware failures, telecommunication or utility failures, catastrophes, or other unforeseen events, and in any such circumstances our system redundancy and other disaster recovery planning may be ineffective or inadequate. Such an event may implicate data privacy notifications, and resulting fines and/or damages. Attacks may also target hardware, software, and information installed, stored, or transmitted in our products after such products have been purchased and incorporated into third-party products, facilities, or infrastructure. Security breaches of our systems, regardless of whether the breach is attributable to a vulnerability in our products or services, or security breaches of third parties’ systems, which we rely upon to process, store, or transmit electronic information, could result in the misappropriation, destruction, or unauthorized disclosure of confidential information or personal data belonging to us or to our employees, partners, or customers. Like most multinational corporations, our information technology systems have been subject to computer viruses, malicious codes, old versions, unauthorized access, and other cyber-attacks, including various types of phishing, and we expect the sophistication and frequency of such attacks to continue to increase. Unauthorized tampering, adulteration or interference with our products may also adversely affect product functionality and result in loss of data, system unavailability, risk to customer safety and product recalls or field actions. These situations can also have negative effects under various data privacy, data sovereignty laws and regulations, as well as contractual requirements.</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of the attacks, breaches or other disruptions or damage described above could interrupt our operations or the operations of our customers and partners, delay production and shipments, result in theft of our and our customers’ intellectual property, data, and trade secrets, damage customer, business partner, and employee relationships and our reputation, or result in defective products or services, legal claims and proceedings, liability and penalties under privacy laws or contractual provisions, and increased costs for security and remediation, each of which could have a material adverse effect on our business, results of operations, and financial position.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Outages of cloud-related infrastructure could severely disrupt our operations, which could reduce customer trust and decrease demand for our products and services.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cloud-based products are central to our service offerings. We depend on third-party cloud service providers, which are subject to outages, cyberattacks, hardware failures, software bugs, human error, and other operational risks beyond our control. We do not control the operations of our cloud providers, and we cannot ensure uninterrupted service or fully mitigate the risks associated with third-party infrastructure failures. In addition, we may lack full redundancy and failover infrastructure across geographically distinct server farms or data centers, which exposes us to heightened risk in the face of cybersecurity incidents, natural disasters, or cascading infrastructure failures affecting our cloud service providers.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of a widespread outage affecting our primary cloud infrastructure provider or hosting region, we may be unable to reroute traffic or restore service in a timely manner. A prolonged disruption or an unrecoverable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outage could leave customers without access to essential systems. Any major service disruption, particularly without adequate failover capacity, could materially and adversely affect our business, revenue, and reputation and our ability to compete in software markets that are dependent on cloud-based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software development is inherently susceptible to certain risks, including inconsistent oversight and quality control.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develop some of our software in regional offices or subsidiaries, which requires certain activity outside the direct oversight of our core software development team. There is a risk that steps taken to manage this process prove insufficient, and this approach can result in regional teams developing software products or updates without full adherence to our centralized quality assurance and security and compliance protocols. Such decentralization increases the risk that we fail to maintain consistent development standards and that software is released with defects, errors, or vulnerabilities, or which does not comply with all applicable regulatory standards, updated components, or industry best practices. Any such failures could expose us to a variety of losses, including, but not limited to, regulatory penalties, contractual breaches, customer dissatisfaction, and potential operational failures.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in AI could adversely affect our business model.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rapid evolution of AI poses a potential threat to many aspects of our business, including the SaaS model that we increasingly rely on. We anticipate that AI will become increasingly capable of autonomously generating, customizing, and deploying software-like solutions to address certain user needs. If customers perceive that AI-powered tools can more efficiently or affordably meet their needs, our standardized software may experience declining adoption, reduced pricing power, or shortened product lifespans. For example, AI is already being used to automate functions historically performed by humans, such as processing real-time data and initiating action without human intervention. AI-related innovation could significantly reduce or eliminate the need for software licenses and related services, which currently represent a source of revenue for us.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face increasing demand for solutions that integrate AI, support real-time ingestion of diverse data streams, and operate seamlessly in cloud environments. Failure to adapt our business model to emerging AI trends or to differentiate our offerings in the face of AI-driven commoditization could materially and adversely affect our revenues, growth prospects, and competitive position. Further, AI and related innovations are still in a nascent stage. This is a period of rapid innovation and significant investment, but also one of considerable uncertainty. Partnering with an AI provider that does not succeed or become a prevailing industry standard can lead to significant financial losses and damage our reputation and our ability to compete in the future. This is also applicable to many emerging areas of software technology, including, but not limited to, quantum computing, blockchain, robotic process automation, edge computing, low-code/no-code platforms, and the Internet of Things.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anticipate and adapt to these shifts in technology, including transitioning away from legacy revenue models and developing new and competitive offerings, we may experience declining sales, customer attrition, and reduced market relevance.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upon substantial and sustained investment in information technology, infrastructure and systems.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efficient operation of our business will require substantial investment in technology infrastructure systems, including supply chain management systems, digital commerce systems, process management, and connected solutions. Many of our products also depend on the quality of our customer’s technology infrastructure. The inability to fund, acquire, and implement these systems, or our customers’ inability or unwillingness to maintain the same for themselves, may impact our ability to respond effectively to changing customer expectations, manage our business, deliver projects, scale our solutions effectively, or impact our customer service levels, which may put us at a competitive disadvantage, result in breaches of contract, and negatively impact our financial results. Repeated or prolonged interruptions of service, due to problems with our systems or third-party technologies, whether or not in our control, could have a significant negative impact on our reputation and our ability to sell products and services. Our offices and related information technology infrastructure assets are located in geographies that are subject to various events of force majeure (including so-called acts of God), which may disrupt service for our operations or for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highly dependent upon a variety of internal and outsourced computer and telecommunication systems to operate our business and for our products to perform reliably. In order to support our continued operational ability and growth, we must maintain and continuously upgrade our information systems, which are critical to our operational, accounting, and financial functions. We must also ensure that our offerings remain compatible with the latest information technology standards. Failure to properly or adequately invest in and maintain these systems could result in the diversion of management’s attention and resources and could materially adversely affect our operating results and impact our ability to efficiently manage our business. Our existing information systems may become obsolete, requiring us to transition our systems. Such a transition would be time consuming, costly, and would require diversion of management resources. Our information systems are also dependent on uninterrupted provisions of service by certain external suppliers of technology and services.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as we are dependent upon our ability to gather and promptly transmit accurate information to key decision makers, our business, results of operations, financial condition, and cash flows may be adversely affected if our information systems do not allow us to transmit accurate information, even for a short period of time. Failure to properly or adequately address these issues could impact our ability to perform necessary business operations, which could adversely affect our reputation, competitive position, business, results of operations, financial condition, and cash flows.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must attract and retain qualified personnel to operate our systems, expand and improve them, integrate new programs effectively with our existing programs, and convert to new systems efficiently when required. Any disruption to our business due to such issues, or an increase in our costs to cover these issues that is greater than what we have anticipated, could have an adverse effect on business, financial condition, results of operations, and cash flows. Our customers rely increasingly on our electronic ordering, support portals, and information systems as a source for product information, including availability, delivery, maintenance, and pricing. Our systems, or those on which we rely that are provided by third-parties or other partners, may fail or experience disruptions, and any significant failure or disruption of these systems could prevent us from making sales, ordering and delivering products, and otherwise conducting our business. Any material disruption of our information systems, the infrastructure they rely on, or any network could impair our order processing, support, and delivery or prevent our partners and customers from accessing information and cause us to lose business or damage our reputation and could have a material adverse effect on our business, results of operations, and financial position.</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software may contain vulnerabilities, defects, or otherwise fail to perform as expected, including due to inaccurate outputs or malfunctions caused by AI. Any defects, security vulnerability, inaccurate outputs, or failures could lead to serious injury or death and could expose Octave to material liability, loss of customers, and reputational harm. In addition, increased exposure to cybersecurity threats could result in costly breaches, liability, and rising cybersecurity insurance premiums.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Manufacturing or design defects or “bugs” in, safety or quality issues (or the perception of such issues) with respect to, or inadequate disclosure of risks relating to the use of products and services that we make or sell (including items that we source from third parties) can lead to personal injury, death, property damage, or other liability.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software is integral to the operation of mission critical functions for our customers. A defect, bug, or undetected vulnerability could cause the software to malfunction or fail, and it is not technically or financially feasible to identify every potential flaw in complex software systems. In addition, our offerings are responsible for integrating and interpreting large volumes of real-time data from a growing number of sources, including, but not limited to, sensors, mobile devices, security cameras, drones, scanners, alarms, and other applications. Additionally, our software integrates multiple AI models, and there is a risk that such algorithms could generate inaccurate outputs, including algorithmic hallucinations, or cause the software to malfunction. As the data environment becomes more complex, including due to the use of AI to create and analyze data or otherwise use the software, our systems face an increased risk of latency, overload, error or misinterpretation. Any such malfunction, failure, or security vulnerability could lead to delays or errors, potentially resulting in severe injury or loss of life.</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business model relies heavily on recurring revenue from long-term contracts with customers and the provision of ongoing support and maintenance. These customers demand high reliability and performance due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mission-critical nature of our software. Any failure by our software to perform as intended could result in liability exposure, reputational damage, and a loss of trust by existing and prospective customers, many of which are public sector or critical infrastructure. Additionally, we may become subject to government investigations, civil litigation or indemnification claims, regulatory actions, or penalties, and could be disqualified from bidding on or performing government contracts at the local, state, or federal level. Furthermore, material failures in our software could impact our ability to maintain insurance coverage or result in higher premiums. Any of these outcomes could materially and adversely affect our business, financial condition, and results of operations.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vulnerabilities in our software may be exploited by malicious actors through increasingly sophisticated cyberattacks. Any exploitation of a vulnerability in our software could result in data breaches, service outages, unauthorized system access, or misuse of mission-critical functions, especially in sensitive sectors that we serve. In addition, independent researchers, adversaries, and commercial entities are often incentivized or contracted to probe software for weaknesses. Public disclosure of a vulnerability could lead to reputational damage, legal exposure, or regulatory scrutiny, and major cybersecurity incidents could materially and adversely affect our financial condition, customer relationships, and long-term reputation. Any cybersecurity breaches may also drive higher costs for cybersecurity compliance, incident response, and insurance coverage. In particular, cyber liability insurance premiums may rise materially as the threat landscape intensifies, and some coverage may become limited or unavailable for known or exploitable vulnerabilities.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use of legacy products by customers, many of which are no longer supported or reviewed for security vulnerabilities, exposes us to potential liability and reputational risk.</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customers elect to continue to use legacy or obsolete software products that have reached the end of their support lifecycle and are no longer actively maintained, updated, or reviewed for security vulnerabilities by our team. While we may provide limited assistance or legacy support under certain agreements, these products do not benefit from ongoing patches or vulnerability assessments, and some of these products contain known vulnerabilities that may not be patched or mitigated due to the end of their development lifecycle. In some cases, we may be contractually or operationally unable to compel customers to upgrade or migrate to more secure solutions.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continued use of these legacy products by customers increases the risk of incorrect performance, cybersecurity incidents, including unauthorized access, data breaches, or system failures. If such incidents occur, we could face legal claims, contractual penalties, or regulatory scrutiny. Moreover, reliance on obsolete products may harm our reputation and erode customer confidence, particularly in industries where security and compliance are critical. We may also incur increased costs managing legacy support or dealing with the consequences of vulnerabilities in outdated products. Failure to adequately address these risks associated with obsolete products could materially and adversely affect our business, financial condition, and relationships with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Risks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sectors we serve are subject to a variety of regulations, applicable laws, and other unpredictable risks. Changes in governmental regulations and laws, or other forces, may reduce demand for our products or services, increase our expenses, or otherwise hinder our future growth and profitability.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main markets are subject to a variety of regulations and applicable laws. Our operations may be affected by regulatory changes, tax changes (including tariffs and customs duties) and other trading obstacles, political changes and pricing and currency controls, as well as other government legislation and restrictions in the countries where we are active or seek to expand into. Our international footprint subjects us to many risks, including, but not limited to, staffing and managing international operations; the interaction of multiple jurisdictions with respect to taxes, regulations, and permit requirements; tariffs, trade restrictions, immigration, price and exchange controls, and other regulatory requirements; fluctuations in currency exchange rates, interest rate increases, which could result in increased operating expenses and reduced revenues, and other obligations related to doing business in other countries; and compliance with tax, employment, trade compliance, immigration and labor laws, and regulations and restrictions for employees living or traveling abroad.</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Changing regulatory requirements and increasingly stringent rules in certain areas in which we work impose a risk of non-compliance with these regulations, which could potentially result in substantial legal fees and damage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reputation. More stringent regulations, laws, and treaties have been passed in most countries, such as those in the EU, or are being developed in several jurisdictions relating to privacy, the use of AI, transfers of technology, and storage and access to certain data. In addition, we remain subject to data protection regulations, which continue to evolve and are not uniform in nature across jurisdictions. Additional areas of regulatory uncertainty include laws and regulations related to export controls and sanctions, foreign-direct investment, controls and disclosures, anti-corruption, customs, government procurement, competition, and sustainability. New laws and regulations could result in increased compliance and operating costs, and the delivery of products and services that comply with contractual requirements may present certain risks particularly in light of frequent regulatory change. Other events outside of our control may impact our operations, regardless of whether or not leading to a change in laws or regulations, such as event of force majeure (including so-called acts of God), flood, fire, earthquake, hurricanes, tornados, volcanos, explosion, tsunami, ice storms, pandemic, endemic, oil spills, public health emergencies, other natural disasters, wars, invasion or hostilities, terrorist threats or acts, riot, civil unrest, insurrection, national emergency, revolution, labor disputes, strikes or slowdowns, shortage of adequate power supply or provision of transportation, economic policy conflicts and similar force majeure events. For example, in April 2022, Hexagon took the action to freeze exports to Russia in response to Russia’s invasion of Ukraine, which materially impacted our operations then part of Hexagon. Frequently, the impact of such events are not readily apparent and may be the result of prudent, advisable, or reasonable decisions or interpretations, rather than required by applicable laws or regulations. Other wars, conflicts, or threatened or actual hostilities could require us to take similar action in the future in other jurisdictions, which can adversely affect our business, financial condition, and relationships with customers.</w:t>
      </w:r>
    </w:p>
    <w:p>
      <w:pPr>
        <w:spacing w:after="0" w:line="13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anti-money laundering, export control, sanctions and other trade laws and regulations, and can face serious consequences for violations.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Among other matters, U.S. and non-U.S. anti-corruption, anti-money laundering, export control, sanctions and other trade laws and regulations, including the U.S. Foreign Corrupt Practices Act (the “FCPA”),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We operate in many parts of the world that have experienced elevated levels of public sector corruption. Many anti-corruption laws also prohibit bribery of private sector individuals and thus extend far beyond interactions with government officials. We also will be subject to the FCPA’s accounting provisions, which will require us to keep accurate books and records and to maintain an adequate system of internal accounting controls sufficient to provide reasonable assurances of management’s control, authority, and responsibility over our assets.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enforcement of trade compliance laws has increased substantially in recent years, with more frequent voluntary self-disclosure by companies, aggressive investigations (including coordinated investigations across countries and governmental authorities) and enforcement proceedings by U.S. and non-U.S. governmental agencies, and assessment of significant civil and criminal fines, penalties, and other sanctions against companies and individuals. We also face the risk of unauthorized payments, offers of payments or requests for payments being made by our employees, intermediaries, channel partners and their sub-parties, customers or customer representatives, consultants, or other representatives. We may face liability under trade compliance laws based upon the actions or inactions of these parties even when they are not subject to our control and/or are not contractually bound to us. We may also face liability from employee misconduct, such as fraud or reckless conduct, which cannot always be deterred or prevented. Consequences for violations include civil, administrative, and criminal penalties.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our policy to develop and implement safeguards and to educate our employees and certain third parties concerning these legal requirements, screen various transactions and/or shipments, and to prohibit improper practices. However, our existing safeguards and any future improvements may not always be effective, and employees or certain third parties may engage in conduct for which we may be held responsible or suffer reputational harm. Additionally, global laws and regulations may present conflicts making full, technical compliance with all potential laws and regulations challenging, difficult, or impossible, which may lead to breaches of contracts or other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alleged or actual violations of these laws or regulations may subject us to government scrutiny, criminal, civil or administrative sanctions, shareholder lawsuits, reputational damage, and other liabilities. In some instances, we may make self-disclosures to relevant authorities who may pursue or decline to pursue enforcement proceedings against us. In addition, governmental entities may seek to hold us liable for violations committed by any companies in which we invest or that we may acquire or do business with. The costs associated with the investigation, remediation, and potential notification of any violation to customers, regulators, and counterparties could be material. Any of the foregoing could have a material adverse effect on our business, results of operations, and financial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antitrust and competition laws that can result in sanctions and conditions on the way we conduct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antitrust and competition laws, which generally prohibit certain types of conduct deemed to be anti-competitive, including price fixing, bid rigging, cartel activities, price discrimination, market monopolization, tying arrangements, acquisitions of competitors, and other practices that have, or may have, an adverse effect on competition. Given the nature of our business, which involves providing software license and subscription solutions across the industrial and infrastructure value chain, our commercial practices may attract heightened scrutiny from competition authorities. Regulatory authorities may have authority to impose fines and sanctions or to require changes or impose conditions on the way we conduct business in connection with alleged non-compliance with applicable law. Under certain circumstances, violations of antitrust laws could result in suspension or debarment of our ability to contract with certain parties or complete certain transactions. In addition, an increasing number of jurisdictions also provide private rights of action for competitors or consumers to seek damages asserting claims of anti-competitive conduct. Because we operate in multiple jurisdictions with differing competition regimes, including the Americas, EMIA (Europe, Middle East, India and Africa) and APAC (Asia-Pacific region, excluding India), the complexity and cost of compliance can be significant and may continue to increase.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Increased government scrutiny of our actions or enforcement or private rights of action could adversely affect our business or damage our reputation. Conducting internal investigations or responding to audits or investigations by government agencies could be costly and time-consuming. An adverse outcome under any such investigation or audit could subject us to fines or criminal or other penalties, which could have a material adverse effect on our business, results of operations and financial position.</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laws related to privacy, data protection, and cybersecurity laws, as well as other information security frameworks and regulations, and the failure to comply with such requirements could subject us to a variety of harms, including significant fines and penalties, litigation and reputational damage, any of which may have a material adverse effect on our business, financial condition, or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covering data privacy and the protection of personal information. The legislative and regulatory landscape for privacy and data protection continues to evolve, and there has been an increasing focus on privacy and data protection issues which may affect our business. In the United States, numerous U.S. federal and U.S. state laws and regulations, including state security breach notification laws and U.S. federal and state consumer protection laws, govern the collection, use, disclosure, and protection of personal information. Each of these laws is subject to varying interpretations by courts and government agencies, creating complex compliance issues for us. If we fail to comply with applicable laws and regulations, we could be subject to penalties or sanctions.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similar laws and regulations outside of the United States, including the General Data Protection Regulation (“GDPR”) in the EU and the U.K. data protection legislation (including the GDPR, as it forms part of the law of the United Kingdom by virtue of the European Union (Withdrawal) Act 2018 (the “U.K. GDPR”) and the U.K. Data Protection Act 2018 (the “U.K. Data Protection Act”)). Data protection authorities have the power to impose substantial administrative fines for violations, in addition to any civil litigation or damages from claims. Ensuring ongoing compliance with these laws requires continuous investment in legal, technical, and procedural safeguards. Privacy laws and regulations in other regions of the world, such as Asia and Latin America, are also becoming stricter and may impose additional requirements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many jurisdictions in which we operate are increasingly requiring that customer data be stored and processed within the jurisdiction where the data originates. We have made investments to comply with such regulations in countries where we have a significant market presence. However, in jurisdictions where we lack existing infrastructure, compliance with data-residency requirements may require us to lease local data centers or establish in-country cloud partnerships, and the limited revenue opportunity in some of these markets may make such investments cost-prohibitive, thus limiting our global expansion. As more countries adopt or tighten data sovereignty regulations, we may face a growing number of markets where legal compliance is either infeasible or economically disadvantageous.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several jurisdictions have enacted or proposed new laws that impose strict requirements on software and technology providers, including mandatory and immediate disclosure of vulnerabilities, security flaws, or breaches once identified. Most notably, the EU has adopted the Cyber Resilience Act (“CRA”), which imposes strict obligations related to secure design, development, and maintenance of software and hardware products, as well as mandatory incident reporting, vulnerability handling, and conformity assessments. Achieving and maintaining compliance with the CRA may require significant changes to our development, security, and quality assurance processes, particularly for legacy products or offerings. These and other emerging requirements may materially increase the cost of compliance, and any failures to detect, report, or fix vulnerabilities within mandated timelines could subject us to fines, penalties, or enforcement actions. Moreover, any requirement to disclose a vulnerability before it is patched can increase the risk of exploitation by malicious actors, potentially leading to reputational damage, customer loss, or legal claims. If we are unable to meet these emerging obligations in a timely or cost-effective manner, our business, financial condition, and results of operations could be materially and adversely affected.</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ongoing efforts to comply with the above-described evolving laws and regulations may be costly and require ongoing modifications to our policies, procedures, and systems. If we or third parties fail to adequately safeguard confidential personal data, or if such information or data is wrongfully used by us or third parties or disclosed to unauthorized persons or entities, such an event could have a material adverse effect on our business results, cash flows, financial condition, or prospects.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manage our customer contracts, collaboration arrangements, licensing arrangements, joint ventures, or strategic alliances with third parties, we may not realize the expected benefits from such arrangements, which could adversely affect our business.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 into a variety of contracts, including, but not limited to, customer-facing contracts, collaborations, licensing arrangements, joint ventures, or strategic alliances with third parties to complement or implement our capabilities, including in research and development, product development, delivery and integration, manufacturing, and marketing. Evaluating, appropriately structuring, negotiating, and implementing such arrangements may be a lengthy and complex process and must meet with applicable business, legal, technical, tax, and compliance requirements. The resulting contracts with these parties are also often complicated and based on the forms of the relevant counter-party. Other companies may compete with us for these opportunities. As a result, we may not identify, secure, or complete such arrangements in a timely manner, on a cost-effective basis or on otherwise favorable terms, if at all.</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realize the expected benefits from these arrangements and a breach of these contracts could result in damages or other negative outcomes. We may not be able to exercise sole decision-making authority regarding any such contracts. This could create the risk of non-compliance with terms and conditions, impasses on decisions, or conflicting interpretations of requirements, and even liquidated damages for delays, given that our partners in these arrangements may have economic or business interests that diverge from our interests. Conflicts may arise in these arrangements concerning the achievement of performance milestones or the interpretation of significant terms under any agreement (including financial obligations), termination rights, or the ownership or control of intellectual property developed during the arrangement. Our customers and partners may suffer adverse commercial, financial, or legal circumstances that are outside of our control and may jeopardize their success, our customers and partners may terminate their relationships with us, or breakdowns in these relationships may give rise to disputes. Given the potentially different interests of the parties involved, we could suffer delays in product development or other operational difficulties.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arrangements may require us to incur non-recurring and other charges, increase expenditures, or disrupt our ordinary business activities. These arrangements may expose us to known and unknown risks, including unique risks with respect to the economic, political, and regulatory environment of any entity with which we partner, quality control, and legal and regulatory violations committed by partners whose actions are outside of our control.</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any failure to adequately address these contract-related issues could materially and adversely affect our business, prospects,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including commercial or securities litigation, arbitration, and governmental proceedings.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involved in, or threatened with, legal, arbitration, and governmental proceedings or investigations from time to time in the ordinary course of our business, including disputes with employees, competitors, customers, vendors, suppliers, authorities, regulators and other parties, which may concern allegations of, among other things, breaches of contract, product defects, intellectual property infringement, logistics or manufacturing related topics, employment issues, termination of business relationships, failure to meet contract specifications or alleged or suspected violations of applicable laws in various jurisdictions. Determining reserves for our pending litigation is a complex and fact-intensive process that requires significant subjective judgment and speculation. It is possible that a resolution of such proceedings that arise could result in substantial damages, settlement costs, fines and penalties that could adversely affect our business, financial condition and results of operations. These proceedings could also be costly and result in harm to our reputation and brand, sanctions, consent decrees, injunctions or other orders requiring a change in our business practices.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outcome of pending or potential future legal, arbitration, and governmental proceedings is difficult to predict, and excessive verdicts do occur. If such proceedings are determined adversely to us, we may be required to change our business practices or we may incur fines, penalties, or monetary losses, some of which may be significant or could disrupt the operation of our business. Exposure to litigation or other government action, whether directed at us, our customers, vendors, or channel partners, or our or their respective business partners, could also result in the distraction of management resources and adversely affect our reputation.</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share price, as well as the Octave SDR price, could be volatile, particularly during the period immediately following the Distribution and until the market has evaluated the operations of our business. In the past, companies that have experienced volatility in the market price of their stock may have been subject to claims, such as securities class action litigation. In addition, should the market price of our shares drop significantly, shareholders may institute securities class action lawsuits against us. A securities-related lawsuit against us could cause us to incur substantial costs and could divert the time and attention of our management and other resources.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consequences could adversely affect our business, financial condition and results of operations. Furthermore, under certain circumstances, we have contractual and other legal obligations to indemnify and incur legal expenses on behalf of our business and commercial partners and current and former directors, officers and employees.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could be subject to unauthorized access, misuse, or diversion, which may result in serious legal, regulatory, and reputational consequences.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 and sell mission-critical software subject to export controls and sanctions laws and regulations, some of which have heightened national security-related limitations. These products could be obtained through hacking, cracking, theft, diversion of a legitimate sale, a security vulnerability or otherwise by unauthorized parties, including users who are subject to international sanctions or appear on the U.S. Department of the Treasury’s Specially Designated Nationals (“SDN”) list or other restricted parties lists. Such an event could trigger investigations and enforcement actions by the U.S. Department of Commerce, Department of State, Department of the Treasury, or other U.S. or international regulatory agencies, potentially resulting in severe civil or criminal penalties, loss of export privileges, and reputational harm. Even inadvertent or indirect violations of export control laws, including if our customer resells or transfers our software products without our permission to a prohibited jurisdiction or end user, could have material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software may be subject to unauthorized copying, distribution, or use of our software, which is often referred to as software piracy. Although we use various technical and contractual measures to protect against and discourage software piracy, these measures may be circumvented or fail to prevent misappropriation. Software piracy could result in reduced revenue, increased cost of enforcement, and harm to our reputation if unauthorized or altered versions of our products are associated with performance issues, data loss, or security breaches.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Misuse of our software by customers or third parties could result in product liability claims, regulatory scrutiny, or reputational harm, any of which could materially and adversely affect our business, financial condition, and results of operations. Additionally, the use or misuse of our technology in military or paramilitary activities that are contrary to U.S. foreign policy objectives could subject us to public criticism, loss of customer or government trust, and restrictions on future contracts or international operations. While we take reasonable and prudent steps to prevent these outcomes, any such developments could materially and adversely impact our business, results of operations, and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significant corporate policies without shareholder approval.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financing, borrowing and dividend policies and our policies with respect to all other activities, including growth, debt, capitalization, and operations, will be determined by our Board of Directors. These policies may be amended or revised at any time and from time to time at the discretion of our Board of Directors without a vote of our shareholders. In addition, our Board of Directors may change our policies with respect to conflicts of interest provided that such changes are consistent with applicable legal requirements. A change in these policies could have a material adverse effect on our business, results of operations, financial condition, the per-share trading price of Octave Class B Ordinary Shares and Octave SDRs, and our ability to satisfy our debt service obligations and to pay dividends to our shareholders.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Tax Matters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adverse changes in applicable tax rates, unfavorable rulings by tax authorities, or other adverse changes to applicable tax guidelines and agreements.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through subsidiaries in a number of jurisdictions. Cross-border transactions frequently present tax risks because there are no global or harmonized transfer pricing rules. Local tax authorities follow their own local transfer pricing rules and authorities interpret transfer pricing guidelines differently. Risks are also presented by new accounting rules or interpretations by the applicable governing bodies. We interact with local taxing authorities and frequently have several ongoing tax audits in progress. Our interpretation of prevailing tax law, tax treaties, Organisation for Economic Co-operation and Development (“OECD”) guidelines and agreements entered into with foreign tax authorities may be challenged by tax authorities in some countries. Rules and guidelines may also be subject to future changes which can have an adverse effect on our tax position and reduce cash available for use. Furthermore, a change in the business or part of the business can have an impact on agreements entered into with tax authorities in some tax jurisdictions. The tax rate may increase if large acquisitions are made in high tax jurisdictions or if the corporate tax rates change in countries where we carry out substantial business.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any failure to adequately address these tax-related risks could materially and adversely affect our business, prospects, financial condition, and results of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Distribution does not qualify as a transaction that is generally tax-free for U.S. federal income tax purposes, U.S. Holders could be subject to significant tax liabilities.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Hexagon expects to obtain an opinion of tax counsel regarding qualification of the Distribution as a transaction that should generally be tax-free for U.S. federal income tax purposes under Section 355 of the Code. The opinion of tax counsel would be based upon and rely on, among other things, certain facts and assumptions, as well as certain representations, statements and undertakings of Hexagon and us, including those relating to the past and future conduct of Hexagon and us. If any of these representations, statements or undertakings are, or become, incomplete or inaccurate, or if we or Hexagon breach any of the respective covenants in any of the agreements related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and Distribution, the opinion of tax counsel could be invalid and the conclusions reached therein could be jeopardized.</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 opinion of tax counsel, the IRS could determine that the Distribution should be treated as a taxable transaction if it were to determine that any of the facts, assumptions, representations, statements or undertakings upon which any opinion of tax counsel was based were false or had been violated, or if it were to disagree with the conclusions in any opinion of tax counsel. Any opinion of tax counsel and tax advisors would not be binding on the IRS or the courts, and we cannot assure that the IRS or a court would not assert a contrary position. Hexagon has not requested, and does not intend to request, a ruling from the IRS with respect to the treatment of the Distribution or certain related transactions for U.S. federal income tax purposes.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Distribution were to fail to qualify as a transaction that is generally tax-free for U.S. federal income tax purposes under Section 355 of the Code, in general, U.S. Holders who receive Octave Shares or Octave SDRs in the Distribution would be subject to tax as if they had received a taxable distribution equal to the fair market value of such shares. This could present a significant risk to individual U.S. 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IRS may not agree to treat us as a foreign corporation for U.S. federal income tax purposes.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are incorporated in Ireland and expect to be tax resident solely in Ireland, the IRS may assert that we should be treated as a U.S. corporation (and, therefore, a U.S. tax resident) for U.S. federal income tax purposes pursuant to Section 7874 of the Code. For U.S. federal income tax purposes, a corporation generally is considered a tax resident in the jurisdiction of its organization or incorporation. Because we are an Irish incorporated public limited company and expected to be tax resident solely in Ireland, we would generally be classified as a foreign corporation (and, therefore, a non-U.S. tax resident) under these rules. Section 7874 of the Code provides an exception under which a foreign incorporated entity may, in certain circumstances, be treated as a U.S. corporation for U.S. federal income tax purposes.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believe that we should be treated as a U.S. corporation for U.S. federal income tax purposes under Section 7874. However, the application of Section 7874 of the Code is complex, is subject to detailed regulations (the application of which is uncertain in various respects and would be impacted by changes in such U.S. tax laws and regulations with possible retroactive effect), and is subject to certain factual uncertainties. There can be no assurance that the IRS will not challenge our status or the status of any of our foreign affiliates as a foreign corporation under Section 7874 or that such challenge would not be sustained by a court. If the IRS were to successfully challenge such status under Section 7874, we and our shareholders could be subject to significant adverse tax consequences.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 Class B Ordinary Shares and Octave SDRs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comply with many of the disclosure requirements applicable to U.S. domestic issuers, after the Distribution we will be a “foreign private issuer,” and the reduced disclosure requirements applicable to us may make Octave Class B Ordinary Shares less attractive to investors and offer fewer protections to our investors.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Distribution, we will be a foreign private issuer within the meaning of the rules under the Exchange Act. Although we intend to comply with many of the provisions applicable to U.S. domestic issuers, investors in our shares may not be afforded the same protections or information that would be made available to investors in a U.S. domestic issuer, and investors may find Octave Class B Ordinary Shares less attractive because we qualify for, and rely on, these exemptions. In particular, we will be exempted from certain provisions applicable to U.S. domestic public companies, including: (i) the sections of the Exchange Act regulating the solicitation of proxies, consents, or authorizations in respect of a security registered under the Exchange Act;</w:t>
      </w:r>
    </w:p>
    <w:p>
      <w:pPr>
        <w:spacing w:after="0" w:line="3" w:lineRule="exact"/>
        <w:rPr>
          <w:sz w:val="20"/>
          <w:szCs w:val="20"/>
          <w:color w:val="auto"/>
        </w:rPr>
      </w:pPr>
    </w:p>
    <w:p>
      <w:pPr>
        <w:jc w:val="both"/>
        <w:ind w:firstLine="8"/>
        <w:spacing w:after="0" w:line="255" w:lineRule="auto"/>
        <w:tabs>
          <w:tab w:leader="none" w:pos="27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making insiders liable for profit from trades made in a short period of time; and (iii) the selective disclosure rules by issuers of material non-public information under Regulation FD. As a result, the information we are required to file with or furnish to the SEC will be less extensive compared to that required to be filed with the SEC by U.S. domestic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status as a foreign private issuer in the United States changes in the future, we may incur additional expenses and may divert management’s attention from other business concerns.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elected to voluntarily file our periodic and current reports as a domestic issuer, we are and expect to remain a foreign private issuer immediately following the Distribution. As a foreign private issuer, we will not be required to comply with all of the requirements of the Exchange Act applicable to U.S. domestic issuers. However, we may not qualify as a foreign private issuer if, in the future, a majority of our shares are owned by U.S. residents and: (i) a majority of our directors or executive officers are U.S. citizens or residents; (ii) more than 50 per cent of our assets are located in the United States; or (iii) our business is administered principally in the United States.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U.S. domestic issuer, we would be required to comply with U.S. federal proxy requirements, and our executive officers, directors and principal shareholders would become subject to the short-swing profit disclosure and recovery provisions of Section 16 of the Exchange Act. Such a transition and modifications would involve additional costs and may divert management’s attention from other business concerns, which could have a material adverse effect on our business, financial condition, and results of operations.</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distribute interests in Octave Class B Ordinary Shares through a temporary SDR program, and Octave SDR holders do not have the same rights as holders of Octave Class B Ordinary Shares.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Non-affiliate holders of Hexagon Class B Shares on the record date will be entitled to receive Octave Class B Ordinary Shares pursuant to the Distribution. Such Octave Class B Ordinary Shares will be deposited into the DTC participant account of a nominee of SEB, as Octave SDR depositary, and SEB will then issue Octave SDRs representing the underlying Octave Class B Ordinary Shares into the Euroclear Sweden accounts of the relevant holders of Hexagon Class B Shares. Octave intends to list the Octave SDRs on Nasdaq Stockholm.</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Octave SDR holder will not have equivalent rights as holders of Octave Class B Ordinary Shares. The rights of Octave SDR holders will be set forth and described in the General Terms and Conditions. Although the General Terms and Conditions will generally facilitate Octave SDR holders to indirectly exercise voting rights in respect of the underlying Octave Class B Ordinary Shares at general meetings of shareholders, and Octave SDR holders will also be entitled to dividends as if they held Octave Class B Ordinary Shares directly, the rights of Octave SDR holders differ in some instances from the rights of holders of Octave Class B Ordinary Shares. In particular, Octave SDR holders do not have the ability to nominate directors for election or bring other proposals before general meetings of our shareholders to the extent provided for in our Articles or by applicable law, except to the extent provided in the General Terms and Conditions. Additionally, Octave SDR holders may not be able to enforce their rights under the General Terms and Conditions in relation to their Octave SDRs in the same manner as holders of Octave Class B Ordinary Shares under our Articles and applicable law. Further, as mentioned below, the Octave SDR Program may be limited in duration, any of which could adversely impact the trading price of Octave SDRs or Octave Class B Ordinary Shares, which in turn may present a significant risk to individual holders of Octave SDRs.</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Octave SDR Program is terminated, holders of Octave SDRs will need to take affirmative steps and may incur costs to receive Octave Class B Ordinary Shares that are listed on Nasdaq New York.</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intends to maintain the Octave SDR Program until further notice, which we expect to be for about two years following the Distribution. However, we intend to evaluate the Octave SDR Program over time in light of liquidity and relative trading volume on Nasdaq Stockholm and on Nasdaq New York, and there can be no assurance that the Octave SDR Program will be maintained for this period.</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termination, all holders of Octave SDRs who have not yet converted their Octave SDRs into Octave Class B Ordinary Shares, will automatically have their Octave SDRs redeemed by SEB, as agreed with Octave and the Octave Class B Ordinary Shares that the Octave SDRs represent will be sold by SEB on Nasdaq New York. The sale would take place as soon as practicable after the termination of the Octave SDR Program. The payment of the proceeds from the sale of the Octave Class B Ordinary Shares will be paid pro rata to the previous holders of such Octave SDRs. See “The Separation and the Distribution—Manner of Effecting the Distribution—Swedish Depository Receipts.” This sale could result in proceeds to the holders that are lower than the prevailing market value of the underlying shares at the time of sale. In addition, SEB’s sale of Octave Class B Ordinary Shares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cause increased volatility or negatively affect the trading price of the Octave Class B Ordinary Shares. This presents a significant risk to individual holders of Octave SDRs.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market for the Octave Class B Ordinary Shares or Octave SDRs currently exists and an active trading market for them may not develop or be sustained, and the market price and trading volume of the Octave Class B Ordinary Shares and Octave SDRs may be volatile.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currently no public market for the Octave Class B Ordinary Shares or the Octave SDRs. Following the Distribution, we intend to list Octave Class B Ordinary Shares on Nasdaq New York and the Octave SDRs on Nasdaq Stockholm, but there is no guarantee that such listings will be achieved or maintained. An active trading market may not develop as a result of the Distribution or may not be sustained in the future, and any such market may not be liquid enough for investors to resell their Octave Class B Ordinary Shares or Octave SDRs quickly or at the market price following the Distribution. In addition, the market price of Octave Class B Ordinary Shares and Octave SDRs could fluctuate significantly for many reasons, including in response to the risk factors listed in this information statement or for reasons unrelated to our specific performance or beyond our control, such as reports by industry analysts, investor perceptions or negative developments for our customers, competitors or vendors, as well as general economic and industry conditions. Further, Octave SDRs that will be traded on Nasdaq Stockholm are different from a Swedish share of stock being traded on Nasdaq Stockholm. For example, Octave SDRs represent shares of an Irish company and are not themselves shares of stock.</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 active trading market for the Octave Class B Ordinary Shares or Octave SDRs does not develop or is not sustained, it may be difficult for our shareholders to sell shares without depressing the market price for the shares, or to sell their shares at all, and could lead to our share price being depressed or volatile. It may also impair our ability to raise capital to continue to fund operations by selling the Octave Class B Ordinary Shares and may impair our ability to acquire other companies or technologies by using our shares as consideration.</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existing shareholders of Hexagon shares, including our significant shareholder, Melker Schörling AB, may not wish to hold shares in Octave or may prefer to sell their holdings in Octave following the Distribution, and substantial sales or the possibility of such sales could cause our share price and the price of the Octave SDR to decline.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Distribution, holders of Hexagon Class A Shares will receive Octave Class A Ordinary Shares, and holders of Hexagon Class B Shares will receive Octave Class B Ordinary Shares represented by Octave SDRs and generally may sell those securities immediately in the public market, subject to certain restrictions applicable to shares held by our affiliates. Non-affiliate shareholders, including some Hexagon shareholders, including some of its larger shareholders, are not subject to a contractual requirement to hold their shares, and therefore, may sell the Octave Class A Ordinary Shares and/or Octave Class B Ordinary Shares represented by Octave SDRs they receive in the Distribution if, for reasons such as our business profile, market capitalization or, in the case of index funds, we are not a participant in the index in which they are investing.</w:t>
      </w:r>
    </w:p>
    <w:p>
      <w:pPr>
        <w:spacing w:after="0" w:line="1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Subject to compliance with applicable securities laws, any sales of Octave Shares or Octave SDRs by Hexagon shareholders representing a substantial percentage of our share capital could negatively impact the price of Octave Class B Ordinary Shares and Octave SDRs. Further, the perception in the market that such sales might occur may decrease the market price of Octave Class B Ordinary Shares and Octave SDRs, and impair our ability to raise capital through the sale of additional equity securities and could have a material adverse effect on our business, results of operations, and financial position.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the possibility or perceived possibility of sales by Melker Schörling AB of a substantial number of our shares, or the market perception that such sales may occur, could adversely affect the prevailing market price of our shares and may make it more difficult for us to issue equity securities in the future at a time and price we deem appropriate as such sales may be interpreted by the market as a negative signal with respect to such significant shareholder’s beliefs in the future prospects of our business. Any such sales or the anticipation of such sales may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dual-class share structure contained in our Articles has the effect of concentrating voting control and the ability to influence corporate matters with our significant shareholder, Melker Schörling AB.</w:t>
      </w:r>
    </w:p>
    <w:p>
      <w:pPr>
        <w:spacing w:after="0" w:line="1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Pursuant to our Articles, Octave Class A Ordinary Shares and Octave Class B Ordinary Shares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except for voting rights. Each holder is entitled to ten votes for each Octave Class A Ordinary Share that it holds as of the record date for a general meeting of shareholders and one vote for each Octave Class B Ordinary Share that it holds as of the record date for a general meeting of shareholders.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the Distribution, Melker Schörling AB will hold Octave Class A Ordinary Shares and Octave Class B Ordinary Shares, representing approximately % of the total voting power of our share capital, and will therefore have significant influence over the results of all</w:t>
      </w:r>
    </w:p>
    <w:p>
      <w:pPr>
        <w:jc w:val="both"/>
        <w:spacing w:after="0" w:line="251" w:lineRule="auto"/>
        <w:rPr>
          <w:sz w:val="20"/>
          <w:szCs w:val="20"/>
          <w:color w:val="auto"/>
        </w:rPr>
      </w:pPr>
      <w:r>
        <w:rPr>
          <w:rFonts w:ascii="Times New Roman" w:cs="Times New Roman" w:eastAsia="Times New Roman" w:hAnsi="Times New Roman"/>
          <w:sz w:val="18"/>
          <w:szCs w:val="18"/>
          <w:color w:val="auto"/>
        </w:rPr>
        <w:t>matters submitted to a vote of our shareholders, including the election of members of our Board of Directors and other corporate decisions. For so long as Melker Schörling AB continues to own a significant percentage of Octave Class A Ordinary Shares, Melker Schörling AB will be able to exercise significant influence with respect to the composition of our Board of Directors, new issuances of equity, including to our employees under equity incentive plans, amendments to our organizational documents, and approval of any merger, amalgamation, sale of assets, or other major corporate transaction requiring shareholder approval. Accordingly, for such period of time, Melker Schörling AB will have substantial influence with respect to our management, business plans, and policies. The interests of Melker Schörling AB may conflict with the interests of other shareholders and the concentration of ownership could deprive other shareholders of an opportunity to receive a premium for their Octave Shares as part of a sale of Octave, and ultimately might affect the market price of the Octave Shares.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Octave Shares in the near future, so any returns will be limited to the value of such shares.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in the near future. We do not intend to declare or pay any dividends in the near future, meaning that any returns will be limited to the value of Octave Shares, and we may not continue to pay any dividend if we nevertheless do commence the payment of dividends. Any determination to pay dividends in the future will be at the sole discretion of the Board of Directors. The Board of Directors’ decisions regarding the payment of dividends will depend on many factors, such as our financial condition, earnings, capital requirements, debt obligations, legal requirements, regulatory constraints, and other factors that the Board of Directors deems relevant. For more information, see “The Separation and the Distribution—Dividend Policy.”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of Octave Class B Ordinary Shares may be diluted in the future.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future, your percentage ownership of Octave Class B Ordinary Shares may be diluted because of equity issuances for acquisitions, capital market transactions, or otherwise, including equity awards that may be granted to our directors, officers, and employees.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significant additional capital may be needed in the future to continue our planned operations. To the extent we raise additional capital by issuing equity securities, our shareholders may experience substantial dilution. We may sell Class B Ordinary Shares, convertible securities, or other equity securities in one or more transactions, and any new investors may be materially diluted by subsequent sales. These sales may result in material dilution to our existing shareholders, and new investors could gain rights superior to our existing shareholders.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employees will have rights to receive Class B Ordinary Shares after the Distribution as a result of the conversion of their Hexagon equity awards to Octave equity awards. The conversion of these Hexagon equity awards into Octave equity awards is described in further detail in the section entitled “Compensation Discussion and Analysis—Treatment of Outstanding Hexagon Equity Awards.” As of the date of this information statement, the exact number of Octave Class B Ordinary Shares that will be subject to the converted Octave equity awards is not determinable, and, therefore, it is not possible to determine the extent to which your percentage ownership in Octave could be diluted as a result of the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anticipated that our Compensation Committee will grant additional equity awards to our employees and directors after the Distribution, from time to time, under our equity compensation plans. These additional awards will have a dilutive effect on our earnings per share, which could adversely affect the market price of Octave Class B Ordinary Shares.</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our Articles will authorize Octave to issue one or more classes or series of preferred shares having such designation, powers, preferences and relative, participating, optional, and other special rights, including preferences over Octave Class B Ordinary Shares respecting voting, dividends, and distributions, as our Board of Directors generally may determine in accordance with our Articles. The Board is expressly empowered to fix the terms of any series of preferred shares prior to issuance, including dividend rights, redemption terms, liquidation preferences, conversion rights, and voting rights. However, our Articles provide that preferred shares may not be convertible into Octave Class A Ordinary Shares, nor may they carry more than one vote per share at any general meeting, without the consent of a majority of the holders of Octave Class A Ordinary Shares. The terms of one or more classes or series of preferred shares could dilute the voting power or reduce the value of Octave Class B Ordinary Shares. For example, we could grant the holders of preferred shares the right to elect some number of our directors in all events or on the happening of specified events or the right to veto specified transactions. Similarly, the repurchase or redemption rights or liquidation preferences that we could assign to holders of preferred shares could affect the residual value of the Octave Class B Ordinary Shares. See “Description of Our Share Capital.” As a matter of Irish law, the directors of a company (or a duly authorized committee thereof) may cause the company to issue new shares on a non-pre-emptive basis without shareholder approval once authorized to do so by the articles of association of the company or by an ordinary resolution adopted by the shareholders at a general meeting. The authority conferred can be granted for a maximum period of five years, at which point it must be renewed by the shareholders of the company by an ordinary resolution. However, our Articles will permit such authority to be conferred for a maximum period of 15 months, or until the date of the next-following annual general meeting, whichever is earlier.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associated with Octave Class B Ordinary Shares will differ from the rights associated with Hexagon Class B Shares.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the rights of Hexagon shareholders who become Octave shareholders will be governed by our Articles and by Irish law. The rights associated with Octave Class B Ordinary Shares will differ from the rights associated with Hexagon Class B Shares, which are governed by Hexagon’s articles of association, as amended, and by Swedish law. Material differences between the rights of shareholders of Hexagon and the rights of our shareholders include differences with respect to, among other things, the removal of directors, the convening of annual meetings of shareholders and special shareholder meetings, shareholder approval of certain transactions, anti-takeover measures, and provisions relating to the ability to amend our Articles. See “Description of Our Share Capital” for more information.</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accounting and other management systems and resources may not be adequately prepared to meet the financial reporting and other requirements to which we will be subject as a standalone, publicly traded company following the Distribution. Fulfilling our obligations incident to being a public company, including with respect to remediating the material weaknesses identified in connection with preparation for the separation and Distribution, and implementing the requirements of and related rules under the Sarbanes-Oxley Act of 2002, is expensive and time-consuming, and any delays or difficulty in satisfying these obligations could have a material adverse effect on our future results of operations and the price of Octave Class B Ordinary Shares.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the Sarbanes-Oxley Act of 2002 and the related rules and regulations of the SEC, as well as the rules of Nasdaq New York, will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accounting, and legal staff and on our management systems. Other expenses associated with being a public company include increased audit, accounting, and legal fees, investor relations expenses, increased directors’ fees and director and officer liability insurance costs, registrar and transfer agent fees, listing fees, as well as other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particular, the Sarbanes-Oxley Act of 2002 will require us to document and test the effectiveness of our internal control over financial reporting in accordance with an established internal control framework, and to report on our conclusions as to the effectiveness of our internal controls. It also will require an independent registered public accounting firm to test our internal control over financial reporting and report on the effectiveness of such controls. In addition, we will be required under the Exchange Act to maintain disclosure controls and procedures and internal controls over financial reporting. Due to the inherent limitations in any internal control environment, there can be no assurance that all control issues and instances of fraud, errors, or misstatements, if any, within the Octave Business have been or will be detected on a timely basis. Such deficiencies could result in the restatement of financial statements of one or more periods.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preparation of our Combined Financial Statements in contemplation of the separation and Distribution, we identified two material weaknesses in our internal control over financial reporting as of December 31, 2024. A material weakness is a deficiency, or combination of deficiencies, in internal controls over financial reporting such that there is a reasonable possibility that a material misstatement of a company’s annual or interim financial statements will not be prevented or detected on a timely basis. The material weaknesses in our internal controls over financial reporting are summarized below:</w:t>
      </w:r>
    </w:p>
    <w:p>
      <w:pPr>
        <w:spacing w:after="0" w:line="129" w:lineRule="exact"/>
        <w:rPr>
          <w:sz w:val="20"/>
          <w:szCs w:val="20"/>
          <w:color w:val="auto"/>
        </w:rPr>
      </w:pPr>
    </w:p>
    <w:p>
      <w:pPr>
        <w:jc w:val="both"/>
        <w:ind w:left="660" w:hanging="328"/>
        <w:spacing w:after="0" w:line="266"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 process and segregation of duties – The Octave Business did not adequately design and maintain an effective risk assessment process, wherein Octave’s risk assessment process did not properly assess the risks associated with the lack of functional segregation of duties specifically those related to the preparation and review of manual journal entries.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General Controls – The Octave Business did not design and maintain effective information technology general controls for information systems that are relevant to the preparation of our Combined Financial Statements, specifically with respect to: (i) program change management controls for financial systems to ensure that IT program and data changes affecting financial IT applications and underlying accounting records are identified, tested, authorized, and implemented appropriately; (ii) user access controls to ensure appropriate segregation of duties and that adequately restrict access to financial applications, programs, and data to appropriate personnel; and (iii) computer operations controls to ensure that back up and restore activities are monitored for relevant systems.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material weaknesses did not result in a material misstatement in our Combined Financial Statements. However, each of these material weaknesses could result in a material misstatement of substantially all of our accounts or disclosures that would result in a material misstatement in annual or interim financial statements that would not be prevented or detected.</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 the process of developing and implementing a remediation plan to address these material weaknesses, including: enhancing the risk assessment process to identify risks of material misstatement at a sufficient level of precision; designing and implementing additional controls to strengthen segregation of duties, including enhanced review procedures over the preparation and posting of manual journal entries; implementing additional monitoring controls over system-generated reports; improving back-up authorization and testing processes; and strengthening change management processes with improved documentation and approvals, including user access rights and segregation of duties. We cannot ensure that the measures that we have taken, and that will be taken, to remediate these material weaknesses will, in fact, remedy such material weaknesses or will be sufficient to prevent future material weaknesses from occurring. At this time, we cannot provide a reasonable estimate of the costs expected to be incurred in connection with implementing our remediation plan for the identified material weaknesses, as the specific remediation actions, timing, and resource requirements are still being finalized. However, these remediation measures will be time-consuming, will result in incurring significant costs, and will place significant demands on our financial and operational resources.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to maintain effective internal controls over financial reporting, or if we are unable to successfully remediate the identified material weaknesses or any future material weaknesses identified, the accuracy and timing of our financial reporting may be adversely affected, we may be unable to maintain compliance with securities law requirements regarding timely filing of periodic reports in addition to applicable stock exchange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investors may lose confidence in our financial reporting, and the price of Octave Class B Ordinary Shares may decline as a result.</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in future periods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which could result in a decrease in the value of Octave Class B Ordinary Shares. In addition, failure to comply with the Sarbanes-Oxley Act of 2002 could potentially subject us to sanctions or investigations by the SEC, Nasdaq New York, or other regulatory authorities.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public company, we will be subject to certain reporting requirements of the Exchange Act. Our disclosure controls and procedures will be designed to reasonably assure that information required to be disclosed by us in reports we file or submit under the Exchange Act are accumulated and communicated to management, recorded, processed, summarized, and reported within the time periods specified in the rules and forms of the SEC.</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Accordingly, because of the inherent limitations in our control system, misstatements or insufficient disclosures due to error or fraud may occur and not be detected, which may adversely affect the trading price of Octave SDRs and Octave Class B Ordinary Shares, damage our reputation among the investment community and may also adversely affect our business, prospects, financial condition, and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or publish inaccurate or unfavorable research, about our business or if they downgrade Octave Class B Ordinary Shares or our sector, our share price and trading volume could decline.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market for Octave Class B Ordinary Shares will rely in part on the research and reports published about us or our business by industry or financial analysts. As a new and standalone public company, we may not receive any research coverage by equity research analysts. Equity research analysts may elect not to initiate or to continue to provide research coverage of Octave Class B Ordinary Shares. If one or more of these analysts ceases coverage of Octave or fails to publish reports on us regularly, we could lose viability in the market, which in turn could cause our share price or trading volume to decline. Even if we do have equity research analyst coverage, we will not have any control over the analysts or the content and opinions included in their reports. Furthermore, if one or more of the analysts who do cover us downgrade Octave Class B Ordinary Shares or our industry, or the shares of any of our competitors, or publish inaccurate or unfavorable research about our business, the price of Octave Class B Ordinary Shares could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shareholders or other external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faced with an activist shareholder action or similar claims, we may not be able to respond successfully to the action, which could be disruptive to our business. Even if we are successful, our business could be adversely affected by any activist shareholder action involving us because:</w:t>
      </w:r>
    </w:p>
    <w:p>
      <w:pPr>
        <w:spacing w:after="0" w:line="108" w:lineRule="exact"/>
        <w:rPr>
          <w:sz w:val="20"/>
          <w:szCs w:val="20"/>
          <w:color w:val="auto"/>
        </w:rPr>
      </w:pPr>
    </w:p>
    <w:p>
      <w:pPr>
        <w:ind w:left="660" w:right="2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such situations can be costly and time-consuming, can disrupt operations and divert the attention of management and employees, and can lead to uncertainty;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uncertainties as to future direction may result in the loss of potential acquisitions, collaborations or licensing opportunities, and may make it more difficult to attract and retain qualified personnel and business partners;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ind w:left="660" w:hanging="328"/>
        <w:spacing w:after="0" w:line="282"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individuals are elected to our Board of Directors with a specific agenda, it may adversely affect our ability to effectively implement our strategic plan in a timely manner and create additional value for our shareholders.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and other actions by external actors could cause the market price of Octave Class B Ordinary Shares and Octave SDRs to decline or experience periods of volatility.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Jurisdiction of Incorporation in Ireland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Irish law differs from the laws in effect in other jurisdictions, and any actual or potential offer to acquire Octave will be subject to certain provisions of the Irish Takeover Rules and the Swedish Takeover Rules.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our securities could have more difficulty protecting their interests than would the shareholders of a corporation incorporated in other jurisdictions. As an Irish-incorporated company, we are governed by Irish law, including the Irish Companies Act 2014, as amended (the “Irish Companies Act”) and the Irish Takeover Panel Act, 1997, Takeover Rules, 2022 (the “Irish Takeover Rules”), which differ in some significant, and possibly material, respects from provisions set forth in various U.S. state laws applicable to U.S. corporations and their shareholders as well as the laws of Sweden applicable to Hexagon. In addition, while the Octave SDRs remain listed on Nasdaq Stockholm, the Swedish Takeover Rules for Nasdaq Stockholm and Nordic Growth Market NGM of the Swedish Stock Market Self-Regulation Committee (the “Swedish Takeover Rules”) will apply to offers for our securities. Consequently, an offeror may be required not only to comply with the Irish Takeover Rules but also to consider the provisions of the Swedish Takeover Rules. Preparing an offer that satisfies the requirements of all applicable jurisdictions concerned can be both time-consuming and costly.</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duties of directors and officers of an Irish company are generally owed to the company only. Therefore, under Irish law, shareholders of Irish companies do not generally have a right to commence a legal action against directors or officers and may only do so in limited circumstances.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it may not be possible to enforce court judgments obtained in the United States against us in Ireland based on the civil liability provisions of U.S. federal or U.S. state securities laws. In addition, there is some uncertainty as to whether the courts of Ireland would recognize or enforce judgments of U.S. courts obtained against us or our directors or officers based on the civil liabilities provisions of U.S. federal or U.S. state securities laws or hear actions against us or those persons based on those laws. We have been advised that the United States currently does not have a treaty with Ireland providing for the reciprocal recognition and enforcement of judgments in civil and commercial matters. Therefore, a final judgment for the payment of money rendered by any U.S. federal or U.S. state court based on civil liability, whether or not based solely on U.S. federal or U.S. state securities laws, would not automatically be enforceable in Ireland.</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judgment obtained against us would have to be enforced by the courts of Ireland if the following general requirements are met: (i) U.S. courts must have had jurisdiction in relation to the particular defendant according to Irish conflict of law rules (the submission to jurisdiction by the defendant would satisfy this rule); and (ii) the judgment must be final and conclusive and the decree must be final and unalterable in the court which pronounces it. A judgment can be final and conclusive even if it is subject to appeal or even if an appeal is pending. Where, however,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However, the Irish courts may refuse to enforce a judgment of the U.S. courts which meets the above requirements for one of the following reasons: (i) if the judgment is not for a definite sum of money; (ii) if the judgment was obtained by fraud; (iii) the enforcement of the judgment in Ireland would be contrary to natural or constitutional justice; (iv) the judgment is contrary to Irish public policy or involves certain U.S. laws which will not be enforced in Ireland; or (v) jurisdiction cannot be obtained by the Irish courts over the judgment debtors in the enforcement proceedings by personal service in Ireland or outside of Ireland under Order 11 of the Ireland Superior Courts Rules.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actual or potential offer to acquire Octave will be subject to certain aspects of the Irish Takeover Rules, which are different than those in the United States and Sweden. Under the Irish Takeover Rules, our Board of Directors is not permitted to take any action that might frustrate an offer for our shares once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has received an approach that may lead to an offer or has reason to believe that such an offer is or may be imminent, subject to certain exceptions. Potentially frustrating actions such as: (i) the issue of shares, options, restricted share units or convertible securities, or the redemption or repurchase of shares; (ii) material acquisitions or disposals; (iii) entering into contracts other than in the ordinary course of business; or (iv) any action, other than seeking alternative offers, which may result in the frustration of an offer, are prohibited during the course of an offer or at any earlier time during which our Board of Directors has reason to believe an offer is or may be imminent. Exceptions to this prohibition are available where the action is approved by our shareholders at a general meeting or, in certain circumstances, where the Irish Takeover Panel has given its consent to the action. These provisions may give our Board of Directors less ability to control negotiations with hostile offerors than would be the case for a corporation incorporated in a jurisdiction of the United States, although the Irish Takeover Rules also include provisions in relation to financing, transaction conditions, and other matters that make hostile offers more challenging and costly for potential offerors.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the High Court of Ireland’s approval of the creation of distributable reserves will be forthcoming.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currently do not intend to pay dividends in the near future, we may determine to pay dividends in the future, subject to applicable law. Under Irish law, dividends must be paid (and share repurchases and redemptions must generally be funded) out of “distributable reserves,” which we will not have immediately following the Distribution. Immediately after the Distribution, we will not have any “distributable reserves” but will have a significant amount of share premium. To create “distributable reserves,” we would need to undertake an Irish legal process pursuant to which we will convert an amount up to the value of our entire share premium account to “distributable reserves.” This process would require the approval of the High Court of Ireland. Although we are not aware of any reason why the High Court of Ireland would not approve the creation of distributable reserves in this manner, the issuance of the required order is a matter for the discretion of the High Court of Ireland and there is no guarantee that such approval would be granted. In the event that “distributable reserves” are not created, no distributions by way of dividends, share repurchases, redemptions, or otherwise will be permitted under Irish law until such time as we have created sufficient distributable reserves from our operating activities.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law imposes restrictions on certain aspects of capital management.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Irish law allows our shareholders to pre-authorize shares to be issued by our Board of Directors without further shareholder approval for up to a maximum of five years. This authorization will be contained in our Articles immediately prior to the Distribution and will therefore lapse approximately five years after the Distribution unless renewed by shareholders, and we cannot guarantee that such renewal will always be approved. Additionally, subject to specified exceptions, including the opt-out that will be included in our Articles upon consummation of the Distribution, Irish law grants statutory pre-emptive rights to existing shareholders to subscribe for new issuances of shares for cash. This opt-out also expires approximately five years after the Distribution unless renewed by further shareholder approval and we cannot guarantee that such renewal of the opt-out from pre-emptive rights will always be approved. We cannot ensure that these Irish legal restrictions will not interfere with our capital management.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provisions in our Articles, among other things, could prevent or delay an acquisition of Octave, which could decrease the trading price of our shares.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Articles contain provisions that could have the effect of deterring coercive takeover practices, inadequate takeover bids, and unsolicited offers. These provisions include, among others:</w:t>
      </w:r>
    </w:p>
    <w:p>
      <w:pPr>
        <w:spacing w:after="0" w:line="108" w:lineRule="exact"/>
        <w:rPr>
          <w:sz w:val="20"/>
          <w:szCs w:val="20"/>
          <w:color w:val="auto"/>
        </w:rPr>
      </w:pPr>
    </w:p>
    <w:p>
      <w:pPr>
        <w:jc w:val="both"/>
        <w:ind w:left="660" w:hanging="328"/>
        <w:spacing w:after="0" w:line="256"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our Articles which generally prohibits us from engaging in a business combination with an interested shareholder (being: (i) the beneficial owner of 10% or more of our voting shares; (ii) any person who has stated in a filing with any governmental agency or press release or otherwise publicly disclosed a plan or intention to become or consider becoming the beneficial owner of shares of 10% or more of our voting shares and has not expressly abandoned such plan, intention or consideration more than two years prior to the date in question; or (iii) an affiliate or associate of us that has at any time within the previous five years been the beneficial owner of the relevant percentage of our voting shares),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0"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regarding how shareholders may present proposals or nominate directors for election at shareholder meetings;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issue preferred shares without shareholder approval in certain circumstances, subject to applicable law;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fill vacancies on our Board of Directors in certain circumstances.</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However, these provisions will apply even if the offer may be considered beneficial by some shareholders and could delay or prevent an acquisition that our Board of Directors determines is in the best interests of Octave and our shareholders. These provisions may also prevent or discourage attempts to remove and replace incumbent directors.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several mandatory provisions of Irish law could prevent or delay an acquisition of Octave. For example, Irish law does not permit shareholders of an Irish public limited company to take action by written consent with less than unanimous consent. We also will be subject to various provisions of Irish law relating to mandatory bids, voluntary bids, requirements to make a cash offer and minimum price requirements, as well as substantial acquisition rules and rules requiring the disclosure of interests in our shares in certain circumstances. Also, Irish companies, including Octave, may alter their memorandum of association and articles of association only with the approval of at least 75% of the votes of the company’s shareholders cast in person or by proxy at a general meeting of the company.</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these and other provisions of our Articles and Irish law that could be considered to have an anti-takeover effect, see “Description of Our Share Capital—Anti-Takeover Provisions.”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agreements that we will enter into with Hexagon in connection with the Distribution generally will require Hexagon’s consent to any assignment by us of our rights and obligations under the agreements. The consent and termination rights set forth in these agreements might discourage, delay, or prevent a change of control that shareholders may consider favorable. For a more detailed description of these agreements, see “Certain Relationships and Related Party Transactions—Relationship Between Hexagon and Octave After the Distribution.”</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changes in law and other factors that may not allow us to maintain a worldwide effective corporate tax rate that is competitive in our industry.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give any assurance as to what our effective tax rate will be in the future, because of, among other things, uncertainty regarding the tax policies of the jurisdictions where we operate. Our effective tax rate may vary from our expectation and that variance may be material. Also, the tax laws of the United States, the United Kingdom, Ireland, Switzerland, and other jurisdictions could change in the future, and such changes could cause a material change in our worldwide effective corporate tax rate.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legislative action could be taken by the United States, the United Kingdom, Ireland, Switzerland, or the European Union which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to maintain tax residency in Ireland and take advantage of the tax treaties among the United States and Ireland, we could be subject to increased taxation, which could materially adversely affect our financial condition, results of operations, cash flows or our effective tax rate in future reporting periods.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residency could have a negative effect on our future profitability and may trigger taxes and/or exit charges.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current Irish legislation, a company is regarded as resident for tax purposes in Ireland if it is incorporated in Ireland. Under current U.K. legislation, a company that is centrally managed and controlled in the United Kingdom is regarded as resident in the United Kingdom for taxation purposes unless it is treated as resident in another jurisdiction pursuant to any appropriate double tax treaty with the United Kingdom. Other jurisdictions may also seek to assert taxing jurisdiction over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OECD proposed a number of measures relating to the tax treatment of multinationals, some of which are implemented by amending double tax treaties through the multilateral convention to implement tax treaty-related measures to prevent base erosion and profit shifting (otherwise known as the “multilateral instrument” or “MLI”). The MLI has now entered into force for a number of countries, including Ireland and the United Kingdom. Under the Double Tax Convention between Ireland and the United Kingdom, as amended by the MLI, the residency tie-breaker provides that a company will remain dual resident unless there is a determination otherwise by the competent authorities of the two contracting states.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received a determination from the competent authority in Ireland, the Irish Revenue Commissioners, and the competent authority in the United Kingdom, HM Revenue &amp; Customs, that we are currently resident for tax purposes only in the United Kingdom. We are currently applying to HM Revenue</w:t>
      </w:r>
    </w:p>
    <w:p>
      <w:pPr>
        <w:ind w:firstLine="8"/>
        <w:spacing w:after="0" w:line="260" w:lineRule="auto"/>
        <w:tabs>
          <w:tab w:leader="none" w:pos="19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for consent to cease to be tax resident in the United Kingdom and will, in parallel, obtain confirmation from the Irish Revenue Commissioners that the existing determination has been withdrawn and is no longer in force.</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possible that in the future, whether as a result of a change in law or the practice of any relevant tax authority or as a result of any change in the conduct of our affairs, our tax residency position could change or be challenged. It is difficult to predict the ultimate impact of a change in tax residency, but if (following the receipt of consent from HM Revenue &amp; Customs and confirmation from the Irish Revenue Commissioners as referred to above) we cease to be tax resident in Ireland and become a resident in another jurisdiction, we may be subject to exit charges and could become liable for additional tax charges in other jurisdictions (including dividend withholding taxes or corporate income tax charges). If we were to be treated as resident in more than one jurisdiction, we could be subject to taxation in multiple jurisdictions. If, for example, we were considered to be a tax resident of the U.K., we could become liable for U.K. corporation tax, and any dividends paid by us could be subject to U.K. dividend withholding tax.</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Octave Shares may be subject to Irish stamp duty.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rate of stamp duty (where applicable) on transfers of shares of Irish incorporated companies (including Octave Class A Ordinary Shares and Octave Class B Ordinary Shares) is generally 1% of the price paid or the market value of the shares acquired, whichever is greater.</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many transfers of our shares, there is not expected to be any Irish stamp duty. A transfer of our shares from a seller who holds shares beneficially (i.e., through the DTC) to a buyer who holds the acquired shares beneficially (i.e., through DTC), which is effected by the debit/credit of book-entry interests representing the shares through DTC, will not be subject to Irish stamp duty. However, a transfer of our shares by a seller who holds shares directly (i.e., not through DTC) to any buyer, or by a seller who holds the shares beneficially to a buyer who holds the acquired shares directly, may be subject to Irish stamp duty (currently at the rate of 1% of the price paid or the market value of the shares acquired, if higher) which is generally payable by the buyer.</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shareholder who directly holds shares may transfer those shares into his or her own broker account to be held through DTC without giving rise to Irish stamp duty provided that the shareholder has confirmed to our transfer agent that there is no change in the beneficial ownership of the shares as a result of the transfer and the transfer into DTC is not effected in contemplation of a sale of such shares by the beneficial owner to a third party. Because of the potential Irish stamp duty on transfers of our shares, we strongly recommend that any person who wishes to acquire our shares acquire such shares through DTC.</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provide that, in the event of any such payment, we: (i) may seek reimbursement from the buyer; (ii) will have a lien against the shares acquired by such buyer and any dividends paid on such shares; and (iii) may set off the amount of the stamp duty against future dividends on such shares. Parties to a share transfer may assume that any stamp duty arising in respect of a transaction in our shares has been paid unless one or both of such parties is otherwise notified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received by means of a gift or inheritance could be subject to Irish capital acquisitions tax.</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Irish capital acquisitions tax (“CAT”) could apply to a gift or inheritance of our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of the same marriage or civil partners of the same civil partnership are exempt from CAT. Children currently have a tax-free threshold of €400,000 per lifetime in respect of taxable gifts or inheritances received from their parents.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information statement and other materials we have filed or will file with the SEC include, or will include, forward-looking statements. All statements other than statements of historical facts in this information statement, in other materials we have filed or will file with the SEC and in related comments by our management, including statements about future events, future financial position or results of operation, business strategy, budgets, projected costs, plans and objectives of management for future operations, are forward-looking statements that involve certain risks and uncertainties. Use of the words “may,” “will,” “would,” “could,” “should,” “believes,” “estimates,” “projects,” “potential,” “expects,” “plans,” “seeks,” “intends,” “evaluates,” “pursues,” “anticipates,” “continues,” “designs,” “impacts,” “affects,” “forecasts,” “target,” “outlook,” “initiative,” “objective,” “designed,” “priorities,” “goal” or the negative of those words and other similar expressions may identify forward-looking statements, but the absence of these words does not necessarily mean a statement is not forward-looking.</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projections about future events and trends that we believe may affect our financial condition, results of operation, strategy, short- and long-term business operations and objectives and financial needs.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133" w:lineRule="exact"/>
        <w:rPr>
          <w:sz w:val="20"/>
          <w:szCs w:val="20"/>
          <w:color w:val="auto"/>
        </w:rPr>
      </w:pPr>
    </w:p>
    <w:p>
      <w:pPr>
        <w:jc w:val="both"/>
        <w:ind w:left="660" w:right="20" w:hanging="328"/>
        <w:spacing w:after="0" w:line="266"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Distribution, the business and operations of Octave following the Distribution and any benefits or costs of the Distribution, including the tax treatment of the Distribution and the limitation imposed on us by the Tax Disaffiliation Agreement that we enter into with Hexagon;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from the Distribution making it more difficult to maintain our business and operational relationships;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post-separation relationships with Hexagon, third parties, collaborators and our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standalone company and execute our strategic priorities;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develop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strategic transactions and the development and commercialization of our products and services;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substantially invest in our technology infrastructure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and services in a timely manner;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foreign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industry competition;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revenue, expenses, capital requirements, and our needs for additional financing;</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 services, and our ability to serve those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other relevant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vendors and manufacturers and their ability to perform adequately;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 and non-U.S. laws and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indemnification liabilities that we may owe to Hexagon after the Distribution;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us or Hexagon to satisfy obligations under the Transition Services Agreement or other agreements entered into in connection with the Distribution;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to holders of our ordinary shares as a result of issuances of additional shares to fund our financial obligations and other financing activities;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interest rates, capital market disruptions, bank failures, government shutdowns, economic sanctions and economic slowdowns or recessions that may result from such developments which could harm our research and development efforts as well as the value of our ordinary shares and our ability to access capital markets;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under the caption “Risk Factors.”</w:t>
      </w:r>
    </w:p>
    <w:p>
      <w:pPr>
        <w:spacing w:after="0" w:line="130"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may make. In light of these risks, uncertainties and assumptions,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events and circumstances discussed in this information statement may not occur and actual results could differ materially and adversely from those anticipated or implied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w:t>
      </w:r>
    </w:p>
    <w:p>
      <w:pPr>
        <w:spacing w:after="0" w:line="76"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 We cannot guarantee that the future results, levels of activity, performance or events and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be achieved or occur. Moreover, except as required by law, neither we nor any other person assumes responsibility for the accuracy and completeness of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undertake no obligation to update publicly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for any reason after the date of this information statement to conform these statements to actual results or to changes in our expectations.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information statement and the documents that we reference in this information statement and have filed with the SEC as exhibits to the registration statement of which this information statement forms a part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SEPARATION AND THE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2025, Hexagon announced that its board of directors had directed management to prepare for the spin-off of the Octave Business into an independent, publicly-traded company, in accordance with its previous announcement to investigate the separation and spin-off in October 2024, which is referred to in this information statement as the Distribution. In connection with the Distribution, Hexagon will complete an internal reorganization and transfer the Octave Business to us. To complete the Distribution, Hexagon will distribute directly to its shareholders all of our issued share capital. Octave</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Shares will be distributed to holders of record of Hexagon Shares on the record date for the Distribution. Each such holder will receive Octave Class A Ordinary Shares for every Hexagon Class A Shares and Octave Class B Ordinary Shares for every Hexagon Class B</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Shares held as of the close of business on the record date. The Octave Class B Ordinary Shares will be delivered to holders of record, other than affiliates of Hexagon, in the form of Octave SDRs.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listing of the Octave SDRs, we have also made available a Swedish prospectus. See “Description of Swedish Depository Receipts.”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Manner of Effecting the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Reorganization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preparation for the Distribution, Hexagon and its subsidiaries will complete the internal reorganization and will transfer to Octave the entities, assets, liabilities and obligations that Octave will hold following the Distribution. The internal reorganization will include stock and asset transfers, dividends, contributions and similar transactions, and include formation of new entities, where required, in U.S. and non-U.S. jurisdictions to own and operate the Octave Business in such jurisdictions. Among other things, the internal reorganization will result in Octave owning, directly or indirectly, the operations comprising, and the entities that conduct, the Octave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of the Octave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terms and conditions relating to the completion of the Distribution will be set forth in a Distribution Agreement between Hexagon and Octave.</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Distribution Agreement, the Distribution will be effective as of , Stockholm time on (the “Distribution Date”). As a result of the Distribution, on the Distribution Date, each holder of Hexagon Shares will receive Octave Class A Ordinary Shares for every Hexagon Class A Shares and Octave Class B Ordinary Shares for every Hexagon Class B Shares in each case held on the record date.</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Hexagon Class A Shares on the record date will receive Octave Class A Ordinary Shares. Such Octave Class A Ordinary Shares will be recorded in book-entry form with the transfer agent. Affiliate holders of Hexagon Class B Shares on the record date will receive Octave Class B Ordinary Shares. Such Octave Class B Ordinary Shares will be recorded in book-entry form with the transfer agent. Non-affiliate holders of Hexagon Class B Shares on the record date will be entitled to Octave Class B Ordinary Shares pursuant to the Distribution. Such Octave Class B Ordinary Shares will be deposited into the DTC participant account of a nominee of SEB, as Octave SDR depositary, and SEB will then issue Octave SDRs representing the underlying Octave Class B Ordinary Shares into the Euroclear Sweden accounts of the relevant holders of Hexagon Class B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Swedish Depository Receipts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establish an SDR program pursuant to a SDR Issuer Agreement, which is to be entered into between Octave and SEB, as custodian, and the general terms and conditions for Octave SDRs to be agreed with SEB. At the distribution of the Octave Class B Ordinary Shares, Octave will deliver through its custodian the Octave Class B Ordinary Shares in the form of Octave SDRs.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It is anticipated that Hexagon shareholders will be entitled to receive Octave SDRs for each Hexagon Class B Share held as of the record date. The date of delivery of the Octave SDRs is expected to be . The Octave SDRs are expected to remain listed on Nasdaq Stockholm until further notice, which we expect to be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about two years following the date of the Distribution. Octave expects to evaluate the status of the listing on Nasdaq Stockholm from time to time, including based on liquidity considerations, and will provide at least three months’ notice to holders of Octave SDRs prior to termination of the listing of the Octave SDRs on Nasdaq Stockholm.</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Persons holding Hexagon Shares through a bank, broker or other nominee should contact such entity regarding the receipt of the Octave SDRs to which they may be entitled. Holders of Hexagon Shares will not be charged any fees or expenses by Hexagon or Octave in connection with the Distribution.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Octave has agreed to pay any fees for holders who wish to cancel Octave SDRs and receive the underlying Octave Class B Ordinary Shares in a U.S.</w:t>
      </w:r>
    </w:p>
    <w:p>
      <w:pPr>
        <w:spacing w:after="0" w:line="27"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8"/>
          <w:szCs w:val="18"/>
          <w:color w:val="auto"/>
        </w:rPr>
        <w:t>brokerage account for the</w:t>
      </w:r>
      <w:r>
        <w:rPr>
          <w:sz w:val="20"/>
          <w:szCs w:val="20"/>
          <w:color w:val="auto"/>
        </w:rPr>
        <w:tab/>
      </w:r>
      <w:r>
        <w:rPr>
          <w:rFonts w:ascii="Times New Roman" w:cs="Times New Roman" w:eastAsia="Times New Roman" w:hAnsi="Times New Roman"/>
          <w:sz w:val="18"/>
          <w:szCs w:val="18"/>
          <w:color w:val="auto"/>
        </w:rPr>
        <w:t>months following the date of the Distribution. After such period, such fees will be borne by the 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Distribution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Hexagon believes that the Distribution is in the best interests of both Hexagon and Octave for a number of reasons, including:</w:t>
      </w:r>
    </w:p>
    <w:p>
      <w:pPr>
        <w:spacing w:after="0" w:line="169" w:lineRule="exact"/>
        <w:rPr>
          <w:sz w:val="20"/>
          <w:szCs w:val="20"/>
          <w:color w:val="auto"/>
        </w:rPr>
      </w:pPr>
    </w:p>
    <w:p>
      <w:pPr>
        <w:jc w:val="both"/>
        <w:ind w:left="660" w:hanging="328"/>
        <w:spacing w:after="0" w:line="258"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Different Independent Strategic Needs</w:t>
      </w:r>
      <w:r>
        <w:rPr>
          <w:rFonts w:ascii="Times New Roman" w:cs="Times New Roman" w:eastAsia="Times New Roman" w:hAnsi="Times New Roman"/>
          <w:sz w:val="18"/>
          <w:szCs w:val="18"/>
          <w:color w:val="auto"/>
        </w:rPr>
        <w:t>. The Distribution will provide each of Hexagon and Octave with increased flexibility to pursue their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strategic and financial plans and strategic partnerships without having to consider the potential impact on the business of the other company. The Distribution will allow each company to adapt more quickly to changing markets and customer expectations and dynamics and to benefit from greater strategic clarity and operational agility. For example, following the Distribution, each company will be able to use its shares as currency for acquisitions reflective of their distinct growth strategies.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Autonomy</w:t>
      </w:r>
      <w:r>
        <w:rPr>
          <w:rFonts w:ascii="Times New Roman" w:cs="Times New Roman" w:eastAsia="Times New Roman" w:hAnsi="Times New Roman"/>
          <w:sz w:val="18"/>
          <w:szCs w:val="18"/>
          <w:color w:val="auto"/>
        </w:rPr>
        <w:t>. Going forward, Hexagon anticipates focusing on its core mission of helping industrial customers address labor shortages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embrace sustainability via its advanced capabilities in precision measurement, reality capture, positioning and autonomy technologies, and robotic solutions. Octave will be able to adjust to its own business objectives, aligning Octave’s resources directly with the evolving needs of its customers. Operational autonomy will allow Octave to accelerate innovation and invest in capabilities that expand its reach and impact.</w:t>
      </w:r>
    </w:p>
    <w:p>
      <w:pPr>
        <w:spacing w:after="0" w:line="1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Resources</w:t>
      </w:r>
      <w:r>
        <w:rPr>
          <w:rFonts w:ascii="Times New Roman" w:cs="Times New Roman" w:eastAsia="Times New Roman" w:hAnsi="Times New Roman"/>
          <w:sz w:val="18"/>
          <w:szCs w:val="18"/>
          <w:color w:val="auto"/>
        </w:rPr>
        <w:t>. The Distribution will allow each company to raise and invest capital in its business in a time and manner appropriate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strategy and business needs and facilitating a more efficient allocation of capital.</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Attraction and Retention of Talent</w:t>
      </w:r>
      <w:r>
        <w:rPr>
          <w:rFonts w:ascii="Times New Roman" w:cs="Times New Roman" w:eastAsia="Times New Roman" w:hAnsi="Times New Roman"/>
          <w:sz w:val="18"/>
          <w:szCs w:val="18"/>
          <w:color w:val="auto"/>
        </w:rPr>
        <w:t>. The businesses that Hexagon and we will separately conduct have different risk and reward profiles,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different work environments and cultures. The Distribution will allow each company to compete more effectively for the best talent in the space in which it operates by implementing a work environment and culture that is oriented to the business it conducts without consideration of the impact of such environment or culture on the business that the other company will be conducting. Our operating practices will be focused on agility, collaboration, empowerment and speed in order to compete for the best talent against technology and software development companies.</w:t>
      </w:r>
    </w:p>
    <w:p>
      <w:pPr>
        <w:spacing w:after="0" w:line="129" w:lineRule="exact"/>
        <w:rPr>
          <w:rFonts w:ascii="Times New Roman" w:cs="Times New Roman" w:eastAsia="Times New Roman" w:hAnsi="Times New Roman"/>
          <w:sz w:val="18"/>
          <w:szCs w:val="18"/>
          <w:color w:val="auto"/>
        </w:rPr>
      </w:pPr>
    </w:p>
    <w:p>
      <w:pPr>
        <w:jc w:val="both"/>
        <w:ind w:left="660" w:right="20" w:hanging="328"/>
        <w:spacing w:after="0" w:line="267"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Incentives</w:t>
      </w:r>
      <w:r>
        <w:rPr>
          <w:rFonts w:ascii="Times New Roman" w:cs="Times New Roman" w:eastAsia="Times New Roman" w:hAnsi="Times New Roman"/>
          <w:sz w:val="18"/>
          <w:szCs w:val="18"/>
          <w:color w:val="auto"/>
        </w:rPr>
        <w:t>. The Distribution will facilitate incentive compensation arrangements for employees more closely tied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company’s business and can thereby enhance employee hiring and retention by, among other things, improving alignment of management and employee incentives with performance and growth objectives.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Strategic Alignment</w:t>
      </w:r>
      <w:r>
        <w:rPr>
          <w:rFonts w:ascii="Times New Roman" w:cs="Times New Roman" w:eastAsia="Times New Roman" w:hAnsi="Times New Roman"/>
          <w:sz w:val="18"/>
          <w:szCs w:val="18"/>
          <w:color w:val="auto"/>
        </w:rPr>
        <w:t>. The Distribution will allow each company to focus on and more effectively pursue distinct product portfolios,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priorities and strategies, markets and marketing strategies and different opportunities for long-term growth and profitability and align with the specific needs of the business it is conducting. The separation is intended to allow each company to adapt more quickly to changing markets and customer expectations and dynamics.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38" w:lineRule="exact"/>
        <w:rPr>
          <w:sz w:val="20"/>
          <w:szCs w:val="20"/>
          <w:color w:val="auto"/>
        </w:rPr>
      </w:pPr>
    </w:p>
    <w:p>
      <w:pPr>
        <w:jc w:val="both"/>
        <w:ind w:left="660" w:hanging="328"/>
        <w:spacing w:after="0" w:line="261"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Increased Share Value</w:t>
      </w:r>
      <w:r>
        <w:rPr>
          <w:rFonts w:ascii="Times New Roman" w:cs="Times New Roman" w:eastAsia="Times New Roman" w:hAnsi="Times New Roman"/>
          <w:sz w:val="18"/>
          <w:szCs w:val="18"/>
          <w:color w:val="auto"/>
        </w:rPr>
        <w:t>. The evaluation of separate investment characteristics, including risks, performance, and future prospects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businesses, is expected to enhance the investment opportunities provided to investors by two separate companies. Should this occur, each company would be in a better position to utilize its stock or shares (as applicable) as currency for acquisitions and to incentivize its employees.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Distribution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Distribution, we will be an independent, publicly-traded company. We will enter into a Distribution Agreement and other related agreements with Hexagon to effect the Distribution and provide a framework for Octave’s relationship with Hexagon after the Distribution. These agreements will provide for the allocation between Hexagon and Octave of Hexagon’s assets, liabilities and obligations attributable to periods prior to the internal reorganization and will govern the relationship between Hexagon and Octave after the Distribution. For a more detailed description of these agreements, see “Certain Relationships and Related Party Transactions—Relationship Between Hexagon and Octave After the Distribution.”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 for Furnishing this Information Statement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Hexagon shareholders that are entitled to receive Octave Shares and Octave SDRs in the Distribution. This information statement also forms a part of a registration statement on Form 10 to register the Octave Class B Ordinary Shares under Section 12(b) of the Exchange Act in connection with the proposed listing of the Octave Class B Ordinary Shares on Nasdaq New York. This information statement is not, and is not to be construed as, an inducement or encouragement to buy, hold or sell any Octave Shares, Octave SDRs, Hexagon Shares or other securities representing shares or common stock of Hexagon or Octave. We believe that the information in this information statement is accurate as of the date set forth on the cover. Changes to the information contained in this information statement may occur after that date, and we undertake no obligation to update such information, except in the normal course of our public disclosure obligations or as required by applicable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the Octave Shares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currently no public market for the Octave Shares and an active trading market may not develop or may not be sustained. It has not yet been determined whether Octave Class B Ordinary Shares will trade on a “when-issued” basis on Nasdaq New York before completion of the Distribution. A “when-issued” market in Octave Class B Ordinary Shares may develop after the record date for the Distribution. “When-issued” trading refers to a sale or purchase made conditionally because the security has been authorized but not yet issued.</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list Octave Class B Ordinary Shares on Nasdaq New York under the ticker symbol “OCTV” and our Octave SDRs on Nasdaq Stockholm under the ticker symbol “OCTV SDB,” provided our applications for listing are approved. Assuming that the listing application for Octave Class B Ordinary Shares is approved, it is anticipated that trading for Octave Class B Ordinary Shares will commence on the first trading day following the Distribution. Octave currently intends to distribute interests in Octave Class B Ordinary Shares through an SDR program that will be listed on Nasdaq Stockholm substantially concurrently with listing Octave Class B Ordinary Shares on Nasdaq New York. Octave intends to maintain the Octave SDR Program until further notice, which we expect to be for about two years following the Distribution. However, we intend to evaluate the Octave SDR Program over time in light of liquidity and relative trading volume on Nasdaq Stockholm and on Nasdaq New York, and there can be no assurance that the Octave SDR Program will be maintained for this period.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we nor Hexagon can ensure as to the trading price of Hexagon Class B Shares or Octave Class B Ordinary Shares (or Octave SDRs) after the Distribution, or as to whether the combined trading prices of Octave Class B Ordinary Shares (or Octave SDRs) and Hexagon Class B Shares after the Distribution will equal or exceed the trading prices of Hexagon Class B Shares prior to the Distribution. The trading price of Octave Class B Ordinary Shares and Octave SDRs may fluctuate significantly following the Distribution. See “Risk Factors—Risks Relating to Octave Class B Ordinary Shares and Octave SDRs” for more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 of the Octave Shares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Octave Class B Ordinary Shares underlying Octave SDRs distributed to holders of shares of Hexagon Class B Shares will be freely transferable without registration under the U.S. Securities Act of 1933 (the “Securities Act”), except for Octave Shares received by persons who may be deemed to be our “affiliates” under the Securities Act. Persons who may be deemed to be our affiliates after the Distribution generally include individuals or entities that control, are controlled by or are under common control with us and may include our directors, executive officers or principal shareholders. Our affiliates will be permitted to sell their Octave Class B Ordinary Shares only pursuant to an effective registration statement under the Securities Act or an exemption from the registration requirements of the Securities Act, such as the exemptions afforded by Rule 144 thereunder.</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future, we will likely adopt new equity-based compensation plans and issue equity-based awards. We currently expect to file a registration statement to register shares to be issued under these equity plans. Shares issued pursuant to awards after the effective date of that registration statement, other than shares issued to affiliates, generally will be freely tradable without further registration under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intend to retain our earnings to finance R&amp;D, acquisitions and the operation and expansion of our business and do not anticipate paying any cash dividends in the near future. The recommendation, declaration and payment of any dividends in the future by us will be subject to the sole discretion of the Board of Directors and will depend upon many factors, including our financial condition, earnings, distributable reserves, capital requirements of our operating subsidiaries, covenants associated with certain of our debt obligations, legal requirements, regulatory constraints and other factors deemed relevant by our Board of Directors. Moreover, if we determine to pay any dividends in the future, there can be no assurance that we will continue to pay such dividends.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Irish law, dividends and distributions (including by way of the payment of cash dividends or share repurchases) may only be made from profits available for distribution, or “distributable reserves” on our unconsolidated balance sheet prepared in accordance with the Irish Companies Act. In addition, no distribution or dividend may be paid or made by us unless our net assets are equal to, or in excess of, the aggregate of our share capital that has been paid up or that is payable in the future plus non-distributable reserves and the distribution or dividend would not reduce our net assets below such aggregate. See “Description of our Share Capital—Dividends” for additional information on restrictions on payment of dividends or other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September 30, 2025, on a historical basis and a pro forma basis, to give effect to the Distribution and the transactions related to the Distribution as further described under “Unaudited Pro Forma Condensed Combined Financial Information,” as if they occurred on September 30, 2025. The cash and cash equivalents and our capitalization information in the following table may not necessarily reflect what our cash and cash equivalents and capitalization would have been had we been operating as a standalone company as of September 30, 2025. Additionally, the information in the following table may not necessarily reflect what our cash and cash equivalents and our capitalization may be in the future.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with Octave’s “Management’s Discussion and Analysis of Financial Condition and Results of Operations,” “Unaudited Pro Forma Condensed Combined Financial Information,” audited Combined Financial Statements and accompanying Notes, and unaudited Condensed Combined Financial Statements and accompanying Notes included elsewhere in this information statement.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60" w:type="dxa"/>
            <w:vAlign w:val="bottom"/>
          </w:tcPr>
          <w:p>
            <w:pPr>
              <w:spacing w:after="0"/>
              <w:rPr>
                <w:sz w:val="16"/>
                <w:szCs w:val="16"/>
                <w:color w:val="auto"/>
              </w:rPr>
            </w:pPr>
          </w:p>
        </w:tc>
        <w:tc>
          <w:tcPr>
            <w:tcW w:w="12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54"/>
        </w:trPr>
        <w:tc>
          <w:tcPr>
            <w:tcW w:w="8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0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borrowings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indebtedness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Ordinary Shares, par value $0.01</w:t>
            </w:r>
          </w:p>
        </w:tc>
        <w:tc>
          <w:tcPr>
            <w:tcW w:w="3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B Ordinary Shares, par value $0.01</w:t>
            </w:r>
          </w:p>
        </w:tc>
        <w:tc>
          <w:tcPr>
            <w:tcW w:w="30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Parent investment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7,683,097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7,682,276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(72,693)</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7,610,404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7,609,583</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7,610,404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7,609,583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yet finalized our post-Distribution capitalization. Adjusted financial data reflecting our post-Distribution capitalization will be included in an amendment to the registration statement of which this information statement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consist of an Unaudited Pro Forma Condensed Combined Balance Sheet as of September 30, 2025 and Unaudited Pro Forma Condensed Combined Statements of Operations for the nine months ended September 30, 2025 and the year ended December 31, 2024. This unaudited pro forma financial information has been derived from our audited Combined Financial Statements for the year ended December 31, 2024 and our unaudited Condensed Combined Financial Statements as of and for the nine months ended September 30, 2025, included elsewhere in this information statement. All significant pro forma adjustments and their underlying assumptions are described more fully in the Notes to Unaudited Pro Forma Condensed Combined Financial Statements.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gives effect to the Pro Forma Transactions (as defined below) as if they had occurred on September 30, 2025, the latest balance sheet date. The Unaudited Pro Forma Condensed Combined Statements of Operations give effect to the Pro Forma Transactions as if they had occurred on January 1, 2024, the first day of fiscal year 2024.</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prepared to include transaction accounting adjustments, autonomous entity adjustments, and other transaction adjustments to reflect the financial condition and results of operations as if the Company was a standalone public entity following the spin-off.</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illustrates the effects of the following transactions (collectively, the “Pro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 Transactions”):</w:t>
      </w:r>
    </w:p>
    <w:p>
      <w:pPr>
        <w:sectPr>
          <w:pgSz w:w="11900" w:h="16838" w:orient="portrait"/>
          <w:cols w:equalWidth="0" w:num="1">
            <w:col w:w="11240"/>
          </w:cols>
          <w:pgMar w:left="320" w:top="1440" w:right="339" w:bottom="1440" w:gutter="0" w:footer="0" w:header="0"/>
        </w:sectPr>
      </w:pP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hanging="4"/>
        <w:spacing w:after="0" w:line="275" w:lineRule="auto"/>
        <w:rPr>
          <w:sz w:val="20"/>
          <w:szCs w:val="20"/>
          <w:color w:val="auto"/>
        </w:rPr>
      </w:pPr>
      <w:r>
        <w:rPr>
          <w:rFonts w:ascii="Times New Roman" w:cs="Times New Roman" w:eastAsia="Times New Roman" w:hAnsi="Times New Roman"/>
          <w:sz w:val="18"/>
          <w:szCs w:val="18"/>
          <w:color w:val="auto"/>
        </w:rPr>
        <w:t>the anticipated post-Distribution capital structure, including (i) the issuance of approximately</w:t>
      </w:r>
      <w:r>
        <w:rPr>
          <w:sz w:val="20"/>
          <w:szCs w:val="20"/>
          <w:color w:val="auto"/>
        </w:rPr>
        <w:t xml:space="preserve"> </w:t>
      </w:r>
      <w:r>
        <w:rPr>
          <w:rFonts w:ascii="Times New Roman" w:cs="Times New Roman" w:eastAsia="Times New Roman" w:hAnsi="Times New Roman"/>
          <w:sz w:val="18"/>
          <w:szCs w:val="18"/>
          <w:color w:val="auto"/>
        </w:rPr>
        <w:t>Octave Class A Ordinary Shares and Octave Class B Ordinary Shares, (ii) the incurrence of indebtedness of approximately $ million at an estimated weighted average interest rate of % and (iii) the distribution of approximately $ million of cash to Hexagon prior to the Distribution;</w:t>
      </w:r>
    </w:p>
    <w:p>
      <w:pPr>
        <w:spacing w:after="0" w:line="200"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spacing w:after="0" w:line="28" w:lineRule="exact"/>
        <w:rPr>
          <w:sz w:val="20"/>
          <w:szCs w:val="20"/>
          <w:color w:val="auto"/>
        </w:rPr>
      </w:pPr>
    </w:p>
    <w:p>
      <w:pPr>
        <w:ind w:left="660" w:hanging="328"/>
        <w:spacing w:after="0" w:line="281"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transfers occurring pursuant to the Distribution Agreement, including the contribution by Hexagon to Octave of certain assets and liabilities that comprise the Octave Business and the retention by Hexagon of certain non-core revenue contracts;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arising from contractual agreements made in preparation for the Company to be a standalone public entity, including new lease agreements, new compensation agreements, and Transition Services Agreements between Hexagon and the Company;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divestiture of certain non-core businesses historically managed by the Company ahead of the spin-off;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aforementioned adjustments on current and deferred income taxes.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prepared to include transaction accounting, autonomous entity and other transaction adjustments to reflect the financial condition and results of operations as if we were a standalone public entity. Transaction accounting adjustments have been presented to show the impact and associated cost as a direct result of the separation from Hexagon, including the establishment of the Company’s expected capital structure at the time of Distribution. Autonomous entity adjustments have been presented to show the impact and associated cost as a direct result of new agreements, both third-party and with Hexagon, entered into in preparation for operating as a standalone public entity. Other transaction adjustments have been presented to show the impact on operating results relating to the Company’s sale of certain non-core businesses during the historical period.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Notes to Unaudited Pro Forma Condensed Combined Financial Statements include a presentation of management adjustments that management believes are necessary to provide an understanding of the pro forma effects of the separation and the Distribution. These management adjustments reflect expected incremental costs associated with the stand-up of functions to operate as a standalone public entity as well as realize anticipated cost savings associated with various restructuring plans implemented prior to spin-off. Actual future costs incurred or savings realized may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40" w:right="339" w:bottom="1440" w:gutter="0" w:footer="0" w:header="0"/>
          <w:type w:val="continuous"/>
        </w:sectPr>
      </w:pPr>
    </w:p>
    <w:bookmarkStart w:id="84" w:name="page85"/>
    <w:bookmarkEnd w:id="84"/>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Regulation S-X, as amended. The Unaudited Pro Forma Condensed Combined Financial Statements are subject to the assumptions and adjustments described in the accompanying Notes. The Pro Forma Transactions are based on available information and assumptions we believe are reasonable; however, such adjustments are subject to change. A final determination regarding our capital structure has not yet been made, and the Distribution Agreement, Tax Disaffiliation Agreement, Transition Services Agreement, Employee Matters Agreement and other transaction-related agreements have not been finalized. As such, the Unaudited Pro Forma Condensed Combined Financial Statements may be revised in future amendments to reflect the impact on our capital structure and the final form of those agreements, to the extent any such revisions would be deemed material.</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presented for informational purposes only. The Unaudited Pro Forma Information is not necessarily indicative of our results of operations or financial condition had the Distribution and the related transactions been completed on the dates assumed and should not be relied upon as a representation of our future performance or financial position as a standalone public entity. The Combined Financial Statements have been derived from Hexagon’s historical accounting records and include certain corporate overhead and other shared costs which have been allocated to the Company. The allocations have been determined on a reasonable basis; however, the amounts are not necessarily representative of the amounts that would have been reflected in the financial statements had the Company been an entity that operated independently of Hexagon during the periods or at the dates presented. See Note 1, “Background and Basis of Presentation” and Note 13, “Related Party Transactions” to the Combined Financial Statements included elsewhere in this information statement for further information on the allocation of corporate and other shared costs.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should be read in conjunction with Octave’s “Management’s Discussion and Analysis of Financial Condition and Results of Operations,” audited Combined Financial Statements and accompanying Notes, and unaudited Condensed Combined Financial Statements and accompanying Notes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2025 (in thousands)</w:t>
            </w:r>
          </w:p>
        </w:tc>
        <w:tc>
          <w:tcPr>
            <w:tcW w:w="280" w:type="dxa"/>
            <w:vAlign w:val="bottom"/>
          </w:tcPr>
          <w:p>
            <w:pPr>
              <w:spacing w:after="0"/>
              <w:rPr>
                <w:sz w:val="13"/>
                <w:szCs w:val="13"/>
                <w:color w:val="auto"/>
              </w:rPr>
            </w:pP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140" w:type="dxa"/>
            <w:vAlign w:val="bottom"/>
          </w:tcPr>
          <w:p>
            <w:pPr>
              <w:spacing w:after="0"/>
              <w:rPr>
                <w:sz w:val="13"/>
                <w:szCs w:val="13"/>
                <w:color w:val="auto"/>
              </w:rPr>
            </w:pPr>
          </w:p>
        </w:tc>
        <w:tc>
          <w:tcPr>
            <w:tcW w:w="182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Autonomous Entity</w:t>
            </w:r>
          </w:p>
        </w:tc>
        <w:tc>
          <w:tcPr>
            <w:tcW w:w="130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4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6"/>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109,125</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370,878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80,015</w:t>
            </w:r>
          </w:p>
        </w:tc>
        <w:tc>
          <w:tcPr>
            <w:tcW w:w="0" w:type="dxa"/>
            <w:vAlign w:val="bottom"/>
          </w:tcPr>
          <w:p>
            <w:pPr>
              <w:spacing w:after="0"/>
              <w:rPr>
                <w:sz w:val="1"/>
                <w:szCs w:val="1"/>
                <w:color w:val="auto"/>
              </w:rPr>
            </w:pPr>
          </w:p>
        </w:tc>
      </w:tr>
      <w:tr>
        <w:trPr>
          <w:trHeight w:val="223"/>
        </w:trPr>
        <w:tc>
          <w:tcPr>
            <w:tcW w:w="46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560,018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560,018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55,171</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720" w:type="dxa"/>
            <w:vAlign w:val="bottom"/>
            <w:gridSpan w:val="3"/>
          </w:tcPr>
          <w:p>
            <w:pPr>
              <w:jc w:val="right"/>
              <w:ind w:right="470"/>
              <w:spacing w:after="0"/>
              <w:rPr>
                <w:sz w:val="20"/>
                <w:szCs w:val="20"/>
                <w:color w:val="auto"/>
              </w:rPr>
            </w:pPr>
            <w:r>
              <w:rPr>
                <w:rFonts w:ascii="Times New Roman" w:cs="Times New Roman" w:eastAsia="Times New Roman" w:hAnsi="Times New Roman"/>
                <w:sz w:val="13"/>
                <w:szCs w:val="13"/>
                <w:color w:val="auto"/>
                <w:w w:val="92"/>
              </w:rPr>
              <w:t>(h)</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67,323</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6,220,318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6,220,318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1,659,606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1,659,606</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(f)</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29,848</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3"/>
                <w:szCs w:val="13"/>
                <w:color w:val="auto"/>
                <w:w w:val="96"/>
              </w:rPr>
              <w:t>(a)</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30,869</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8,611,959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10,581</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8,623,153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borrowings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37,629</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351,607</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720" w:type="dxa"/>
            <w:vAlign w:val="bottom"/>
            <w:gridSpan w:val="3"/>
          </w:tcPr>
          <w:p>
            <w:pPr>
              <w:jc w:val="right"/>
              <w:ind w:right="470"/>
              <w:spacing w:after="0"/>
              <w:rPr>
                <w:sz w:val="20"/>
                <w:szCs w:val="20"/>
                <w:color w:val="auto"/>
              </w:rPr>
            </w:pPr>
            <w:r>
              <w:rPr>
                <w:rFonts w:ascii="Times New Roman" w:cs="Times New Roman" w:eastAsia="Times New Roman" w:hAnsi="Times New Roman"/>
                <w:sz w:val="13"/>
                <w:szCs w:val="13"/>
                <w:color w:val="auto"/>
                <w:w w:val="92"/>
              </w:rPr>
              <w:t>(h)</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146,491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146,491</w:t>
            </w:r>
          </w:p>
        </w:tc>
        <w:tc>
          <w:tcPr>
            <w:tcW w:w="0" w:type="dxa"/>
            <w:vAlign w:val="bottom"/>
          </w:tcPr>
          <w:p>
            <w:pPr>
              <w:spacing w:after="0"/>
              <w:rPr>
                <w:sz w:val="1"/>
                <w:szCs w:val="1"/>
                <w:color w:val="auto"/>
              </w:rPr>
            </w:pPr>
          </w:p>
        </w:tc>
      </w:tr>
      <w:tr>
        <w:trPr>
          <w:trHeight w:val="223"/>
        </w:trPr>
        <w:tc>
          <w:tcPr>
            <w:tcW w:w="46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666,374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668,092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(a)</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720" w:type="dxa"/>
            <w:vAlign w:val="bottom"/>
            <w:gridSpan w:val="3"/>
          </w:tcPr>
          <w:p>
            <w:pPr>
              <w:jc w:val="right"/>
              <w:ind w:right="470"/>
              <w:spacing w:after="0"/>
              <w:rPr>
                <w:sz w:val="20"/>
                <w:szCs w:val="20"/>
                <w:color w:val="auto"/>
              </w:rPr>
            </w:pPr>
            <w:r>
              <w:rPr>
                <w:rFonts w:ascii="Times New Roman" w:cs="Times New Roman" w:eastAsia="Times New Roman" w:hAnsi="Times New Roman"/>
                <w:sz w:val="13"/>
                <w:szCs w:val="13"/>
                <w:color w:val="auto"/>
                <w:w w:val="92"/>
              </w:rPr>
              <w:t>(h)</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xml:space="preserve">(999) </w:t>
            </w:r>
            <w:r>
              <w:rPr>
                <w:rFonts w:ascii="Times New Roman" w:cs="Times New Roman" w:eastAsia="Times New Roman" w:hAnsi="Times New Roman"/>
                <w:sz w:val="12"/>
                <w:szCs w:val="12"/>
                <w:color w:val="auto"/>
              </w:rPr>
              <w:t>(f)</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240,354</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46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(b)</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54,516</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1,001,555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1,434</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10,581</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1,013,570</w:t>
            </w:r>
          </w:p>
        </w:tc>
        <w:tc>
          <w:tcPr>
            <w:tcW w:w="0" w:type="dxa"/>
            <w:vAlign w:val="bottom"/>
          </w:tcPr>
          <w:p>
            <w:pPr>
              <w:spacing w:after="0"/>
              <w:rPr>
                <w:sz w:val="1"/>
                <w:szCs w:val="1"/>
                <w:color w:val="auto"/>
              </w:rPr>
            </w:pPr>
          </w:p>
        </w:tc>
      </w:tr>
      <w:tr>
        <w:trPr>
          <w:trHeight w:val="23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Ordinary Shares, par value $0.01</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(c)</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Ordinary Shares, par value $0.01</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(c)</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6"/>
              </w:rPr>
              <w:t>(c)</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7,683,097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2"/>
                <w:szCs w:val="12"/>
                <w:color w:val="auto"/>
              </w:rPr>
              <w:t>(c)</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7,682,276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(72,693)</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7,610,404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w:t>
            </w: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7,609,583</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8,611,959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10,581</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8,623,153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 (in</w:t>
            </w:r>
          </w:p>
        </w:tc>
        <w:tc>
          <w:tcPr>
            <w:tcW w:w="26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2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Autonomous Entity</w:t>
            </w: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Transaction</w:t>
            </w:r>
          </w:p>
        </w:tc>
        <w:tc>
          <w:tcPr>
            <w:tcW w:w="280" w:type="dxa"/>
            <w:vAlign w:val="bottom"/>
          </w:tcPr>
          <w:p>
            <w:pPr>
              <w:spacing w:after="0"/>
              <w:rPr>
                <w:sz w:val="13"/>
                <w:szCs w:val="13"/>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except per share amounts)</w:t>
            </w: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 (Note l)</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802,242</w:t>
            </w:r>
          </w:p>
        </w:tc>
        <w:tc>
          <w:tcPr>
            <w:tcW w:w="8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802,180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931,227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919,248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 xml:space="preserve">(2,588) </w:t>
            </w:r>
            <w:r>
              <w:rPr>
                <w:rFonts w:ascii="Times New Roman" w:cs="Times New Roman" w:eastAsia="Times New Roman" w:hAnsi="Times New Roman"/>
                <w:sz w:val="12"/>
                <w:szCs w:val="12"/>
                <w:color w:val="auto"/>
              </w:rPr>
              <w:t>(d)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230,196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1,189,458</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(2,588)</w:t>
            </w: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(37,426)</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1,149,444</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148,311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 xml:space="preserve">(2,511) </w:t>
            </w:r>
            <w:r>
              <w:rPr>
                <w:rFonts w:ascii="Times New Roman" w:cs="Times New Roman" w:eastAsia="Times New Roman" w:hAnsi="Times New Roman"/>
                <w:sz w:val="12"/>
                <w:szCs w:val="12"/>
                <w:color w:val="auto"/>
              </w:rPr>
              <w:t>(d)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300,652</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(2,511)</w:t>
            </w: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(28,795)</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270,003</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888,806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879,441</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137,864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20" w:type="dxa"/>
            <w:vAlign w:val="bottom"/>
            <w:gridSpan w:val="3"/>
          </w:tcPr>
          <w:p>
            <w:pPr>
              <w:jc w:val="right"/>
              <w:ind w:right="370"/>
              <w:spacing w:after="0"/>
              <w:rPr>
                <w:sz w:val="20"/>
                <w:szCs w:val="20"/>
                <w:color w:val="auto"/>
              </w:rPr>
            </w:pPr>
            <w:r>
              <w:rPr>
                <w:rFonts w:ascii="Times New Roman" w:cs="Times New Roman" w:eastAsia="Times New Roman" w:hAnsi="Times New Roman"/>
                <w:sz w:val="13"/>
                <w:szCs w:val="13"/>
                <w:color w:val="auto"/>
                <w:w w:val="96"/>
              </w:rPr>
              <w:t>(e)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(h)(i)</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288,588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2"/>
                <w:szCs w:val="12"/>
                <w:color w:val="auto"/>
              </w:rPr>
              <w:t>(e)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(h)(i)(j)</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131,392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685,440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687,746</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203,366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(8,178)</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191,695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color w:val="auto"/>
              </w:rPr>
              <w:t>(a)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187,529</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12,738</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195,436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2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3"/>
                <w:szCs w:val="13"/>
                <w:color w:val="auto"/>
                <w:w w:val="92"/>
              </w:rPr>
              <w:t>(f)</w:t>
            </w:r>
          </w:p>
        </w:tc>
        <w:tc>
          <w:tcPr>
            <w:tcW w:w="16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2"/>
                <w:szCs w:val="12"/>
                <w:color w:val="auto"/>
              </w:rPr>
              <w:t>(k)</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148,791</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15,916</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161,008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tc>
        <w:tc>
          <w:tcPr>
            <w:tcW w:w="444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440" w:type="dxa"/>
            <w:vAlign w:val="bottom"/>
            <w:shd w:val="clear" w:color="auto" w:fill="CCEEFF"/>
          </w:tcPr>
          <w:p>
            <w:pPr>
              <w:ind w:left="4100"/>
              <w:spacing w:after="0"/>
              <w:rPr>
                <w:sz w:val="20"/>
                <w:szCs w:val="20"/>
                <w:color w:val="auto"/>
              </w:rPr>
            </w:pPr>
            <w:r>
              <w:rPr>
                <w:rFonts w:ascii="Times New Roman" w:cs="Times New Roman" w:eastAsia="Times New Roman" w:hAnsi="Times New Roman"/>
                <w:sz w:val="13"/>
                <w:szCs w:val="13"/>
                <w:color w:val="auto"/>
              </w:rPr>
              <w:t>(g)</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440" w:type="dxa"/>
            <w:vAlign w:val="bottom"/>
          </w:tcPr>
          <w:p>
            <w:pPr>
              <w:ind w:left="4100"/>
              <w:spacing w:after="0"/>
              <w:rPr>
                <w:sz w:val="20"/>
                <w:szCs w:val="20"/>
                <w:color w:val="auto"/>
              </w:rPr>
            </w:pPr>
            <w:r>
              <w:rPr>
                <w:rFonts w:ascii="Times New Roman" w:cs="Times New Roman" w:eastAsia="Times New Roman" w:hAnsi="Times New Roman"/>
                <w:sz w:val="13"/>
                <w:szCs w:val="13"/>
                <w:color w:val="auto"/>
              </w:rPr>
              <w:t>(g)</w:t>
            </w:r>
          </w:p>
        </w:tc>
      </w:tr>
      <w:tr>
        <w:trPr>
          <w:trHeight w:val="175"/>
        </w:trPr>
        <w:tc>
          <w:tcPr>
            <w:tcW w:w="6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Weighted average common shares</w:t>
            </w:r>
          </w:p>
        </w:tc>
        <w:tc>
          <w:tcPr>
            <w:tcW w:w="4440" w:type="dxa"/>
            <w:vAlign w:val="bottom"/>
            <w:shd w:val="clear" w:color="auto" w:fill="CCEEFF"/>
          </w:tcPr>
          <w:p>
            <w:pPr>
              <w:spacing w:after="0"/>
              <w:rPr>
                <w:sz w:val="15"/>
                <w:szCs w:val="15"/>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4440" w:type="dxa"/>
            <w:vAlign w:val="bottom"/>
            <w:shd w:val="clear" w:color="auto" w:fill="CCEEFF"/>
          </w:tcPr>
          <w:p>
            <w:pPr>
              <w:spacing w:after="0"/>
              <w:rPr>
                <w:sz w:val="21"/>
                <w:szCs w:val="2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440" w:type="dxa"/>
            <w:vAlign w:val="bottom"/>
          </w:tcPr>
          <w:p>
            <w:pPr>
              <w:ind w:left="4100"/>
              <w:spacing w:after="0"/>
              <w:rPr>
                <w:sz w:val="20"/>
                <w:szCs w:val="20"/>
                <w:color w:val="auto"/>
              </w:rPr>
            </w:pPr>
            <w:r>
              <w:rPr>
                <w:rFonts w:ascii="Times New Roman" w:cs="Times New Roman" w:eastAsia="Times New Roman" w:hAnsi="Times New Roman"/>
                <w:sz w:val="13"/>
                <w:szCs w:val="13"/>
                <w:color w:val="auto"/>
              </w:rPr>
              <w:t>(g)</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440" w:type="dxa"/>
            <w:vAlign w:val="bottom"/>
            <w:shd w:val="clear" w:color="auto" w:fill="CCEEFF"/>
          </w:tcPr>
          <w:p>
            <w:pPr>
              <w:ind w:left="4100"/>
              <w:spacing w:after="0"/>
              <w:rPr>
                <w:sz w:val="20"/>
                <w:szCs w:val="20"/>
                <w:color w:val="auto"/>
              </w:rPr>
            </w:pPr>
            <w:r>
              <w:rPr>
                <w:rFonts w:ascii="Times New Roman" w:cs="Times New Roman" w:eastAsia="Times New Roman" w:hAnsi="Times New Roman"/>
                <w:sz w:val="13"/>
                <w:szCs w:val="13"/>
                <w:color w:val="auto"/>
              </w:rPr>
              <w:t>(g)</w:t>
            </w:r>
          </w:p>
        </w:tc>
      </w:tr>
    </w:tbl>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80"/>
          </w:cols>
          <w:pgMar w:left="320" w:top="1440" w:right="399" w:bottom="1440" w:gutter="0" w:footer="0" w:header="0"/>
        </w:sectPr>
      </w:pPr>
    </w:p>
    <w:bookmarkStart w:id="87" w:name="page88"/>
    <w:bookmarkEnd w:id="8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60" w:type="dxa"/>
            <w:vAlign w:val="bottom"/>
          </w:tcPr>
          <w:p>
            <w:pPr>
              <w:spacing w:after="0"/>
              <w:rPr>
                <w:sz w:val="13"/>
                <w:szCs w:val="1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2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Autonomous Entity</w:t>
            </w:r>
          </w:p>
        </w:tc>
        <w:tc>
          <w:tcPr>
            <w:tcW w:w="14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Transaction</w:t>
            </w:r>
          </w:p>
        </w:tc>
        <w:tc>
          <w:tcPr>
            <w:tcW w:w="260" w:type="dxa"/>
            <w:vAlign w:val="bottom"/>
          </w:tcPr>
          <w:p>
            <w:pPr>
              <w:spacing w:after="0"/>
              <w:rPr>
                <w:sz w:val="13"/>
                <w:szCs w:val="13"/>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Adjustments (Note l)</w:t>
            </w: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994,562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269,368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1,263,930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 xml:space="preserve">(11,283) </w:t>
            </w:r>
            <w:r>
              <w:rPr>
                <w:rFonts w:ascii="Times New Roman" w:cs="Times New Roman" w:eastAsia="Times New Roman" w:hAnsi="Times New Roman"/>
                <w:sz w:val="12"/>
                <w:szCs w:val="12"/>
                <w:color w:val="auto"/>
              </w:rPr>
              <w:t>(d)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251,899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(11,283)</w:t>
            </w:r>
          </w:p>
        </w:tc>
        <w:tc>
          <w:tcPr>
            <w:tcW w:w="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(89,393)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1,515,829</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189,695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 xml:space="preserve">(10,217) </w:t>
            </w:r>
            <w:r>
              <w:rPr>
                <w:rFonts w:ascii="Times New Roman" w:cs="Times New Roman" w:eastAsia="Times New Roman" w:hAnsi="Times New Roman"/>
                <w:sz w:val="12"/>
                <w:szCs w:val="12"/>
                <w:color w:val="auto"/>
              </w:rPr>
              <w:t>(d)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434,328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(10,217)</w:t>
            </w:r>
          </w:p>
        </w:tc>
        <w:tc>
          <w:tcPr>
            <w:tcW w:w="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w:t>
            </w:r>
          </w:p>
        </w:tc>
        <w:tc>
          <w:tcPr>
            <w:tcW w:w="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(74,066)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350,861</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1,164,968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159,546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20" w:type="dxa"/>
            <w:vAlign w:val="bottom"/>
            <w:gridSpan w:val="3"/>
          </w:tcPr>
          <w:p>
            <w:pPr>
              <w:jc w:val="right"/>
              <w:ind w:right="390"/>
              <w:spacing w:after="0"/>
              <w:rPr>
                <w:sz w:val="20"/>
                <w:szCs w:val="20"/>
                <w:color w:val="auto"/>
              </w:rPr>
            </w:pPr>
            <w:r>
              <w:rPr>
                <w:rFonts w:ascii="Times New Roman" w:cs="Times New Roman" w:eastAsia="Times New Roman" w:hAnsi="Times New Roman"/>
                <w:sz w:val="13"/>
                <w:szCs w:val="13"/>
                <w:color w:val="auto"/>
                <w:w w:val="82"/>
              </w:rPr>
              <w:t>(e)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(h)(i)</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362,280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2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3"/>
                <w:szCs w:val="13"/>
                <w:color w:val="auto"/>
                <w:w w:val="82"/>
              </w:rPr>
              <w:t>(e)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(h)(i)(j)</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144,870</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786,685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795,103</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(1,435)</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(11,119)</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369,865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color w:val="auto"/>
              </w:rPr>
              <w:t>(a)</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(1,435)</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(13,073)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374,479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 xml:space="preserve">(336) </w:t>
            </w:r>
            <w:r>
              <w:rPr>
                <w:rFonts w:ascii="Times New Roman" w:cs="Times New Roman" w:eastAsia="Times New Roman" w:hAnsi="Times New Roman"/>
                <w:sz w:val="12"/>
                <w:szCs w:val="12"/>
                <w:color w:val="auto"/>
              </w:rPr>
              <w:t>(f)</w:t>
            </w:r>
          </w:p>
        </w:tc>
        <w:tc>
          <w:tcPr>
            <w:tcW w:w="16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xml:space="preserve">(1,668) </w:t>
            </w:r>
            <w:r>
              <w:rPr>
                <w:rFonts w:ascii="Times New Roman" w:cs="Times New Roman" w:eastAsia="Times New Roman" w:hAnsi="Times New Roman"/>
                <w:sz w:val="12"/>
                <w:szCs w:val="12"/>
                <w:color w:val="auto"/>
              </w:rPr>
              <w:t>(k)</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79,833</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311,207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(1,099)</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294,646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tc>
        <w:tc>
          <w:tcPr>
            <w:tcW w:w="4440" w:type="dxa"/>
            <w:vAlign w:val="bottom"/>
          </w:tcPr>
          <w:p>
            <w:pPr>
              <w:spacing w:after="0"/>
              <w:rPr>
                <w:sz w:val="19"/>
                <w:szCs w:val="19"/>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440" w:type="dxa"/>
            <w:vAlign w:val="bottom"/>
            <w:shd w:val="clear" w:color="auto" w:fill="CCEEFF"/>
          </w:tcPr>
          <w:p>
            <w:pPr>
              <w:ind w:left="4100"/>
              <w:spacing w:after="0"/>
              <w:rPr>
                <w:sz w:val="20"/>
                <w:szCs w:val="20"/>
                <w:color w:val="auto"/>
              </w:rPr>
            </w:pPr>
            <w:r>
              <w:rPr>
                <w:rFonts w:ascii="Times New Roman" w:cs="Times New Roman" w:eastAsia="Times New Roman" w:hAnsi="Times New Roman"/>
                <w:sz w:val="13"/>
                <w:szCs w:val="13"/>
                <w:color w:val="auto"/>
              </w:rPr>
              <w:t>(g)</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440" w:type="dxa"/>
            <w:vAlign w:val="bottom"/>
          </w:tcPr>
          <w:p>
            <w:pPr>
              <w:ind w:left="4100"/>
              <w:spacing w:after="0"/>
              <w:rPr>
                <w:sz w:val="20"/>
                <w:szCs w:val="20"/>
                <w:color w:val="auto"/>
              </w:rPr>
            </w:pPr>
            <w:r>
              <w:rPr>
                <w:rFonts w:ascii="Times New Roman" w:cs="Times New Roman" w:eastAsia="Times New Roman" w:hAnsi="Times New Roman"/>
                <w:sz w:val="13"/>
                <w:szCs w:val="13"/>
                <w:color w:val="auto"/>
              </w:rPr>
              <w:t>(g)</w:t>
            </w:r>
          </w:p>
        </w:tc>
      </w:tr>
      <w:tr>
        <w:trPr>
          <w:trHeight w:val="175"/>
        </w:trPr>
        <w:tc>
          <w:tcPr>
            <w:tcW w:w="6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Weighted average common shares</w:t>
            </w:r>
          </w:p>
        </w:tc>
        <w:tc>
          <w:tcPr>
            <w:tcW w:w="4440" w:type="dxa"/>
            <w:vAlign w:val="bottom"/>
            <w:shd w:val="clear" w:color="auto" w:fill="CCEEFF"/>
          </w:tcPr>
          <w:p>
            <w:pPr>
              <w:spacing w:after="0"/>
              <w:rPr>
                <w:sz w:val="15"/>
                <w:szCs w:val="15"/>
                <w:color w:val="auto"/>
              </w:rPr>
            </w:pPr>
          </w:p>
        </w:tc>
      </w:tr>
      <w:tr>
        <w:trPr>
          <w:trHeight w:val="243"/>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4440" w:type="dxa"/>
            <w:vAlign w:val="bottom"/>
            <w:shd w:val="clear" w:color="auto" w:fill="CCEEFF"/>
          </w:tcPr>
          <w:p>
            <w:pPr>
              <w:spacing w:after="0"/>
              <w:rPr>
                <w:sz w:val="21"/>
                <w:szCs w:val="2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440" w:type="dxa"/>
            <w:vAlign w:val="bottom"/>
          </w:tcPr>
          <w:p>
            <w:pPr>
              <w:ind w:left="4100"/>
              <w:spacing w:after="0"/>
              <w:rPr>
                <w:sz w:val="20"/>
                <w:szCs w:val="20"/>
                <w:color w:val="auto"/>
              </w:rPr>
            </w:pPr>
            <w:r>
              <w:rPr>
                <w:rFonts w:ascii="Times New Roman" w:cs="Times New Roman" w:eastAsia="Times New Roman" w:hAnsi="Times New Roman"/>
                <w:sz w:val="13"/>
                <w:szCs w:val="13"/>
                <w:color w:val="auto"/>
              </w:rPr>
              <w:t>(g)</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440" w:type="dxa"/>
            <w:vAlign w:val="bottom"/>
            <w:shd w:val="clear" w:color="auto" w:fill="CCEEFF"/>
          </w:tcPr>
          <w:p>
            <w:pPr>
              <w:ind w:left="4100"/>
              <w:spacing w:after="0"/>
              <w:rPr>
                <w:sz w:val="20"/>
                <w:szCs w:val="20"/>
                <w:color w:val="auto"/>
              </w:rPr>
            </w:pPr>
            <w:r>
              <w:rPr>
                <w:rFonts w:ascii="Times New Roman" w:cs="Times New Roman" w:eastAsia="Times New Roman" w:hAnsi="Times New Roman"/>
                <w:sz w:val="13"/>
                <w:szCs w:val="13"/>
                <w:color w:val="auto"/>
              </w:rPr>
              <w:t>(g)</w:t>
            </w:r>
          </w:p>
        </w:tc>
      </w:tr>
    </w:tbl>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00"/>
          </w:cols>
          <w:pgMar w:left="320" w:top="1440" w:right="379" w:bottom="1440" w:gutter="0" w:footer="0" w:header="0"/>
        </w:sectPr>
      </w:pPr>
    </w:p>
    <w:bookmarkStart w:id="88" w:name="page89"/>
    <w:bookmarkEnd w:id="88"/>
    <w:p>
      <w:pPr>
        <w:spacing w:after="0" w:line="136" w:lineRule="exact"/>
        <w:rPr>
          <w:sz w:val="20"/>
          <w:szCs w:val="20"/>
          <w:color w:val="auto"/>
        </w:rPr>
      </w:pPr>
    </w:p>
    <w:p>
      <w:pPr>
        <w:ind w:right="47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1. Notes to Unaudited Pro Forma Condensed Combined Financial Statements </w:t>
      </w:r>
      <w:r>
        <w:rPr>
          <w:rFonts w:ascii="Times New Roman" w:cs="Times New Roman" w:eastAsia="Times New Roman" w:hAnsi="Times New Roman"/>
          <w:sz w:val="18"/>
          <w:szCs w:val="18"/>
          <w:b w:val="1"/>
          <w:bCs w:val="1"/>
          <w:i w:val="1"/>
          <w:iCs w:val="1"/>
          <w:color w:val="auto"/>
        </w:rPr>
        <w:t>Transaction Accounting Adjustments</w:t>
      </w:r>
    </w:p>
    <w:p>
      <w:pPr>
        <w:spacing w:after="0" w:line="1"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 This adjustment reflects the estimated incurrence of indebtedness of $</w:t>
      </w:r>
      <w:r>
        <w:rPr>
          <w:sz w:val="20"/>
          <w:szCs w:val="20"/>
          <w:color w:val="auto"/>
        </w:rPr>
        <w:tab/>
      </w:r>
      <w:r>
        <w:rPr>
          <w:rFonts w:ascii="Times New Roman" w:cs="Times New Roman" w:eastAsia="Times New Roman" w:hAnsi="Times New Roman"/>
          <w:sz w:val="18"/>
          <w:szCs w:val="18"/>
          <w:color w:val="auto"/>
        </w:rPr>
        <w:t>million that is expected to be issued in connection with the Distribution.</w:t>
      </w:r>
    </w:p>
    <w:p>
      <w:pPr>
        <w:spacing w:after="0" w:line="27" w:lineRule="exact"/>
        <w:rPr>
          <w:sz w:val="20"/>
          <w:szCs w:val="20"/>
          <w:color w:val="auto"/>
        </w:rPr>
      </w:pPr>
    </w:p>
    <w:p>
      <w:pPr>
        <w:spacing w:after="0"/>
        <w:tabs>
          <w:tab w:leader="none" w:pos="5760" w:val="left"/>
          <w:tab w:leader="none" w:pos="7020" w:val="left"/>
        </w:tabs>
        <w:rPr>
          <w:sz w:val="20"/>
          <w:szCs w:val="20"/>
          <w:color w:val="auto"/>
        </w:rPr>
      </w:pPr>
      <w:r>
        <w:rPr>
          <w:rFonts w:ascii="Times New Roman" w:cs="Times New Roman" w:eastAsia="Times New Roman" w:hAnsi="Times New Roman"/>
          <w:sz w:val="18"/>
          <w:szCs w:val="18"/>
          <w:color w:val="auto"/>
        </w:rPr>
        <w:t>This indebtedness is expected to have a maturity date range from</w:t>
      </w:r>
      <w:r>
        <w:rPr>
          <w:sz w:val="20"/>
          <w:szCs w:val="20"/>
          <w:color w:val="auto"/>
        </w:rPr>
        <w:tab/>
      </w:r>
      <w:r>
        <w:rPr>
          <w:rFonts w:ascii="Times New Roman" w:cs="Times New Roman" w:eastAsia="Times New Roman" w:hAnsi="Times New Roman"/>
          <w:sz w:val="18"/>
          <w:szCs w:val="18"/>
          <w:color w:val="auto"/>
        </w:rPr>
        <w:t>years to</w:t>
      </w:r>
      <w:r>
        <w:rPr>
          <w:sz w:val="20"/>
          <w:szCs w:val="20"/>
          <w:color w:val="auto"/>
        </w:rPr>
        <w:tab/>
      </w:r>
      <w:r>
        <w:rPr>
          <w:rFonts w:ascii="Times New Roman" w:cs="Times New Roman" w:eastAsia="Times New Roman" w:hAnsi="Times New Roman"/>
          <w:sz w:val="18"/>
          <w:szCs w:val="18"/>
          <w:color w:val="auto"/>
        </w:rPr>
        <w:t>years with an estimated weighted average interest rate of</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approximately</w:t>
      </w:r>
      <w:r>
        <w:rPr>
          <w:sz w:val="20"/>
          <w:szCs w:val="20"/>
          <w:color w:val="auto"/>
        </w:rPr>
        <w:tab/>
      </w:r>
      <w:r>
        <w:rPr>
          <w:rFonts w:ascii="Times New Roman" w:cs="Times New Roman" w:eastAsia="Times New Roman" w:hAnsi="Times New Roman"/>
          <w:sz w:val="18"/>
          <w:szCs w:val="18"/>
          <w:color w:val="auto"/>
        </w:rPr>
        <w:t>%. Total original issue discount and deferred debt issuance costs associated with such indebtedness are estimated at $</w:t>
      </w:r>
    </w:p>
    <w:p>
      <w:pPr>
        <w:spacing w:after="0" w:line="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million, which will be amortized to Interest expense over the terms of the respective instruments and are reflected as a reduction to Long-term debt. Proceeds from this debt issuance will primarily be used as partial consideration for the Octave Business that Hexagon is transferring in connection with the</w:t>
      </w:r>
    </w:p>
    <w:p>
      <w:pPr>
        <w:spacing w:after="0" w:line="1"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8"/>
          <w:szCs w:val="18"/>
          <w:color w:val="auto"/>
        </w:rPr>
        <w:t>Distribution ($</w:t>
      </w:r>
      <w:r>
        <w:rPr>
          <w:sz w:val="20"/>
          <w:szCs w:val="20"/>
          <w:color w:val="auto"/>
        </w:rPr>
        <w:tab/>
      </w:r>
      <w:r>
        <w:rPr>
          <w:rFonts w:ascii="Times New Roman" w:cs="Times New Roman" w:eastAsia="Times New Roman" w:hAnsi="Times New Roman"/>
          <w:sz w:val="18"/>
          <w:szCs w:val="18"/>
          <w:color w:val="auto"/>
        </w:rPr>
        <w:t>million) with the residual balance retained within Cash and cash equivalents.</w:t>
      </w:r>
    </w:p>
    <w:p>
      <w:pPr>
        <w:spacing w:after="0" w:line="153"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18"/>
          <w:szCs w:val="18"/>
          <w:color w:val="auto"/>
        </w:rPr>
        <w:t>Additionally, the Company expects to enter into a revolving credit facility with an aggregate committed amount of $</w:t>
      </w:r>
      <w:r>
        <w:rPr>
          <w:sz w:val="20"/>
          <w:szCs w:val="20"/>
          <w:color w:val="auto"/>
        </w:rPr>
        <w:tab/>
      </w:r>
      <w:r>
        <w:rPr>
          <w:rFonts w:ascii="Times New Roman" w:cs="Times New Roman" w:eastAsia="Times New Roman" w:hAnsi="Times New Roman"/>
          <w:sz w:val="17"/>
          <w:szCs w:val="17"/>
          <w:color w:val="auto"/>
        </w:rPr>
        <w:t>million. However, the facility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expected to be utilized at the completion of the Distribution. Total deferred debt issuance costs associated with such revolving credit facility are</w:t>
      </w:r>
    </w:p>
    <w:p>
      <w:pPr>
        <w:spacing w:after="0" w:line="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estimated at $ million, which will be amortized to Interest expense over the term of the revolving credit facility and are reflected within Other noncurrent assets.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capital structure remains under review and will be finalized, along with the terms of such indebtedness, prior to the Distribution. See “Capitalization” and “Management’s Discussion and Analysis of Financial Condition and Results of Operations Liquidity and Capital Resources” for additional details.</w:t>
      </w:r>
    </w:p>
    <w:p>
      <w:pPr>
        <w:sectPr>
          <w:pgSz w:w="11900" w:h="16838" w:orient="portrait"/>
          <w:cols w:equalWidth="0" w:num="1">
            <w:col w:w="11240"/>
          </w:cols>
          <w:pgMar w:left="320" w:top="1440" w:right="339" w:bottom="1440" w:gutter="0" w:footer="0" w:header="0"/>
        </w:sectPr>
      </w:pP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represents adjustments to Long-term debt:</w:t>
      </w: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debt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Original issue discount and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Total pro forma adjustment to Long-term debt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adjustments to Interest expense:</w:t>
      </w: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 on total indebtedness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Amortization of original issue discount and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Total pro forma adjustment to Interest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95"/>
        </w:trPr>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3"/>
        </w:trPr>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790"/>
        </w:trPr>
        <w:tc>
          <w:tcPr>
            <w:tcW w:w="14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6"/>
        </w:trPr>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4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31, 2024</w:t>
            </w:r>
          </w:p>
        </w:tc>
      </w:tr>
      <w:tr>
        <w:trPr>
          <w:trHeight w:val="234"/>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40" w:type="dxa"/>
            <w:vAlign w:val="bottom"/>
          </w:tcPr>
          <w:p>
            <w:pPr>
              <w:spacing w:after="0"/>
              <w:rPr>
                <w:sz w:val="19"/>
                <w:szCs w:val="19"/>
                <w:color w:val="auto"/>
              </w:rPr>
            </w:pPr>
          </w:p>
        </w:tc>
        <w:tc>
          <w:tcPr>
            <w:tcW w:w="15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00" w:space="720"/>
            <w:col w:w="3220"/>
          </w:cols>
          <w:pgMar w:left="320" w:top="144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interest rates of indebtedness may change from those estimated above. It is estimated that for every incremental 0.125 percent change (increase</w:t>
      </w:r>
    </w:p>
    <w:p>
      <w:pPr>
        <w:spacing w:after="0" w:line="27"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8"/>
          <w:szCs w:val="18"/>
          <w:color w:val="auto"/>
        </w:rPr>
        <w:t>or decrease) from those assumed in estimating pro forma Interest expense, pro forma Interest expense could change by approximately $</w:t>
      </w:r>
      <w:r>
        <w:rPr>
          <w:sz w:val="20"/>
          <w:szCs w:val="20"/>
          <w:color w:val="auto"/>
        </w:rPr>
        <w:tab/>
      </w:r>
      <w:r>
        <w:rPr>
          <w:rFonts w:ascii="Times New Roman" w:cs="Times New Roman" w:eastAsia="Times New Roman" w:hAnsi="Times New Roman"/>
          <w:sz w:val="18"/>
          <w:szCs w:val="18"/>
          <w:color w:val="auto"/>
        </w:rPr>
        <w:t>million and</w:t>
      </w:r>
    </w:p>
    <w:p>
      <w:pPr>
        <w:spacing w:after="0" w:line="9" w:lineRule="exact"/>
        <w:rPr>
          <w:sz w:val="20"/>
          <w:szCs w:val="20"/>
          <w:color w:val="auto"/>
        </w:rPr>
      </w:pPr>
    </w:p>
    <w:p>
      <w:pPr>
        <w:ind w:left="600" w:hanging="592"/>
        <w:spacing w:after="0"/>
        <w:tabs>
          <w:tab w:leader="none" w:pos="6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for the nine months ended September 30, 2025 and for the year ended December 31, 2024, respectively.</w:t>
      </w:r>
    </w:p>
    <w:p>
      <w:pPr>
        <w:spacing w:after="0" w:line="153" w:lineRule="exact"/>
        <w:rPr>
          <w:sz w:val="20"/>
          <w:szCs w:val="20"/>
          <w:color w:val="auto"/>
        </w:rPr>
      </w:pPr>
    </w:p>
    <w:p>
      <w:pPr>
        <w:jc w:val="both"/>
        <w:ind w:firstLine="8"/>
        <w:spacing w:after="0" w:line="261" w:lineRule="auto"/>
        <w:tabs>
          <w:tab w:leader="none" w:pos="26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impact of our assumption of defined benefit pension plan liabilities for certain Company employees in India. Historically, this defined benefit pension plan was sponsored by Hexagon and accounted for as a multi-employer plan in the Combined Financial Statements. As such, the Combined Financial Statements include the Company’s relevant portion of net periodic benefit costs within the Combined Statements of Operations, but exclude all liabilities of this defined benefit pension plan from the Combined Balance Sheets.</w:t>
      </w:r>
    </w:p>
    <w:p>
      <w:pPr>
        <w:spacing w:after="0" w:line="1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reclassification of Hexagon’s net investment in the Company, which was recorded in Net Parent investment, to Class A</w:t>
      </w:r>
    </w:p>
    <w:p>
      <w:pPr>
        <w:spacing w:after="0" w:line="27"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Ordinary Shares, Class B Ordinary Shares and Additional paid-in capital to reflect the assumed issuance of Class A Ordinary Shares and Class B Ordinary Shares, each with a par value of $0.01 per share, pursuant to the Distribution Agreement immediately prior to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40" w:right="339" w:bottom="1440" w:gutter="0" w:footer="0" w:header="0"/>
          <w:type w:val="continuous"/>
        </w:sectPr>
      </w:pPr>
    </w:p>
    <w:bookmarkStart w:id="89" w:name="page90"/>
    <w:bookmarkEnd w:id="89"/>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number of outstanding shares is based on the number of shares of Hexagon common stock outstanding on</w:t>
            </w:r>
          </w:p>
        </w:tc>
        <w:tc>
          <w:tcPr>
            <w:tcW w:w="2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 and a distribution ratio of</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Octave Shares stock for every</w:t>
            </w:r>
          </w:p>
        </w:tc>
        <w:tc>
          <w:tcPr>
            <w:tcW w:w="84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Hexagon Shares. The actual number of shares issued will not be known until the record date of the Distribution.</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additional paid-in capital adjustments are summarized below:</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95"/>
        </w:trPr>
        <w:tc>
          <w:tcPr>
            <w:tcW w:w="2440" w:type="dxa"/>
            <w:vAlign w:val="bottom"/>
            <w:vMerge w:val="continue"/>
          </w:tcPr>
          <w:p>
            <w:pPr>
              <w:spacing w:after="0"/>
              <w:rPr>
                <w:sz w:val="16"/>
                <w:szCs w:val="16"/>
                <w:color w:val="auto"/>
              </w:rPr>
            </w:pPr>
          </w:p>
        </w:tc>
        <w:tc>
          <w:tcPr>
            <w:tcW w:w="5960" w:type="dxa"/>
            <w:vAlign w:val="bottom"/>
          </w:tcPr>
          <w:p>
            <w:pPr>
              <w:spacing w:after="0"/>
              <w:rPr>
                <w:sz w:val="16"/>
                <w:szCs w:val="16"/>
                <w:color w:val="auto"/>
              </w:rPr>
            </w:pPr>
          </w:p>
        </w:tc>
        <w:tc>
          <w:tcPr>
            <w:tcW w:w="248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 to Hexagon</w:t>
            </w:r>
          </w:p>
        </w:tc>
        <w:tc>
          <w:tcPr>
            <w:tcW w:w="59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 plan liabilities transferred to Octave</w:t>
            </w:r>
          </w:p>
        </w:tc>
        <w:tc>
          <w:tcPr>
            <w:tcW w:w="1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issuance</w:t>
            </w:r>
          </w:p>
        </w:tc>
        <w:tc>
          <w:tcPr>
            <w:tcW w:w="59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5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59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 forma adjustment to additional paid-in capital</w:t>
            </w:r>
          </w:p>
        </w:tc>
        <w:tc>
          <w:tcPr>
            <w:tcW w:w="1280" w:type="dxa"/>
            <w:vAlign w:val="bottom"/>
          </w:tcPr>
          <w:p>
            <w:pPr>
              <w:spacing w:after="0"/>
              <w:rPr>
                <w:sz w:val="19"/>
                <w:szCs w:val="19"/>
                <w:color w:val="auto"/>
              </w:rPr>
            </w:pPr>
          </w:p>
        </w:tc>
        <w:tc>
          <w:tcPr>
            <w:tcW w:w="120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8"/>
        <w:spacing w:after="0" w:line="266" w:lineRule="auto"/>
        <w:tabs>
          <w:tab w:leader="none" w:pos="27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Services and Other revenue and related Cost of services and other generated by non-core revenue contracts within the Company’s U.S. federal government contracting subsidiary that will be retained by Hexagon following the Distribution, and which were historically included in the Company’s Combined Statements of Operations.</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25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compensation expense for employees that were historically shared between the Company and other Hexagon businesses and will be transferred to the Company from Hexagon, or from the Company to Hexagon, prior to the Distribution.</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2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current and deferred income tax impact of the transaction accounting adjustments noted above. This adjustment is primarily calculated by applying the statutory tax rates in the respective jurisdictions to each of the pre-tax transaction accounting adjustments.</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6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basic and diluted earnings per share and pro forma weighted-average basic common shares outstanding reflect the number of Octave Shares which are expected to be outstanding upon completion of the Distribution.</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Basic and diluted earnings per share are the same for Class A Ordinary Shares and Class B Ordinary Shares as both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except for voting rights. The actual dilutive effect following the completion of the Distribution will depend on various factors, including the impact of the Company’s equity-based compensation plans. The Company cannot reasonably estimate the dilutive effects at this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Autonomous Entity Adjustments</w:t>
      </w:r>
    </w:p>
    <w:p>
      <w:pPr>
        <w:spacing w:after="0" w:line="175" w:lineRule="exact"/>
        <w:rPr>
          <w:sz w:val="20"/>
          <w:szCs w:val="20"/>
          <w:color w:val="auto"/>
        </w:rPr>
      </w:pPr>
    </w:p>
    <w:p>
      <w:pPr>
        <w:jc w:val="both"/>
        <w:ind w:firstLine="8"/>
        <w:spacing w:after="0" w:line="266" w:lineRule="auto"/>
        <w:tabs>
          <w:tab w:leader="none" w:pos="26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effect of new lease arrangements with third parties that have been, or will be, entered into prior to the Distribution. This adjustment records the operating lease right-of-use assets and related operating lease liabilities based on the estimated present value of the lease payments over the lease term.</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Incremental operating lease expense is estimated to be $2.5 million and $3.4 million for the nine months ended September 30, 2025 and for the year ended December 31, 2024, respectively.</w:t>
      </w:r>
    </w:p>
    <w:p>
      <w:pPr>
        <w:spacing w:after="0" w:line="108" w:lineRule="exact"/>
        <w:rPr>
          <w:sz w:val="20"/>
          <w:szCs w:val="20"/>
          <w:color w:val="auto"/>
        </w:rPr>
      </w:pPr>
    </w:p>
    <w:p>
      <w:pPr>
        <w:ind w:firstLine="8"/>
        <w:spacing w:after="0" w:line="282" w:lineRule="auto"/>
        <w:tabs>
          <w:tab w:leader="none" w:pos="2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effect of new compensation agreements for new and existing executives and includes an increase in salary, bonus, and stock-based compensation.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Incremental operating expense related to salary and bonus is estimated to be $4.6 million and $6.1 million for the nine months ended September 30, 2025 and for the year ended December 31, 2024, respectively. Incremental operating expense related to stock-based compensation is estimated to be $</w:t>
      </w: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million and $</w:t>
      </w:r>
      <w:r>
        <w:rPr>
          <w:sz w:val="20"/>
          <w:szCs w:val="20"/>
          <w:color w:val="auto"/>
        </w:rPr>
        <w:tab/>
      </w:r>
      <w:r>
        <w:rPr>
          <w:rFonts w:ascii="Times New Roman" w:cs="Times New Roman" w:eastAsia="Times New Roman" w:hAnsi="Times New Roman"/>
          <w:sz w:val="17"/>
          <w:szCs w:val="17"/>
          <w:color w:val="auto"/>
        </w:rPr>
        <w:t>million for the nine months ended September 30, 2025 and for the year ended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40" w:lineRule="exact"/>
        <w:rPr>
          <w:sz w:val="20"/>
          <w:szCs w:val="20"/>
          <w:color w:val="auto"/>
        </w:rPr>
      </w:pPr>
    </w:p>
    <w:p>
      <w:pPr>
        <w:jc w:val="both"/>
        <w:ind w:firstLine="8"/>
        <w:spacing w:after="0" w:line="266" w:lineRule="auto"/>
        <w:tabs>
          <w:tab w:leader="none" w:pos="25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effects of Transition Service Agreements the Company intends to enter into with Hexagon in connection with the Distribution whereby Hexagon will continue to provide the Company, and the Company will continue to provide Hexagon, functional support (predominately information technology and other infrastructure support).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Incremental operating expense is estimated to be $0.4 million and $0.8 million for the nine months ended September 30, 2025 and for the year ended December 31, 2024, respectively. Incremental other income is estimated to be $3.0 million and $4.0 million for the nine months ended September 30, 2025 and for the year ended December 31, 2024, respectively.</w:t>
      </w:r>
    </w:p>
    <w:p>
      <w:pPr>
        <w:spacing w:after="0" w:line="122" w:lineRule="exact"/>
        <w:rPr>
          <w:sz w:val="20"/>
          <w:szCs w:val="20"/>
          <w:color w:val="auto"/>
        </w:rPr>
      </w:pPr>
    </w:p>
    <w:p>
      <w:pPr>
        <w:ind w:firstLine="8"/>
        <w:spacing w:after="0" w:line="282" w:lineRule="auto"/>
        <w:tabs>
          <w:tab w:leader="none" w:pos="27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current and deferred income tax impact of the autonomous entity adjustments noted above. This adjustment is primarily calculated by applying the statutory tax rates in the respective jurisdictions to each of the pre-tax autonomous entity adjustments.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 Adjustments</w:t>
      </w:r>
    </w:p>
    <w:p>
      <w:pPr>
        <w:spacing w:after="0" w:line="175" w:lineRule="exact"/>
        <w:rPr>
          <w:sz w:val="20"/>
          <w:szCs w:val="20"/>
          <w:color w:val="auto"/>
        </w:rPr>
      </w:pPr>
    </w:p>
    <w:p>
      <w:pPr>
        <w:ind w:firstLine="8"/>
        <w:spacing w:after="0" w:line="282" w:lineRule="auto"/>
        <w:tabs>
          <w:tab w:leader="none" w:pos="23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removal of the historical operating activities, as well as the loss on divestitures, related to the Company’s sale of certain non-core businesses during the nine months ended September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Adjustments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elected to present management adjustments to the Unaudited Pro Forma Condensed Combined Financial Statements and have included all adjustments necessary for a fair statement of such information.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Distribution, the Company expects to both (i) incur incremental costs (recurring and non-recurring) associated with the stand-up of functions to operate as a standalone public entity and (ii) realize cost savings associated with various headcount-focused restructuring plans and real-estate optimization plans implemented prior to the Distribution in an effort to better align its resources with its business strategy.</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standalone public entity, certain incremental costs are expected in addition to those described in the transaction accounting adjustments and autonomous entity adjustments noted above. This includes costs from:</w:t>
      </w:r>
    </w:p>
    <w:p>
      <w:pPr>
        <w:spacing w:after="0" w:line="108" w:lineRule="exact"/>
        <w:rPr>
          <w:sz w:val="20"/>
          <w:szCs w:val="20"/>
          <w:color w:val="auto"/>
        </w:rPr>
      </w:pPr>
    </w:p>
    <w:p>
      <w:pPr>
        <w:ind w:left="660" w:hanging="328"/>
        <w:spacing w:after="0" w:line="281"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items required to operate new and expanded functions as a standalone public entity, such as third-party vendor spend in finance, information technology, legal, and marketing as well as internal costs incurred related to increased stock-based compensation;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items associated with the Distribution (including third-party vendor spend in finance, information technology, legal and marketing) and related stand-up of functions to operate as a standalone public entity.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estimated incremental costs by assessing the resources and associated one-time costs required for each function to stand up and operate Octave as a standalone public entity. This assessment was performed consistently across all functions resulting in certain functions having incremental costs and others having lower costs than the relevant corporate allocations included in the Combined Financial Statements. Most one-time costs are expected to be incurred within a period of 12 months following the Distribution.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additional costs included in these management adjustments have been estimated based on assumptions management believes are reasonable. However, actual additional costs that will be incurred post Distribution could be different from the estimates and would depend on several factors, including the economic environment, results of contractual negotiations with third-party vendors, ability to execute on proposed separation plans, and strategic decisions made in areas such as information technology and infrastructure.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adverse effects and limitations including those discussed in the section of this information statement entitled “Risk Factors” may impact actual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 preparation for the spin-off, and in an effort to better align resources with business strategy, the Company initiated headcount-focused restructuring plans and real-estate optimization plans during the nine months ended September 30, 2025 (as referenced in Note 10 to the Condensed Combined Financial Statements). The headcount-focused restructuring plans, which focused on the services, research and development, and sales functions, and the real-estate optimization plans are expected to generate recurring cost savings following the Distribution.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decide to increase or decrease resources or invest more heavily in certain areas of the business in the future, which may result in a different cost structure than that which is estimated within these management adjustments.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constitute forward-looking information and are subject to certain risks and uncertainties that could cause actual results to differ materially from those anticipated. See “Cautionary Statement Concerning Forward-Looking Statements” for additional details.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3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Basic and diluted</w:t>
            </w:r>
          </w:p>
        </w:tc>
        <w:tc>
          <w:tcPr>
            <w:tcW w:w="0" w:type="dxa"/>
            <w:vAlign w:val="bottom"/>
          </w:tcPr>
          <w:p>
            <w:pPr>
              <w:spacing w:after="0"/>
              <w:rPr>
                <w:sz w:val="1"/>
                <w:szCs w:val="1"/>
                <w:color w:val="auto"/>
              </w:rPr>
            </w:pPr>
          </w:p>
        </w:tc>
      </w:tr>
      <w:tr>
        <w:trPr>
          <w:trHeight w:val="146"/>
        </w:trPr>
        <w:tc>
          <w:tcPr>
            <w:tcW w:w="1060" w:type="dxa"/>
            <w:vAlign w:val="bottom"/>
          </w:tcPr>
          <w:p>
            <w:pPr>
              <w:spacing w:after="0"/>
              <w:rPr>
                <w:sz w:val="12"/>
                <w:szCs w:val="12"/>
                <w:color w:val="auto"/>
              </w:rPr>
            </w:pP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Basic and diluted</w:t>
            </w:r>
          </w:p>
        </w:tc>
        <w:tc>
          <w:tcPr>
            <w:tcW w:w="136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780" w:type="dxa"/>
            <w:vAlign w:val="bottom"/>
            <w:vMerge w:val="continue"/>
          </w:tcPr>
          <w:p>
            <w:pPr>
              <w:spacing w:after="0"/>
              <w:rPr>
                <w:sz w:val="12"/>
                <w:szCs w:val="12"/>
                <w:color w:val="auto"/>
              </w:rPr>
            </w:pPr>
          </w:p>
        </w:tc>
        <w:tc>
          <w:tcPr>
            <w:tcW w:w="13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193"/>
        </w:trPr>
        <w:tc>
          <w:tcPr>
            <w:tcW w:w="1060" w:type="dxa"/>
            <w:vAlign w:val="bottom"/>
            <w:vMerge w:val="continue"/>
          </w:tcPr>
          <w:p>
            <w:pPr>
              <w:spacing w:after="0"/>
              <w:rPr>
                <w:sz w:val="16"/>
                <w:szCs w:val="16"/>
                <w:color w:val="auto"/>
              </w:rPr>
            </w:pPr>
          </w:p>
        </w:tc>
        <w:tc>
          <w:tcPr>
            <w:tcW w:w="17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13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080" w:space="720"/>
            <w:col w:w="44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161,008</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adjustments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Synergies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Non-personnel costs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Dis-synergies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Non-personnel costs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management adjustments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after management adjustments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176,691</w:t>
            </w:r>
          </w:p>
        </w:tc>
        <w:tc>
          <w:tcPr>
            <w:tcW w:w="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Basic and diluted</w:t>
            </w:r>
          </w:p>
        </w:tc>
        <w:tc>
          <w:tcPr>
            <w:tcW w:w="0" w:type="dxa"/>
            <w:vAlign w:val="bottom"/>
          </w:tcPr>
          <w:p>
            <w:pPr>
              <w:spacing w:after="0"/>
              <w:rPr>
                <w:sz w:val="1"/>
                <w:szCs w:val="1"/>
                <w:color w:val="auto"/>
              </w:rPr>
            </w:pPr>
          </w:p>
        </w:tc>
      </w:tr>
      <w:tr>
        <w:trPr>
          <w:trHeight w:val="137"/>
        </w:trPr>
        <w:tc>
          <w:tcPr>
            <w:tcW w:w="6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0"/>
        </w:trPr>
        <w:tc>
          <w:tcPr>
            <w:tcW w:w="636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60" w:type="dxa"/>
            <w:vAlign w:val="bottom"/>
          </w:tcPr>
          <w:p>
            <w:pPr>
              <w:spacing w:after="0"/>
              <w:rPr>
                <w:sz w:val="13"/>
                <w:szCs w:val="13"/>
                <w:color w:val="auto"/>
              </w:rPr>
            </w:pPr>
          </w:p>
        </w:tc>
        <w:tc>
          <w:tcPr>
            <w:tcW w:w="1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6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Basic and diluted</w:t>
            </w:r>
          </w:p>
        </w:tc>
        <w:tc>
          <w:tcPr>
            <w:tcW w:w="1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196"/>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294,646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adjustments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Synergies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40,434</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Non-personnel costs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Dis-synergies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Non-personnel costs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management adjustments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after management adjustments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305,185</w:t>
            </w:r>
          </w:p>
        </w:tc>
        <w:tc>
          <w:tcPr>
            <w:tcW w:w="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40" w:right="339" w:bottom="1440" w:gutter="0" w:footer="0" w:header="0"/>
          <w:type w:val="continuous"/>
        </w:sectPr>
      </w:pPr>
    </w:p>
    <w:bookmarkStart w:id="92" w:name="page93"/>
    <w:bookmarkEnd w:id="9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OF OCTAVE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will acquire certain corporate infrastructure and other assets and liabilities described in this information statement through a series of restructuring transactions to be effected by Hexagon prior to the Distribution. Where we describe historical business activities of the Octave Business in this information statement, we do so as if these restructuring transactions had already occurred and Hexagon’s activities related to such assets and liabilities had been performed by Octave.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Statement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provides software that helps organizations better understand and manage the environments in which they design, build, operate, and protect their assets, people, and critical infrastructure. Our platform delivers context-aware intelligence that strengthens decision-making, reduces risk, and improves the quality, performance, and safety of the operations our customers depend 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 capabilities within the platform are embedded in the operational workflows rather than used solely for reports or analysis. These capabilities help identify likely equipment failures, detect anomalies across the design-to-build-to-operate lifecycle, highlight conditions that may require attention, and support teams in prioritizing preventive actions based on identified risk and performance patterns. As we continue to develop and acquire new capabilities, we seek to integrate and connect these capabilities to enhance the aggregate value of our platform for our customers.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organizations face increasing operational complexity, rising data volumes, and tighter performance requirements, demand continues to grow for software that can provide context-aware intelligence and support more informed, timely decision-making. Our commitment to customer success is reflected in our strong retention rates. As of December 31, 2024, our GRR was 97%, and GRR for Large Customers (i.e., a parent entity or government department that has ARR (as defined below) of $500,000 or more as of the end of the current period) was 99%, demonstrating the mission-critical nature of our software and the high degree of loyalty within our customer base. For more information on GRR, see “Management's Discussion and Analysis of Financial Condition and Results of Operations—Key Business Metrics—Gross Retention Rate”. We serve diverse markets, including power generation and utilities, data centers, heavy construction, process industries, public safety, transportation networks, and other environments where reliability, safety, and coordinated operations are essential.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Platform Environments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Octave’s software platform supports collaboration, improves continuity, and helps organizations reduce risk and strengthen the reliability of their systems across the following four core workflow environments:</w:t>
      </w:r>
    </w:p>
    <w:p>
      <w:pPr>
        <w:spacing w:after="0" w:line="104" w:lineRule="exact"/>
        <w:rPr>
          <w:sz w:val="20"/>
          <w:szCs w:val="20"/>
          <w:color w:val="auto"/>
        </w:rPr>
      </w:pPr>
    </w:p>
    <w:p>
      <w:pPr>
        <w:ind w:left="660" w:hanging="328"/>
        <w:spacing w:after="0" w:line="286"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Design</w:t>
      </w:r>
      <w:r>
        <w:rPr>
          <w:rFonts w:ascii="Times New Roman" w:cs="Times New Roman" w:eastAsia="Times New Roman" w:hAnsi="Times New Roman"/>
          <w:sz w:val="18"/>
          <w:szCs w:val="18"/>
          <w:color w:val="auto"/>
        </w:rPr>
        <w:t>: Supports 3D modeling, engineering analysis, simulation, and geospatial intelligence. This helps teams create information-rich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that serve as the basis for downstream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6" w:lineRule="exact"/>
        <w:rPr>
          <w:sz w:val="20"/>
          <w:szCs w:val="20"/>
          <w:color w:val="auto"/>
        </w:rPr>
      </w:pPr>
    </w:p>
    <w:p>
      <w:pPr>
        <w:ind w:left="660" w:hanging="328"/>
        <w:spacing w:after="0" w:line="286"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Build</w:t>
      </w:r>
      <w:r>
        <w:rPr>
          <w:rFonts w:ascii="Times New Roman" w:cs="Times New Roman" w:eastAsia="Times New Roman" w:hAnsi="Times New Roman"/>
          <w:sz w:val="18"/>
          <w:szCs w:val="18"/>
          <w:color w:val="auto"/>
        </w:rPr>
        <w:t>: Connects engineering, procurement, fabrication, construction, and commissioning workflows. This helps teams coordinate materials, track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progress, manage changes, and improve cost and schedule predictability.</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Operate</w:t>
      </w:r>
      <w:r>
        <w:rPr>
          <w:rFonts w:ascii="Times New Roman" w:cs="Times New Roman" w:eastAsia="Times New Roman" w:hAnsi="Times New Roman"/>
          <w:sz w:val="18"/>
          <w:szCs w:val="18"/>
          <w:color w:val="auto"/>
        </w:rPr>
        <w:t>: Unifies operational data, historical information, maintenance activities, quality systems, and worker tools. This enables real-time insight,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predictive intelligence, operational technology cyber security, and improved asset and system performance.</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Protect</w:t>
      </w:r>
      <w:r>
        <w:rPr>
          <w:rFonts w:ascii="Times New Roman" w:cs="Times New Roman" w:eastAsia="Times New Roman" w:hAnsi="Times New Roman"/>
          <w:sz w:val="18"/>
          <w:szCs w:val="18"/>
          <w:color w:val="auto"/>
        </w:rPr>
        <w:t>: Supports public safety and physical security workflows. This includes incident response, emergency management, situational awareness,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security, and regulatory compliance.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Markets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Organizations across the markets we serve are operating under increasing complexity. Several durable trends are driving demand for software that helps unify and contextualize information, enhance decision-making, and improve the performance and reliability of critical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AI Is Accelerating Data Proliferation and Infrastructure Modernization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adoption of AI across industries continues to generate large volumes of new data and increase the need for modern, scalable digital infrastructure. As organizations embed AI into more of their workflows, they require software that can unify data silos, standardize inputs, and support automated analysis. According to a McKinsey report, approximately 71% of firms are already using generative AI in at least one function. Organizations that prioritize end-to-end data transformation and modernize their technology foundations will be better positioned to take advantage of these capabilities.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Rising Global Energy Demand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energy consumption is increasing as industrial activity grows and as digital infrastructure, including data centers that support AI workloads, expands. Many of our customers operate in energy-intensive sectors such as oil and gas, power generation, nuclear, petrochemical processing, and electric grid operations. These environments depend on software that helps maintain safe, reliable, and efficient operations as demand for energy continues to rise.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Pent-Up Demand for Infrastructure Investment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Physical infrastructure is aging across several regions, and investment cycles have not kept pace with societal and economic needs. As infrastructure becomes a limiting factor for growth, including the expansion of data centers, utilities, and other large-scale facilities, organizations are seeking digital tools that help plan, build, operate, and maintain assets more effectively. Software that supports connected workflows and better operational insight is critical.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Early-Stage Digital Transformation Across Industrial and Public Sectors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industries are still in the early stages of adopting modern, connected software for design, construction, operation, and public safety workflows. As organizations replace legacy tools and modernize how work is performed, they require platforms that can integrate and contextualize data from different sources and support more consistent, coordinated processes. This shift continues to drive demand for cloud, hybrid, and data-driven solutions.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Growth in Data-Driven Decision-Making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volume of operational, sensor, engineering, and field data continues to increase, while workforce demographics are shifting. Experienced workers are retiring, and newer workers expect digital tools that help guide decision-making. Organizations are investing in solutions that make information more accessible, help teams recognize patterns, and support earlier and predictive action in complex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Increasing Regulatory and Compliance Requirements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Across industries, regulatory expectations related to safety, quality, environmental performance, and reporting continue to evolve. Organizations require software that helps maintain accurate records, demonstrate compliance, and respond to audits or inspections. This creates demand for systems that provide traceability, consistent workflows, and the ability to manage compliance-related information throughout the lifecycle of a project or asset.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market research and an assessment of various third party sources, including Gartner, IDC and Oxford Economics, we estimate that the total addressable market (“TAM”) for broader industrial and infrastructure asset lifecycle software at approximately $55 billion in 2025 and our serviceable addressable market (“SAM”) at approximately $28 billion in 2025. This SAM reflects our core solutions and primary end-markets and excludes adjacent software offerings and non-core industries. We expect this SAM to grow at a compound annual growth rate of approximately 10% to over $40 billion by 2029. For more information, see “Risk Factors—The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growth drivers include:</w:t>
      </w:r>
    </w:p>
    <w:p>
      <w:pPr>
        <w:spacing w:after="0" w:line="175"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complexity and stricter regulations in process and manufacturing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digital twins, predictive maintenance, and quality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and sustainability requirements in construction and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Modernization of emergency management and public safety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adoption of geospatial intelligence and real-time operational analytics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Octave is positioned to capture this opportunity through our end-to-end coverage, AI-driven automation, data-centric digital twins, and flexible deployment options.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 and Software Platform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provides software that empowers organizations to understand, manage, and improve the workflows they depend on. Our solutions are organized around four workflow environments across design, build, operate, and protect, and share a common platform that ensures continuity, context, and intelligence.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Environment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design environment is where the digital foundation of a system begins. Octave helps engineers, designers, and planners create accurate, information-rich representations of assets, layouts, processes, and geospatial contexts. Our software supports 2D and 3D modeling, engineering analysis, digital simulation, geospatial intelligence, and governance standards to help teams validate design decisions before they become costly to change.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rule-based 3D modeling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stress, structural, and performance analysis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Geospatial visualization and spatial analytics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Metadata extraction and contextualization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management and version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establishing a trusted digital baseline, the design environment provides the continuity needed for safe, accurate construction and reliable operations throughout the asset lifecycle. It also establishes the basis for the digital twin.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 Environment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build environment connects engineering, procurement, fabrication, construction, and commissioning activities. Octave helps project teams understand design intent, track changes, coordinate materials, and see the status of work as conditions shift. By bringing planning, field execution, supply chain data, and progress information into one environment, teams can detect deviations earlier, reduce rework, and improve schedule and cost predictability.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build environment also helps field teams capture accurate information about materials, inspections, and work completed, ensuring that changes made during construction are recorded and reflected in the digital representation of the system.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field tools for real-time work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supply chain coordination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performance management connecting planning and execution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and deviation tracking</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build environment enables a more reliable handover to operations by capturing information generated during construction, ensuring that what is delivered reflects what was designed.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Operate Environment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operate environment unifies operational signals, engineering context, historical records, and maintenance workflows so organizations can understand system behavior in real time and over time. Octave helps operators, technicians, and maintenance teams monitor equipment, processes, and assets; manage alarms and events; support shift handovers; optimize maintenance strategies; and identify emerging risks through predictive intelligence.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Connected worker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quality monitoring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and reliability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Predictive analytics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access to asset information</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combining operational data with design and build context, the operate environment helps organizations reduce downtime, improve product quality, maintain compliance, and enhance safety.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 Environment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protect environment enables organizations to detect, understand, and respond to threats across physical, digital, and operational domains. Octave supports public safety agencies, security operations centers, emergency response organizations, and critical infrastructure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Computer-aided dispatch and records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physical and digital security insights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detection and situational awareness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 governance for regulated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Multi-agency coordination</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unifying information across detection, assessment, command, and response, the protect environment helps organizations manage risk and maintain operational continuity.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Industries and Environments We Serve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Organizations use Octave across:</w:t>
      </w:r>
    </w:p>
    <w:p>
      <w:pPr>
        <w:spacing w:after="0" w:line="171"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and utilities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centers and IT infrastructure operators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construction and public works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process industries (e.g. oil &amp; gas processing, chemicals &amp; petrochemicals)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safety and emergency response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networks and logistics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 Process Industries (e.g. pharmaceuticals &amp; life sciences, pulp &amp; paper manufacturing, food &amp; beverage manufacturing)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manufacturing (e.g. automotive, aerospace &amp; defense, electronics)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Octave differentiates itself through: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End-to-End Coverage Across All Workflow Environments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software that supports the full arc of designing, constructing, operating, and securing complex work environments. This continuity helps organizations maintain consistent information across different teams and phases of workflows, improving coordination and reducing the risk of errors, delays, or rework. By supporting the complete lifecycle, the platform naturally expands with customer needs and becomes integrated into long-term operational workflows.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Real-Time Data and Dynamic Digital Models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platform helps organizations work with live, data-driven models that incorporate real-time information and historical context. These capabilities support better situational awareness, help teams evaluate alternative actions, and provide insight into likely outcomes, allowing organizations to shift from reactive responses to more proactive and resilient operations.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Octave’s digital twins function as dynamic operational decision environments rather than static visual representations. They integrate real-time data, engineering context, historical information, and predictive intelligence to help teams understand what is happening, what may happen next, and how different actions may affect outcomes.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40" w:right="339" w:bottom="1440" w:gutter="0" w:footer="0" w:header="0"/>
          <w:type w:val="continuous"/>
        </w:sectPr>
      </w:pPr>
    </w:p>
    <w:bookmarkStart w:id="97" w:name="page98"/>
    <w:bookmarkEnd w:id="97"/>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embedding these models into daily workflows, from design and construction through operations and maintenance, customers can move from reactive work to more proactive, informed decision-making.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AI-Driven Automation and Context-Aware Intelligence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AI and advanced analytics to help teams detect patterns, understand relationships between data points, and identify emerging issues earlier. These capabilities can reduce manual effort, improve consistency and help teams make faster, more informed decisions in industries where timing and accuracy are critical.</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Octave’s platform is designed to use AI to support operational decision-making rather than function as a standalone analytical tool. The platform contextualizes signals from sensors, logs, maintenance history, engineering models, and field data to help teams recognize conditions that may require attention. These capabilities support activities such as identifying likely points of equipment stress, detecting anomalies across handoffs from design to construction to operations, and assisting teams in determining appropriate next actions during field work, maintenance, or emergency response. By providing this level of operational context, Octave’s platform helps reduce distraction, improve prioritization, and strengthen reliability in mission-critical environments.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our AI-powered solutions, our products use a variety of customized open-source models, proprietary models, and third party models built into our platform. We contract these third party providers on commercial terms that are in line with market practice. We also contract with multiple, large US-based public cloud providers to supply the computing power for our products utilizing AI, noting that depending on the product or configuration, our customers may be supplying all or a portion of the computing power used by our software. To validate and improve the AI models included in our products and limit algorithmic hallucinations resulting from our use of AI, we take steps to maintain quality control of the software, including evaluating output against real data prior to deployment and as part of regular testing and model refinement and improvement. We also implement solutions to appropriately structure the data used as model inputs in order to improve the effectiveness of our solutions, reduce the likelihood of algorithmic errors, and engage with customers to educate them on how best to utilize our solutions that utilize AI. Further, use of our solutions by customers, who are often subject matter experts in their respective fields, often involve human review and intervention opportunities to detect potential inaccuracy and improve the models.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Seamless Integration and Configurability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support integration with a wide range of enterprise systems through open interfaces and object-level connectivity. This helps customers unify information that has traditionally been stored across separate tools and formats. Our configurable workflows allow organizations to adapt the platform to their processes while reducing implementation time and administrative overhead.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Deep Industry and Domain Expertise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software reflects decades of experience across industrial operations, public safety, engineering, construction, and infrastructure management. Our expertise enables us to deliver capabilities aligned with real-world workflows, regulatory requirements, and the operational demands of mission-critical environments. We are a trusted partner to organizations that manage physical assets, people, and critical infrastructure. Our deep domain expertise is essential to ensuring operational success in environments where complexity is high and the cost of failure is significant.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Governance, Auditability, and Compliance Support</w:t>
      </w:r>
    </w:p>
    <w:p>
      <w:pPr>
        <w:spacing w:after="0" w:line="17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Given our role supporting mission-critical environments, our platform incorporates defined security, privacy, and data governance practices designed to protect customer information, support regulatory compliance, and maintain system reliability. Our solutions are designed to accommodate customer security policies, local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residency regulations, and highly regulated operating environments. We provide capabilities that help organizations maintain accurate records, track changes across systems, and support regulatory and audit needs. These features help customers establish consistent processes, reduce operational risk, and manage compliance requirements, which is particularly critical in highly regulated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Flexible Deployment Options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can deploy our software through cloud, hybrid, or on-premises configurations. This flexibility allows organizations to align the platform with their operational, regulatory, and security requirements while maintaining visibility and control over their systems.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Lower Total Cost of Ownership Through Unified Workflows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reducing the need for software solutions from multiple providers, Octave enables configurable workflows and streamlined integrations to help organizations reduce implementation effort and ongoing maintenance costs. In addition, our subscription and license models give customers flexibility to scale usage as their needs evolve, further enabling efficient asset ownership and operation.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Organizations across the industries we serve use our software to support the environments in which they design, build, operate, and protect their assets. Our customers span industries including power generation and utilities, data centers, heavy construction, process industries, public safety, transportation networks, and other environments that depend on clear information, coordinated workflows, and reliable operations.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served approximately 4,381 customers in over 140 countries, including approximately 384 customers with annual recurring revenue of $500,000 or more. In 2024, we served over 60% of Global Fortune 500 companies, and no single customer represented more than 2% of total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go-to-market strategy combines direct and indirect channels to serve a broad mix of enterprise, government, and mid-market customers. Our direct sales teams focus on large organizations with complex operational, regulatory, or security requirements. These teams work closely with customers to understand their environments, support multi-stakeholder buying processes, and expand platform usage over time.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indirect channels of more than 1,500 resellers, referral partners, and technology alliances extend our reach to additional industries, geographies, and fragmented customer groups. These partners provide localized expertise, complementary services, and support for customers with regional or specialized needs.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 success, professional services, and managed services teams help customers implement our software, integrate it with existing systems, and adopt new capabilities. These teams support the full customer lifecycle and help drive subscription growth by expanding usage across the workflow environments where customers design, build, operate, and protect their assets, people, and critical infrastructure.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growth strategy focuses on expanding adoption of our platform, increasing usage within existing customers, and continuing to advance the capabilities of our software across the environments where organizations design, build, operate, and protect their assets, people, and critical infrastructure.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Acquire New Customers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see significant opportunity to reach new customers that are modernizing operational systems. These organizations increasingly seek software that provides clearer context, improves coordination, and mitigates risk across complex environments.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Expand Within Existing Customers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Octave customers begin by using our software in a single environment. As their workflows become more connected, customers often expand adoption into adjacent environments and increase usage. This creates opportunities for both up-sell and cross-sell as additional workflows and capabilities are added over time. Because the assets and infrastructure we support typically operate for decades, our software becomes embedded in daily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operations, supporting long-term recurring relationships with opportunities for renewal and expansion. This land-and-expand model often leads to broader usage over time and contributes to durable, multi-year revenue streams.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Grow Subscription and SaaS 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accelerating our transition to a recurring revenue model by expanding subscription and SaaS offerings, including cloud-native capabilities that enable faster deployment, continuous updates, and more predictable customer engagement. This shift not only increases the proportion of recurring revenue but also creates opportunities for pricing optimization and value-based packaging, which we believe will expand our overall revenue opportunity as customers adopt higher-value solutions.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Advance Platform Capabilities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in AI-driven insights, predictive modeling, dynamic digital models, and enhanced integration across design, build, operate, and protect environments. These capabilities strengthen our platform, and also enable us to deliver higher-value solutions that support premium pricing, expand cross-sell opportunities, and increase customer lifetime value as organizations seek advanced tools to optimize performance and mitigate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Strengthen Partnerships and Integrations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expanding our ecosystem of technology alliances, including public cloud marketplaces, systems integrators, resellers, VARs, and technology partners, as well as deepening integrations with complementary systems. These partnerships help customers connect Octave with existing enterprise tools and accelerate time-to-value, and create opportunities for incremental revenue through joint solutions, co-selling, and expanded distribution channels.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Scale Global Reach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expanding our presence in regions with strong investment in infrastructure, manufacturing, and public safety, including Europe, the Middle East, India, Africa (EMIA), Asia-Pacific, and Latin America. Localized offerings and regional partners help us grow in markets with diverse operational and regulatory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Pursue Selective Acquisitions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pursue disciplined acquisitions that enhance our platform, add complementary capabilities, or expand our reach into new markets. These opportunities enable us to accelerate innovation and address additional customer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markets in which we operate are competitive and include established public companies, privately held vendors, regional specialists, and internally developed systems created by customers. Competitors vary by work environment and typically offer solutions that overlap only with certain portions of our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Design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design and engineering, we compete with providers of CAD, 3D modeling, engineering analysis, and geospatial tools, including:</w:t>
      </w:r>
    </w:p>
    <w:p>
      <w:pPr>
        <w:spacing w:after="0" w:line="171" w:lineRule="exact"/>
        <w:rPr>
          <w:sz w:val="20"/>
          <w:szCs w:val="20"/>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Autodesk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AVEVA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Build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construction, supply chain, project planning, and commissioning workflows, competitors include:</w:t>
      </w:r>
    </w:p>
    <w:p>
      <w:pPr>
        <w:spacing w:after="0" w:line="171"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Autodesk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AVEVA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Procore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Operate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asset management, operations management, quality systems, and maintenance workflows, competitors include:</w:t>
      </w:r>
    </w:p>
    <w:p>
      <w:pPr>
        <w:spacing w:after="0" w:line="171"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AVEVA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IBM Maximo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Protect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public safety, computer-aided dispatch, records management, and physical security, competitors include:</w:t>
      </w:r>
    </w:p>
    <w:p>
      <w:pPr>
        <w:spacing w:after="0" w:line="171"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CentralSquare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Motorola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Tyler Technologies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Competitive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Across our markets, customers evaluate software platforms based on:</w:t>
      </w:r>
    </w:p>
    <w:p>
      <w:pPr>
        <w:spacing w:after="0" w:line="171" w:lineRule="exact"/>
        <w:rPr>
          <w:sz w:val="20"/>
          <w:szCs w:val="20"/>
          <w:color w:val="auto"/>
        </w:rPr>
      </w:pPr>
    </w:p>
    <w:p>
      <w:pPr>
        <w:ind w:left="660" w:hanging="328"/>
        <w:spacing w:after="0"/>
        <w:tabs>
          <w:tab w:leader="none" w:pos="66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Breadth and depth of product functionality, including support for multi-domain and cross-functional workflows</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Interoperability and integration with enterprise systems and third-party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performance, and reliability in mission-critical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expertise and alignment with industry-specific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flexibility, including cloud, on-premises, and hybrid models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 and responsiveness to emerging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implementation speed, and time-to-value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trust, and demonstrated customer outcomes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 licensing flexibility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go-to-market strategy, including channel partnerships and customer success capabilities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139"/>
          </w:cols>
          <w:pgMar w:left="320" w:top="1440" w:right="1440" w:bottom="1440" w:gutter="0" w:footer="0" w:header="0"/>
          <w:type w:val="continuous"/>
        </w:sectPr>
      </w:pPr>
    </w:p>
    <w:bookmarkStart w:id="101" w:name="page102"/>
    <w:bookmarkEnd w:id="10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Positioning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ability to deliver contextual intelligence across design, build, operate, and protect environments, combined with integration capabilities, deployment flexibility, and deep domain expertise, positions us competitively. However, our markets are dynamic and continue to evolve as technology advances and customer needs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a single business segment developing enterprise software used in design, construction, operations, and security.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Models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offerings include:</w:t>
      </w:r>
    </w:p>
    <w:p>
      <w:pPr>
        <w:spacing w:after="0" w:line="171" w:lineRule="exact"/>
        <w:rPr>
          <w:sz w:val="20"/>
          <w:szCs w:val="20"/>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licenses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SaaS-based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Perpetual licenses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increase the proportion of recurring revenue through expanded subscription and SaaS offerings.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Octave is currently an Irish incorporated private limited company, but will be re-registered as a public limited company prior to the Distribution. Octave was established as a shelf company on July 5, 2017 as a private company limited by shares and was recently de-shelved and re-named to hold the assets and liabilities collectively comprising (i) Hexagon’s ALI business, which focuses on producing insights across the asset lifecycle to design, construct and operate more profitable, safe and sustainable industrial facilities; (ii) Hexagon’s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w:t>
      </w:r>
    </w:p>
    <w:p>
      <w:pPr>
        <w:spacing w:after="0" w:line="5" w:lineRule="exact"/>
        <w:rPr>
          <w:sz w:val="20"/>
          <w:szCs w:val="20"/>
          <w:color w:val="auto"/>
        </w:rPr>
      </w:pPr>
    </w:p>
    <w:p>
      <w:pPr>
        <w:ind w:right="20" w:firstLine="8"/>
        <w:spacing w:after="0" w:line="260" w:lineRule="auto"/>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Hexagon’s Bricsys business unit, which focuses on developing computer-aided design software for complex 3D modeling, engineering analysis and construction solutions in connection with the Distribution described in this information statement.</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24, 2025, Hexagon acquired all outstanding ordinary shares of Octave from nominees of a corporate service provider. Octave has not engaged in any business operations to date and at September 30, 2025 it had no assets or liabilities other than those incidental to its formation.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Distribution, we intend to alter the legal status of Octave under Irish law to that of a public limited company by re-registering it as a public limited company and changing its name to Octave Intelligence plc. Prior to the Distribution, the Octave Business has been held and conducted by Hexagon.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contribution of the Octave Business by Hexagon to Octave is expected to occur over a period of time prior to the Distribution, and Octave will have limited operations prior to such contribution. At the time of the Distribution, the address of Octave’s principal executive offices will be 305 Intergraph Way, Madison, Alabama 35758, United States. Octave’s telephone number will be (256) 730-2000. Octave maintains a website at www.octave.com.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found on, or accessible through, Octave’s website is not incorporated into, and does not form a part of,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7,200 employees in over 45 countries. We have approximately 2,200 employees in the United States and approximately 1,800 employees in India, our next largest geography.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human capital strategy prioritizes talent acquisition, retention, learning and development, and amplifying the voice of the employee to foster a positive and respectful workplace culture. We continuously track the success of our people strategy through well-defined key performance indicators, ensuring alignment with our organizational goals and employee needs.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Attracting &amp; Retaining Talent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aim to attract, develop, and retain top talent through the following focus areas:</w:t>
      </w:r>
    </w:p>
    <w:p>
      <w:pPr>
        <w:spacing w:after="0" w:line="169" w:lineRule="exact"/>
        <w:rPr>
          <w:sz w:val="20"/>
          <w:szCs w:val="20"/>
          <w:color w:val="auto"/>
        </w:rPr>
      </w:pPr>
    </w:p>
    <w:p>
      <w:pPr>
        <w:jc w:val="both"/>
        <w:ind w:left="660" w:hanging="328"/>
        <w:spacing w:after="0" w:line="267"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Encouraging Flexibility</w:t>
      </w:r>
      <w:r>
        <w:rPr>
          <w:rFonts w:ascii="Times New Roman" w:cs="Times New Roman" w:eastAsia="Times New Roman" w:hAnsi="Times New Roman"/>
          <w:sz w:val="18"/>
          <w:szCs w:val="18"/>
          <w:color w:val="auto"/>
        </w:rPr>
        <w:t>: Our flexible policy enables hybrid and remote work tailored by geography and business needs. We support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well-being through a comprehensive set of global and regional benefits, including parental leave, study support, and flexible working arrangements.</w:t>
      </w:r>
    </w:p>
    <w:p>
      <w:pPr>
        <w:spacing w:after="0" w:line="11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Promoting Inclusivity</w:t>
      </w:r>
      <w:r>
        <w:rPr>
          <w:rFonts w:ascii="Times New Roman" w:cs="Times New Roman" w:eastAsia="Times New Roman" w:hAnsi="Times New Roman"/>
          <w:sz w:val="18"/>
          <w:szCs w:val="18"/>
          <w:color w:val="auto"/>
        </w:rPr>
        <w:t>: Our leaders are expected to foster psychological safety, encourage diverse perspectives, and model inclusive and respectful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behaviors in daily decision-making.</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Targeting competitive compensation</w:t>
      </w:r>
      <w:r>
        <w:rPr>
          <w:rFonts w:ascii="Times New Roman" w:cs="Times New Roman" w:eastAsia="Times New Roman" w:hAnsi="Times New Roman"/>
          <w:sz w:val="18"/>
          <w:szCs w:val="18"/>
          <w:color w:val="auto"/>
        </w:rPr>
        <w:t>: To continue our talent-based competitive advantage, we aim to ensure that our employees are appropriately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remunerated and rewarded. Employee salaries are reviewed annually. To support our policy of paying competitive market salaries, each employee is benchmarked according to their specific role, years of experience, as well as performance, market, and responsibilities.</w:t>
      </w:r>
    </w:p>
    <w:p>
      <w:pPr>
        <w:spacing w:after="0" w:line="11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learning and development</w:t>
      </w:r>
      <w:r>
        <w:rPr>
          <w:rFonts w:ascii="Times New Roman" w:cs="Times New Roman" w:eastAsia="Times New Roman" w:hAnsi="Times New Roman"/>
          <w:sz w:val="18"/>
          <w:szCs w:val="18"/>
          <w:color w:val="auto"/>
        </w:rPr>
        <w:t>: We continue to invest in training and development opportunities and systems to enable our people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growing and progressing in their career aspirations.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Intellectual Property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support our research and development efforts, Octave maintains significant development engineering centers in the United States, India, Switzerland, the United Kingdom, Germany and Israel to develop our software platform and provide customers with localized support. Octave has intellectual property holdings in several jurisdictions, with major holdings being in the United States, Belgium, Switzerland, and Germany.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Distribution, Octave will be responsible for its own research and development efforts. Octave employees who have been engaged in research and development attributable to Octave will generally become employees of Octave. We anticipate employing approximately 2,300 research and development personnel around the world, including data scientists, developers and engineers. Our total research and development expenses were approximately $157.4 million, $145.8 million and $121.6 million for fiscal 2024, 2023 and 2022, respectively. We intend to continue to invest in our portfolio of software solutions and allocate capital and resources to our growth opportunities.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as part of the Distribution, Octave will take possession of over 450 patents and patent applications currently held by Hexagon. More than 300 of these patents have been granted, while approximately 150 of these patent applications remain in the pending or published stages. The patent portfolio includes holdings in the US, Europe (as European patents), China, Japan, Korea, Australia, and Canada, with the majority of patents and patent filings in the United States and European Union. The portfolio is predominantly focused on technologies in software and computer-implemented arts, particularly within the fields of public safety and emergency dispatch systems, geospatial and mapping technologies, user interface, user experience and data visualization, and database and document management systems. The age of the portfolio is balanced with an estimated average remaining life of 12 years (expiring 2037) across the portfolio. While no individual patent or group of patents, taken alone, is considered material to our business, in the aggregate, these patents and rights provide meaningful protection for our products, technologies, and technical innovations.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providing software for asset-intensive industries and public sector clients. These regulations include, among others, laws and regulations governing privacy and data protection, data storage, retention and security, taxation, intellectual property, and, more recently, the use of AI. Given our international operations and the capabilities of certain software suites, we are also subject to certain U.S. and international laws and regulations related to anti-corruption, anti-money laundering, export control and sanctions.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we are a U.S. government contractor, we are subject to a distinct and complex set of regulatory and compliance obligations, including laws related to administration of government contracts; procurement regulations; the security and control of information and information systems; cost accounting rules; labor requirements and employment eligibility verification; supply chain restrictions; export controls and the use and dissemination of information classified for national security purposes.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are not the only regulations that our business must comply with and we are subject to a continuously evolving regulatory landscape. For a description of the risks related to the regulations that our business is subject to, please refer to the section entitled “Risk Factors” in this information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and financial results fluctuate from quarter to quarter, largely driven by general economic conditions in the markets in which we operate. Sales in the fourth quarter have traditionally been higher than in other quarters due to typical customer buying behavior driven by budgeting and sales cycle account planning, which normally coincides with calendar year planning.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Octave’s office facility structure is predominantly leased facilities with our larger leased sites for our operations including properties located in: Hyderabad, India; Munich, Germany; Houston, United States; and Nesher, Israel. Octave also owns or holds long-term leases on additional facilities located in Huntsville, Alabama; Cobham, United Kingdom; Swindon, United Kingdom; and Runcorn, United Kingdom.</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our existing facilities and equipment are in good operating condition and are suitable for the conduct of our business. We continuously assess and optimize our leasing footprint to optimize for business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legal proceedings at this time. From time to time, we may be subject to various legal proceedings and claims, which may have a material adverse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section should be read in conjunction with the audited Combined Financial Statements and accompanying Notes and unaudited Condensed Combined Financial Statements and accompanying Notes included elsewhere in this information statement, as well as the information contained in the sections of this information statement titled “Unaudited Pro Forma Condensed Combined Financial Information” and “Business of Octave.” This section contains forward-looking statements. See the sections of this information statement titled “Cautionary Statement Concerning Forward-Looking Statements” and “Risk Factors” for a discussion of the uncertainties, risks and assumptions associated with these forward-looking statements that could cause future results to differ materially from those reflected in this section. The financial information discussed below and included in this information statement may not necessarily reflect what our financial condition, results of operations or cash flows would have been had we been a standalone company during the periods presented or what our financial condition, results of operations and cash flows may be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Spin-off from Hexagon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Hexagon announced that its board of directors had directed management to prepare for the spin-off of the Octave Business into an independent, publicly-traded company, in accordance with its previous announcement to investigate the separation and spin-off in October 2024. The Distribution is expected to be completed through a tax-free, from both a U.S federal income and Swedish tax perspective, pro rata distribution of all the outstanding share capital of Octave to Hexagon shareholders via a Lex-ASEA distribution.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Hexagon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Combined Financial Statements included in this information statement are derived from Hexagon’s historical accounting records and presented on a standalone basis as if the Octave operations had been conducted independently from Hexagon. The Combined Financial Statements are prepared in accordance with U.S. GAAP and Hexagon’s historical accounting policies, by aggregating financial information from the components of Octave’s and Hexagon’s accounting records directly attributable to Octave. The Combined Financial Statements include all revenues and costs directly attributable to the Octave Business. Historically, Hexagon provided certain corporate functions to Octave and costs associated with these functions were allocated to Octave. These functions include, but are not limited to, corporate communications, executive management, legal, human resources, treasury, finance, accounting, information technology, and the related benefit costs associated with such functions, such as stock-based compensation. The costs of such services were allocated to Octave based on direct usage when identifiable, with the remainder allocated on a pro rata basis of revenue of Octave and Hexagon. Octave and Hexagon believe the basis on which these expenses have been allocated are a reasonable reflection of the utilization of services provided to, or the benefit received by, Octave during the periods presented; however, they may not be indicative of the actual expense that would have been incurred had Octave been operating as a standalone company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Actual costs that may have been incurred if Octave had been a standalone company would depend on a number of factors, including the organizational structure, pricing power, whether functions were outsourced or performed by employees, and strategic decisions made in areas such as information technology and corporate infrastructure.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Distribution, we intend to enter into the Distribution Agreement and certain other agreements with Hexagon, including a Transition Services Agreement, a Tax Disaffiliation Agreement and an Employee Matters Agreement, as described in the section titled “Certain Relationships and Related Party Transactions—Relationship Between Hexagon and Octave After the Distribution.” We generally expect to be able to utilize Hexagon’s services for a transitional period following the Distribution before we replace these services over time with services supplied either internally or by third parties. The expenses for the services may vary from the historical costs directly billed and allocated to us for the same services.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incur certain costs in connection with our establishment as a standalone public entity (the “Separation-Related Costs”). The Separation-Related Costs include non-recurring expenses associated with the separation and stand-up of functions required to operate as a standalone public entity. These non-recurring costs relate primarily to applicable employee related costs, system separation and implementation costs, business and facilities separation, development of our brand and other matters. The Separation-Related Costs are expected to continue through at least fiscal year 2027. Additionally, we will incur increased costs as a result of becoming an independent, publicly-traded company, primarily from establishing or expanding the corporate support for our businesses, including IT, human resources, treasury, tax, internal audit, risk management, equity-based compensation programs, accounting and financial reporting, investor relations, governance, legal, procurement and other services. See “Unaudited Pro Forma Condensed Combined Financial Information” for additional details.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the Distribution, see “The Separation and the Distribution” and “Certain Relationships and Related Party Transactions— Relationship Between Hexagon and Octave After the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DRIVERS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Foreign Currency Exchange on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internationally diversified, and our results of operations have been, and we expect in the future will be affected by changes in foreign currency exchange rates. For the years ended December 31, 2024, 2023, and 2022, approximately 49%, 47%, and 47%, respectively, of our total revenues and 37%, 35%, and 37%, respectively, of our total operating expenses were denominated in a currency other than the U.S. dollar. Our most significant currencies outside of the U.S. dollar are denominated in euro, Canadian dollar, Chinese renminbi, Indian rupee, British pound and Australian dollar. Other than the natural hedge attributable to matching revenue and expenses in the same currencies, we did not hedge foreign currency exposure in these historical periods.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identify the effects of foreign currency on our operations and present constant currency information because we believe exchange rates are an important factor in understanding period-over-period comparisons and enhance the understanding of our results and evaluations of our performance. Refer to the “Non-GAAP Financial Measures” section for additional information, including our definition and our use of constant currency.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through subscriptions, perpetual licenses, professional services and other. Our revenue base is well-diversified across account types, industries, and geographic regions. Excluding the impact of acquisitions, our primary sources of revenue growth come from increased subscription and license revenue within our long-standing client base, particularly through expanded usage of existing solutions, as well as adoption of new product offerings by those clients and subscriptions from new customers.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subscriptions will continue to represent a significant majority of new arrangements, including customers migrating from existing perpetual license and on-premises arrangements to subscription services, in future periods. Due to the ratable recognition of subscription revenue, growth in subscription revenue will lag behind the growth of subscription orders and will impact the comparative growth of our reported revenue on a year-over-year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with the Nine Months Ended September 30,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nine months ended September 30, 2025 and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736,237</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193,061</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931,227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929,298</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240,400</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1,189,458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1,169,698</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160,496</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162,584</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300,652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323,080</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888,806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846,618</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115,696</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267,018</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105,034</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91,638</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585,022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261,596</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261,752</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65,831</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195,921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revenue from prior period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 forth the factors contributing to period-over-period changes in our revenue for the nine months ended September 30, 2025 compared with the nine months ended September 30,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growth</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change in revenue</w:t>
            </w: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r>
      <w:tr>
        <w:trPr>
          <w:trHeight w:val="21"/>
        </w:trPr>
        <w:tc>
          <w:tcPr>
            <w:tcW w:w="95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our results of operations discussed below, the following is supplemental data of our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30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4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volume, mix, and duration of contract types starting or renewing in any given period may have a material impact on revenue in the period, and as a result can impact the comparability of reported revenue period-over-period. Our revenues are recognized pursuant to applicable U.S. GAAP guidance. See Note 3, “Revenue from Contracts with Customers” to our Combined Financial Statements for additional information on our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218,267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205,870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185,810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344,557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736,237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193,061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929,298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240,400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1,169,698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Revenue by geographic region, based upon the location of the end customer, is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613,916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EMIA</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399,355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156,427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1,189,458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1,169,698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2025 compared with the nine months ended September 30, 2024</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increased by $19.8 million or 2%, driven by a combination of organic growth, due to general volume increases from higher demand for SaaS and subscription offerings, and currency impacts, partially offset by impacts of the divestiture of non-core businesses. Revenue in EMIA grew 6% and revenue in APAC grew 8% while revenue in the Americas declined 3%, driven by the divestiture of non-core businesses. Subscription revenue growth was the primary driver for the overall portfolio due to continued focus on SaaS sales and solid market demand, which led to SaaS growth of 17%, followed by maintenance subscription growth of 7% from increased renewal focus, and subscription licenses growth of 6%. Licenses sales slowed with a 33% decline due to a customer shift to SaaS and divestiture of non-core businesses, and services and other improved with a 7% growth due to a higher level of enterprise implementations in public safety solutions offset with the divestiture of non-core businesses. Additionally, in line with the Company's continued product evolution, certain of our revenue streams have transitioned from being predominantly highly customized license-based deliveries to services configurations based on a more standardized license offering.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Operating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continuously assesses our cost structure to ensure an optimal balance of personnel necessary to support revenue levels, investment in innovation and the associated infrastructure necessary to support business operations and continuity.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300,652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323,080</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percentage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2025 compared with the nine months ended September 30, 2024</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revenue decreased by $22.4 million or 7%, primarily due the reduction in services and other labor and associated delivery costs that supported the divestiture of non-core businesses. This was partially offset by an increase in cloud platform costs associated with public cloud infrastructure providers and general labor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136,267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115,696</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2025 compared with the nine months ended September 30,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$20.6 million or 18%, primarily due to an increase in salaries and wages associated with wage inflation, hiring for technical personnel along with increased investments in development tools to support development effort. Capitalization of software development costs declined as a proportion of overall expenditures.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287,440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267,018</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2025 compared with the nine months ended September 30, 2024</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$20.4 million or 8%, primarily due to an increase in salaries and wages associated with wage inflation and hiring for sales and sales support personnel and an increased investment in sales enablement technology.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128,469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105,034</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2025 compared with the nine months ended September 30,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$23.4 million or 22%, primarily due to an increase in salaries and wages associated with wage inflation and hiring for back-office support, including those necessary to support standalone public company operations, an increase in general reserves for accounts receivable allowances and an increase in general IT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115,280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91,638</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2025 compared with the nine months ended 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increased by $23.6 million or 26%, primarily due to incremental new releases of developed product solutions.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Pr>
          <w:p>
            <w:pPr>
              <w:spacing w:after="0"/>
              <w:rPr>
                <w:sz w:val="16"/>
                <w:szCs w:val="16"/>
                <w:color w:val="auto"/>
              </w:rPr>
            </w:pPr>
          </w:p>
        </w:tc>
      </w:tr>
      <w:tr>
        <w:trPr>
          <w:trHeight w:val="23"/>
        </w:trPr>
        <w:tc>
          <w:tcPr>
            <w:tcW w:w="77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2"/>
              </w:rPr>
              <w:t>17,984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5,636</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9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2025 compared with the nine months ended September 30, 2024</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Operating expenses increased by $12.3 million or over 100%, primarily due to an increase in severance charges associated with restructuring activities in September 2025, partially offset by the fair value adjustment to reduce contingent consideration held related to a prior acquisition.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09"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33655</wp:posOffset>
            </wp:positionV>
            <wp:extent cx="20485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5" w:lineRule="exact"/>
        <w:rPr>
          <w:sz w:val="20"/>
          <w:szCs w:val="20"/>
          <w:color w:val="auto"/>
        </w:rPr>
      </w:pPr>
    </w:p>
    <w:p>
      <w:pPr>
        <w:ind w:left="8660"/>
        <w:spacing w:after="0"/>
        <w:tabs>
          <w:tab w:leader="none" w:pos="103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020" w:val="left"/>
          <w:tab w:leader="none" w:pos="8940" w:val="left"/>
          <w:tab w:leader="none" w:pos="10880" w:val="left"/>
        </w:tabs>
        <w:rPr>
          <w:sz w:val="20"/>
          <w:szCs w:val="20"/>
          <w:color w:val="auto"/>
        </w:rPr>
      </w:pPr>
      <w:r>
        <w:rPr>
          <w:rFonts w:ascii="Times New Roman" w:cs="Times New Roman" w:eastAsia="Times New Roman" w:hAnsi="Times New Roman"/>
          <w:sz w:val="18"/>
          <w:szCs w:val="18"/>
          <w:color w:val="auto"/>
        </w:rPr>
        <w:t>Other (expense) income,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(15,837)  $</w:t>
      </w:r>
      <w:r>
        <w:rPr>
          <w:sz w:val="20"/>
          <w:szCs w:val="20"/>
          <w:color w:val="auto"/>
        </w:rPr>
        <w:tab/>
      </w:r>
      <w:r>
        <w:rPr>
          <w:rFonts w:ascii="Times New Roman" w:cs="Times New Roman" w:eastAsia="Times New Roman" w:hAnsi="Times New Roman"/>
          <w:sz w:val="17"/>
          <w:szCs w:val="17"/>
          <w:color w:val="auto"/>
        </w:rPr>
        <w:t>156</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2025 compared with the nine months ended September 30, 2024</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income, net decreased from $0.2 million of income to a $15.8 million loss primarily due to the current period loss on the divestiture of non-core businesses of $16.6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40" w:right="339" w:bottom="1440" w:gutter="0" w:footer="0" w:header="0"/>
          <w:type w:val="continuous"/>
        </w:sectPr>
      </w:pPr>
    </w:p>
    <w:bookmarkStart w:id="110" w:name="page111"/>
    <w:bookmarkEnd w:id="11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77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187,529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261,752</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38,738</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65,831</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2025 compared with the nine months ended September 30, 2024</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 decreased primarily due to the jurisdictional mix of earnings, effects of cross-border transactions, and discrete tax effects of internal restructuring in the third quarter of 2025 in preparation for the spin-off.</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Year Ended December 31, 2024 Compared with the Year Ended December 31, 2023 and Year Ended December 31, 2023 Compared with the Year Ended December 31,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2024, 2023 and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787,827</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248,640</w:t>
            </w:r>
          </w:p>
        </w:tc>
      </w:tr>
      <w:tr>
        <w:trPr>
          <w:trHeight w:val="22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1,290,371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1,208,669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1,036,467</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331,844</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r>
      <w:tr>
        <w:trPr>
          <w:trHeight w:val="26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183,324</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238,137</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421,461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1,101,501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946,850</w:t>
            </w:r>
          </w:p>
        </w:tc>
      </w:tr>
      <w:tr>
        <w:trPr>
          <w:trHeight w:val="26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121,604</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299,291</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128,485</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94,569</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649,408</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297,442</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299,702</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43,664</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311,207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256,038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revenue from prior period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factors contributing to year-over-year changes in our revenue for the year ended December 31, 2024 compared with the year ended December 31, 2023:</w:t>
      </w:r>
    </w:p>
    <w:p>
      <w:pPr>
        <w:spacing w:after="0" w:line="14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growth</w:t>
            </w: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change in revenue</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0" w:type="dxa"/>
            <w:vAlign w:val="bottom"/>
          </w:tcPr>
          <w:p>
            <w:pPr>
              <w:spacing w:after="0"/>
              <w:rPr>
                <w:sz w:val="1"/>
                <w:szCs w:val="1"/>
                <w:color w:val="auto"/>
              </w:rPr>
            </w:pPr>
          </w:p>
        </w:tc>
      </w:tr>
      <w:tr>
        <w:trPr>
          <w:trHeight w:val="20"/>
        </w:trPr>
        <w:tc>
          <w:tcPr>
            <w:tcW w:w="774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addition to our results of operations discussed below, the following is supplemental data of our revenue:</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vMerge w:val="continue"/>
          </w:tcPr>
          <w:p>
            <w:pPr>
              <w:spacing w:after="0"/>
              <w:rPr>
                <w:sz w:val="16"/>
                <w:szCs w:val="16"/>
                <w:color w:val="auto"/>
              </w:rPr>
            </w:pPr>
          </w:p>
        </w:tc>
        <w:tc>
          <w:tcPr>
            <w:tcW w:w="14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2"/>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w:t>
            </w:r>
          </w:p>
        </w:tc>
        <w:tc>
          <w:tcPr>
            <w:tcW w:w="14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w:t>
            </w:r>
          </w:p>
        </w:tc>
        <w:tc>
          <w:tcPr>
            <w:tcW w:w="16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62 %</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59 %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Pr>
          <w:p>
            <w:pPr>
              <w:spacing w:after="0"/>
              <w:rPr>
                <w:sz w:val="19"/>
                <w:szCs w:val="19"/>
                <w:color w:val="auto"/>
              </w:rPr>
            </w:pPr>
          </w:p>
        </w:tc>
        <w:tc>
          <w:tcPr>
            <w:tcW w:w="16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volume, mix, and duration of contract types starting or renewing in any given period may have a material impact on revenue in the period, and as a result can impact the comparability of reported revenue period-over-period. Our revenues are recognized pursuant to applicable U.S. GAAP guidance. See Note 3, “Revenue from Contracts with Customers” to our Combined Financial Statements for additional information on our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6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279,368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254,572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218,546</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144,660</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424,621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916,639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787,827</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248,640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1,036,467</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331,844</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region, based upon the location of the end customer,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738,762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EMIA</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437,309</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192,240</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increased by $64.0 million or 4%, primarily due to general revenue volume increases and from an additional quarter of revenue related to Qognify, which was acquired in April 2023. Revenue in EMIA grew 9%, revenue in APAC grew 9%, while revenue in the Americas was relatively flat. The revenue increase was driven by increased demand across the portfolio. Subscription revenue growth was the primary driver for the overall portfolio due to continued focus on SaaS sales and solid market demand, which led to SaaS growth of 20%, followed by subscription license growth of 10% driven by customer project demand for flexible subscriptions and maintenance subscription growth of 3%. Licenses sales were stable with 1% overall growth and services and other declined 5% due to a reduction in demand by enterprise customers for customized implementations of SaaS sales.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increased by $184.2 million or 13%, primarily due to general revenue volume increases and an additional quarter of revenue related to ETQ, which was acquired in April 2022, and Qognify, which was acquired in April 2023. Revenue in EMIA grew 16%, revenue in Americas grew 13%, and revenue in APAC grew 11%. The revenue increase was driven by increased demand across the portfolio and impacts from foreign currency translation. Subscription revenue growth was the primary driver for the overall portfolio due to an increased focus on SaaS sales, where SaaS revenues grew 46% on solid market demand and an additional quarter of ETQ revenue, followed by subscription licenses growth of 16% with increased demand for flexible license subscriptions and maintenance subscription growth of 6%. Licenses grew 17% with larger sales to enterprise customers, while services and other grew by 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Operating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continuously assesses our cost structure to ensure an optimal balance of personnel necessary to support revenue levels, investment in innovation and the associated infrastructure necessary to support business operations and continuity.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434,328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450,990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421,461</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percentage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decreased by $16.7 million or 4%, primarily due to revenue mix whereby a 2023 increase in sales from our federal government solutions did not recur in 2024. This decrease in cost was partially offset by an increase in cloud platform costs associated with public cloud infrastructure providers, variable costs associated with revenue growth and inflationary pressure on salaries. Gross profit increased by $80.7 million or 7% due to revenue growth and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increased by $29.5 million or 7%, primarily due to revenue mix driven by a 2023 increase in sales from our federal government solution, an increase in cloud platform costs associated with public cloud infrastructure providers, variable costs associated with revenue growth, and inflationary pressure on salaries. Gross profit increased by $154.7 million or 16% due to revenue growth and mix.</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157,352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145,774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121,604</w:t>
            </w: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$11.6 million or 8%, primarily due to an increase in salaries and wages associated with wage inflation and hiring for technical personnel, and an increase in internal business application expenses associated with software development tools and infrastructure costs and general inflationary pressure.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to 2022</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$24.2 million or 20%, primarily due to an increase in salaries and wages associated with wage inflation and hiring for technical personnel, an increase in external subcontract labor for development efforts and an increase in internal application expenses associated with software development tools and infrastructure.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361,613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352,014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299,291</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$9.6 million or 3%, primarily due to an increase in salaries and wages associated with wage inflation and hiring for sales and sales support personnel, an increase in marketing events, and general inflationary pressure.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$52.7 million or 18%, primarily due to an increase in salaries and wages associated with wage inflation and hiring for sales and sales support personnel, increased expenses associated with external consulting and general inflationary pressure.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139,313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134,030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128,485</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$5.3 million or 4%, primarily due to an increase in salaries and wages associated with wage inflation and hiring for general administrative functions and general inflationary pressures.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$5.5 million or 4%, primarily due to an increase in salaries and wages associated with wage inflation and hiring for administrative functions and general inflationary pressures partially offset by the completion of certain transition services agreements from prior acquisitions.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127,411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115,977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94,569</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increased by $11.4 million or 10%, primarily due to incremental new releases of internally developed solutions for sale and the acquisition of Qognify in April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increased by $21.4 million or 23%, primarily due to incremental new releases of internally developed solutions for sale and the acquisition of ETQ in April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0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expense,net</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29,670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5,549</w:t>
            </w: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060" w:type="dxa"/>
            <w:vAlign w:val="bottom"/>
          </w:tcPr>
          <w:p>
            <w:pPr>
              <w:spacing w:after="0"/>
              <w:rPr>
                <w:sz w:val="20"/>
                <w:szCs w:val="20"/>
                <w:color w:val="auto"/>
              </w:rPr>
            </w:pP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decreased by $28.7 million or 97%, primarily due to higher restructuring and impairment of intangible assets charges associated with certain cost control actions in the prior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by $24.2 million or over 100%, primarily due to restructuring charges associated with cost control efforts and the impairment of certain intangible assets due to technological obsolescence. These were partially offset by the change in fair value of certain contingent consideration.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earned on cash and cash equivalents and has remained relatively flat during the years ended December 31, 2024, 2023, and 2022.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40" w:right="339" w:bottom="1440" w:gutter="0" w:footer="0" w:header="0"/>
          <w:type w:val="continuous"/>
        </w:sectPr>
      </w:pPr>
    </w:p>
    <w:bookmarkStart w:id="115" w:name="page116"/>
    <w:bookmarkEnd w:id="11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396,106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324,256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299,702</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84,899</w:t>
            </w:r>
          </w:p>
        </w:tc>
        <w:tc>
          <w:tcPr>
            <w:tcW w:w="10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78,603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43,664</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effective tax rate was lower as compared to the year ended December 31, 2023, primarily due to the effects of cross-border transactions, changes in state income tax and apportionment rates and deferred tax adjustments.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effective tax rate was higher as compared to the year ended December 31, 2022, primarily due to the effects of cross-border transactions, changes in state income tax rates and apportionment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results of operations discussed above, we believe the following presentation of key business metrics provides incremental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 These metrics are based on management calculations derived from available operational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881,591</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customers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large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Annualized Recurring Revenue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Annualized Recurring Revenue (“ARR”) is a key business metric we use to evaluate the scale and growth of our business as well as to assist in the evaluation of underlying trends in our business. ARR represents the annualized value of recurring revenue from our subscription licenses, SaaS-based subscriptions and maintenance subscriptions. It excludes revenue from perpetual software licenses, non-recurring services and other non-recurring revenues. The Company calculates ARR as the sum of: (i) the annualized value of monthly recurring revenue recognized from SaaS-based subscriptions and maintenance subscriptions in the last month of the most recently completed quarter, plus (ii) the annualized value of recurring revenue recognized from subscription licenses in the most recently completed quarter.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Customers and Number of Large Customers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Number of Customers and Number of Large Customers are key business metrics we use to evaluate the scale and growth of our business as well as to assist in the evaluation of underlying trends in our customer base. A “Customer” is defined as a parent entity or government department that has ARR of $10,000 or more as of the end of the current period. A “Large Customer” is defined as a parent entity or government department that has ARR of $500,000 or more as of the end of the current period. Subsidiaries or multiple contracts under the same parent entity are consolidated and counted as one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Retention Rate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GRR is a key business metric that we use to evaluate the scale and growth of our business as well as to assist in the evaluation of underlying trends in our customer retention. GRR represents the percentage of ARR retained from customers with ARR as of the end of the same period one year prior. GRR accounts for the loss of ARR resulting from complete customer churn and does not account for the impact of contraction or expansion from customers. As of December 31, 2024, the Company's GRR was 97% and the Company’s GRR for Large Customers was 99%.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Below are definitions and reconciliations of certain non-GAAP financial measures to the most directly comparable financial measures calculated and presented in accordance with U.S.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more meaningful measure of company performance period to period, align the measures to how management evaluates performance internally, and make it easier for investors to compare our performance to peers. These measures should be considered in addition to, and not as replacements for, the most directly comparable U.S. GAAP measure. The non-GAAP financial measures we use are as follows: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from Operations—Income from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income from operations is defined as Income from operations adjusted for amortization of acquired intangibles; amortization of developed technologies; stock-based compensation expense; impairment charges; acquisition costs and charges; restructuring charges; and stand-up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Margin—Operating Margin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operating margin is defined as Operating margin adjusted for amortization of acquired intangibles; amortization of developed technologies; stock-based compensation expense; impairment charges; acquisition costs and charges; restructuring charges; and stand-up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Income—Net Income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income is defined as Net income adjusted for amortization of acquired intangibles; amortization of developed technologies; stock-based compensation expense; impairment charges; acquisition costs and charges; restructuring charges; stand-up costs; loss on divestitures; and a corresponding adjustment to income tax expense for the impact of these adjustments.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Flow—Cash Flow from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Free cash flow is cash flow from operations net of capital expenditures, including purchases of property and equipment and capitalization of software development costs. These expenditures consist primarily of facility improvements, office equipment, computer equipment, and software development costs. We believe that free cash flow, in conjunction with cash from operations, is a useful measure of liquidity since capital expenditures are a necessary component of ongoing operations. Free cash flow is not a measure of cash available for discretionary expenditures.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Adjustments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acquired intangibles and amortization of developed technologies are non-cash expenses that are impacted by the timing and magnitude of our acquisitions and additions to developed technologies. We believe the assessment of our operations excluding these costs is relevant to our assessment of internal operations and comparisons to the performance of other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a non-cash expense relating to equity-based awards issued to executive officers, employees and outside directors, consisting of performance share awards.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 charges are non-cash expenses related to long-lived assets for which it was determined the carrying value of such assets was partially or fully unrecoverable.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 costs and charges are direct costs of potential and completed acquisitions and expenses related to acquisition integration activities, including transaction fees, due diligence costs, severance and professional fees. Subsequent adjustments to our initial estimated amount of contingent consideration associated with specific acquisitions are also included within acquisition costs and charges. The occurrence and amount of these costs and charges varies depending on the timing and size of acquisitions and subsequent adjustments to our initial estimated amount of contingent consideration. We believe the assessment of our operations excluding these costs and charges is relevant to our assessment of internal operations and comparisons to the performance of other companies in our industry.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Restructuring charges include excess facility restructuring costs; impairment and accretion expenses related to the lease assets of exited facilities; sublease income from previously impaired facilities; severance charges resulting from employee reduction actions; and third-party professional consulting fees related to modifications of our business strategy. These charges vary in size based on restructuring plans and duration. We believe the assessment of our operations excluding these costs is relevant to our assessment of internal operations and comparisons to the performance of other companies in our industry.</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Stand-up costs include expenses associated with the spin-off and stand up of functions required to operate as a stand-alone public entity, these costs primarily relate to system implementation expenses, legal and consulting costs, development of our brand and other matters.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Loss on divestitures include expenses associated with the sale of non-core businesses during the period and primarily pertain to the excess of net assets divested over total cash proceeds from sale.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adjustments include the tax impact of the items excluded from Adjusted net income.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these non-GAAP financial measures, and we believe that they assist our investors, to make period-to-period comparisons of our operational performance because they provide a view of our operating results without items that are not, in our view, indicative of our core operating results. We believe that these non-GAAP financial measures help illustrate underlying trends in our business, and we use the measures to establish budgets and operational goals (communicated internally and externally) for managing our business and evaluating our performance. We believe that providing non-GAAP financial measures also affords investors a view of our operating results that may be more easily compared to the results of other companies in our industry that use similar financial measures to supplement their U.S. GAAP results.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items excluded from the non-GAAP financial measures often have a material impact on our financial results, certain of those items are non-recurring, and other such items often recur. Accordingly, the non-GAAP financial measures included in this information statement should be considered in addition to, and not as a substitute for or superior to, the comparable measures prepared in accordance with U.S. GAAP. The following tables reconcile each of these non-GAAP financial measures to its most closely comparable U.S. GAAP measure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6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203,366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261,596</w:t>
            </w:r>
          </w:p>
        </w:tc>
        <w:tc>
          <w:tcPr>
            <w:tcW w:w="0" w:type="dxa"/>
            <w:vAlign w:val="bottom"/>
          </w:tcPr>
          <w:p>
            <w:pPr>
              <w:spacing w:after="0"/>
              <w:rPr>
                <w:sz w:val="1"/>
                <w:szCs w:val="1"/>
                <w:color w:val="auto"/>
              </w:rPr>
            </w:pPr>
          </w:p>
        </w:tc>
      </w:tr>
      <w:tr>
        <w:trPr>
          <w:trHeight w:val="230"/>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55,702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55,212</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60,433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37,281</w:t>
            </w:r>
          </w:p>
        </w:tc>
        <w:tc>
          <w:tcPr>
            <w:tcW w:w="0" w:type="dxa"/>
            <w:vAlign w:val="bottom"/>
          </w:tcPr>
          <w:p>
            <w:pPr>
              <w:spacing w:after="0"/>
              <w:rPr>
                <w:sz w:val="1"/>
                <w:szCs w:val="1"/>
                <w:color w:val="auto"/>
              </w:rPr>
            </w:pPr>
          </w:p>
        </w:tc>
      </w:tr>
      <w:tr>
        <w:trPr>
          <w:trHeight w:val="230"/>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12,286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10,851</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29"/>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(23,535)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(5,789)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42,883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641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351,776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364,342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3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3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tcPr>
          <w:p>
            <w:pPr>
              <w:spacing w:after="0"/>
              <w:rPr>
                <w:sz w:val="19"/>
                <w:szCs w:val="19"/>
                <w:color w:val="auto"/>
              </w:rPr>
            </w:pPr>
          </w:p>
        </w:tc>
        <w:tc>
          <w:tcPr>
            <w:tcW w:w="1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420" w:type="dxa"/>
            <w:vAlign w:val="bottom"/>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margin</w:t>
            </w: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148,791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195,921</w:t>
            </w:r>
          </w:p>
        </w:tc>
        <w:tc>
          <w:tcPr>
            <w:tcW w:w="0" w:type="dxa"/>
            <w:vAlign w:val="bottom"/>
          </w:tcPr>
          <w:p>
            <w:pPr>
              <w:spacing w:after="0"/>
              <w:rPr>
                <w:sz w:val="1"/>
                <w:szCs w:val="1"/>
                <w:color w:val="auto"/>
              </w:rPr>
            </w:pPr>
          </w:p>
        </w:tc>
      </w:tr>
      <w:tr>
        <w:trPr>
          <w:trHeight w:val="230"/>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55,702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55,212</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60,433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37,281</w:t>
            </w:r>
          </w:p>
        </w:tc>
        <w:tc>
          <w:tcPr>
            <w:tcW w:w="0" w:type="dxa"/>
            <w:vAlign w:val="bottom"/>
          </w:tcPr>
          <w:p>
            <w:pPr>
              <w:spacing w:after="0"/>
              <w:rPr>
                <w:sz w:val="1"/>
                <w:szCs w:val="1"/>
                <w:color w:val="auto"/>
              </w:rPr>
            </w:pPr>
          </w:p>
        </w:tc>
      </w:tr>
      <w:tr>
        <w:trPr>
          <w:trHeight w:val="230"/>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12,286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10,851</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30"/>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(23,535)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(5,789)</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42,883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30"/>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4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divestitures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16,578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impacts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(35,353)</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(22,134)</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278,426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276,533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350,529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366,306</w:t>
            </w:r>
          </w:p>
        </w:tc>
        <w:tc>
          <w:tcPr>
            <w:tcW w:w="0" w:type="dxa"/>
            <w:vAlign w:val="bottom"/>
          </w:tcPr>
          <w:p>
            <w:pPr>
              <w:spacing w:after="0"/>
              <w:rPr>
                <w:sz w:val="1"/>
                <w:szCs w:val="1"/>
                <w:color w:val="auto"/>
              </w:rPr>
            </w:pPr>
          </w:p>
        </w:tc>
      </w:tr>
      <w:tr>
        <w:trPr>
          <w:trHeight w:val="230"/>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(6,087)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(4,949)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(101,810)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(99,643)</w:t>
            </w:r>
          </w:p>
        </w:tc>
        <w:tc>
          <w:tcPr>
            <w:tcW w:w="0" w:type="dxa"/>
            <w:vAlign w:val="bottom"/>
          </w:tcPr>
          <w:p>
            <w:pPr>
              <w:spacing w:after="0"/>
              <w:rPr>
                <w:sz w:val="1"/>
                <w:szCs w:val="1"/>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242,632</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261,714</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395,492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297,442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536,788</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488,817</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407,589</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margin</w:t>
            </w:r>
          </w:p>
        </w:tc>
        <w:tc>
          <w:tcPr>
            <w:tcW w:w="4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6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256,038</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impacts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(38,865)</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421,362</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371,570</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342,147</w:t>
            </w:r>
          </w:p>
        </w:tc>
        <w:tc>
          <w:tcPr>
            <w:tcW w:w="1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502,162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436,436</w:t>
            </w:r>
          </w:p>
        </w:tc>
        <w:tc>
          <w:tcPr>
            <w:tcW w:w="6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404,574</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(134,942)</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(122,356)</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(95,759)</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360,167</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304,176</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295,941</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Constant currency is a non-GAAP financial measure that presents our revenue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to evaluate the underlying performance of the business, and we believe it is helpful for investors to present operating results on a comparable basis period over period to evaluate its underlying performance.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reporting period-over-period results, we calculate the effects of foreign currency fluctuations and constant currency information by translating current and prior period results on a functional currency basis to our reporting currency using the prior period average foreign currency exchange rates from which the transaction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revenue to revenue in constant currency for the nine months ended September 30,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4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40" w:type="dxa"/>
            <w:vAlign w:val="bottom"/>
          </w:tcPr>
          <w:p>
            <w:pPr>
              <w:spacing w:after="0"/>
              <w:rPr>
                <w:sz w:val="16"/>
                <w:szCs w:val="16"/>
                <w:color w:val="auto"/>
              </w:rPr>
            </w:pPr>
          </w:p>
        </w:tc>
        <w:tc>
          <w:tcPr>
            <w:tcW w:w="3680" w:type="dxa"/>
            <w:vAlign w:val="bottom"/>
            <w:gridSpan w:val="7"/>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20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200" w:type="dxa"/>
            <w:vAlign w:val="bottom"/>
          </w:tcPr>
          <w:p>
            <w:pPr>
              <w:spacing w:after="0"/>
              <w:rPr>
                <w:sz w:val="11"/>
                <w:szCs w:val="11"/>
                <w:color w:val="auto"/>
              </w:rPr>
            </w:pPr>
          </w:p>
        </w:tc>
        <w:tc>
          <w:tcPr>
            <w:tcW w:w="10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46"/>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Exchanges at 2024</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Exchanges at 2024</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0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14"/>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802,242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800,310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736,237</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736,237</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193,061</w:t>
            </w:r>
          </w:p>
        </w:tc>
        <w:tc>
          <w:tcPr>
            <w:tcW w:w="0" w:type="dxa"/>
            <w:vAlign w:val="bottom"/>
          </w:tcPr>
          <w:p>
            <w:pPr>
              <w:spacing w:after="0"/>
              <w:rPr>
                <w:sz w:val="1"/>
                <w:szCs w:val="1"/>
                <w:color w:val="auto"/>
              </w:rPr>
            </w:pPr>
          </w:p>
        </w:tc>
      </w:tr>
      <w:tr>
        <w:trPr>
          <w:trHeight w:val="223"/>
        </w:trPr>
        <w:tc>
          <w:tcPr>
            <w:tcW w:w="32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931,227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928,984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929,298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929,298</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240,400</w:t>
            </w:r>
          </w:p>
        </w:tc>
        <w:tc>
          <w:tcPr>
            <w:tcW w:w="0" w:type="dxa"/>
            <w:vAlign w:val="bottom"/>
          </w:tcPr>
          <w:p>
            <w:pPr>
              <w:spacing w:after="0"/>
              <w:rPr>
                <w:sz w:val="1"/>
                <w:szCs w:val="1"/>
                <w:color w:val="auto"/>
              </w:rPr>
            </w:pPr>
          </w:p>
        </w:tc>
      </w:tr>
      <w:tr>
        <w:trPr>
          <w:trHeight w:val="223"/>
        </w:trPr>
        <w:tc>
          <w:tcPr>
            <w:tcW w:w="32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1,189,458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1,186,594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1,169,698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1,169,698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revenue to revenue in constant currency for the year ended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6"/>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26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260" w:type="dxa"/>
            <w:vAlign w:val="bottom"/>
          </w:tcPr>
          <w:p>
            <w:pPr>
              <w:spacing w:after="0"/>
              <w:rPr>
                <w:sz w:val="11"/>
                <w:szCs w:val="11"/>
                <w:color w:val="auto"/>
              </w:rPr>
            </w:pPr>
          </w:p>
        </w:tc>
        <w:tc>
          <w:tcPr>
            <w:tcW w:w="9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48"/>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Exchanges at 2023</w:t>
            </w: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Exchanges at 2023</w:t>
            </w: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6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60" w:type="dxa"/>
            <w:vAlign w:val="bottom"/>
          </w:tcPr>
          <w:p>
            <w:pPr>
              <w:spacing w:after="0"/>
              <w:rPr>
                <w:sz w:val="17"/>
                <w:szCs w:val="17"/>
                <w:color w:val="auto"/>
              </w:rPr>
            </w:pPr>
          </w:p>
        </w:tc>
        <w:tc>
          <w:tcPr>
            <w:tcW w:w="9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993,698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0" w:type="dxa"/>
            <w:vAlign w:val="bottom"/>
          </w:tcPr>
          <w:p>
            <w:pPr>
              <w:spacing w:after="0"/>
              <w:rPr>
                <w:sz w:val="1"/>
                <w:szCs w:val="1"/>
                <w:color w:val="auto"/>
              </w:rPr>
            </w:pPr>
          </w:p>
        </w:tc>
      </w:tr>
      <w:tr>
        <w:trPr>
          <w:trHeight w:val="223"/>
        </w:trPr>
        <w:tc>
          <w:tcPr>
            <w:tcW w:w="32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1,290,371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1,289,045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1,208,669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1,208,669</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0" w:type="dxa"/>
            <w:vAlign w:val="bottom"/>
          </w:tcPr>
          <w:p>
            <w:pPr>
              <w:spacing w:after="0"/>
              <w:rPr>
                <w:sz w:val="1"/>
                <w:szCs w:val="1"/>
                <w:color w:val="auto"/>
              </w:rPr>
            </w:pPr>
          </w:p>
        </w:tc>
      </w:tr>
      <w:tr>
        <w:trPr>
          <w:trHeight w:val="223"/>
        </w:trPr>
        <w:tc>
          <w:tcPr>
            <w:tcW w:w="32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1,616,505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1,614,844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1,552,490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1,552,490</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revenue to revenue in constant currency for the year ended December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6"/>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26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260" w:type="dxa"/>
            <w:vAlign w:val="bottom"/>
          </w:tcPr>
          <w:p>
            <w:pPr>
              <w:spacing w:after="0"/>
              <w:rPr>
                <w:sz w:val="11"/>
                <w:szCs w:val="11"/>
                <w:color w:val="auto"/>
              </w:rPr>
            </w:pPr>
          </w:p>
        </w:tc>
        <w:tc>
          <w:tcPr>
            <w:tcW w:w="9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48"/>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Exchanges at 2022</w:t>
            </w: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Exchanges at 2022</w:t>
            </w: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6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60" w:type="dxa"/>
            <w:vAlign w:val="bottom"/>
          </w:tcPr>
          <w:p>
            <w:pPr>
              <w:spacing w:after="0"/>
              <w:rPr>
                <w:sz w:val="16"/>
                <w:szCs w:val="16"/>
                <w:color w:val="auto"/>
              </w:rPr>
            </w:pPr>
          </w:p>
        </w:tc>
        <w:tc>
          <w:tcPr>
            <w:tcW w:w="9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14"/>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889,729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787,827</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787,827</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248,640</w:t>
            </w:r>
          </w:p>
        </w:tc>
        <w:tc>
          <w:tcPr>
            <w:tcW w:w="0" w:type="dxa"/>
            <w:vAlign w:val="bottom"/>
          </w:tcPr>
          <w:p>
            <w:pPr>
              <w:spacing w:after="0"/>
              <w:rPr>
                <w:sz w:val="1"/>
                <w:szCs w:val="1"/>
                <w:color w:val="auto"/>
              </w:rPr>
            </w:pPr>
          </w:p>
        </w:tc>
      </w:tr>
      <w:tr>
        <w:trPr>
          <w:trHeight w:val="223"/>
        </w:trPr>
        <w:tc>
          <w:tcPr>
            <w:tcW w:w="32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1,208,669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1,173,373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1,036,467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1,036,467</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331,844</w:t>
            </w:r>
          </w:p>
        </w:tc>
        <w:tc>
          <w:tcPr>
            <w:tcW w:w="0" w:type="dxa"/>
            <w:vAlign w:val="bottom"/>
          </w:tcPr>
          <w:p>
            <w:pPr>
              <w:spacing w:after="0"/>
              <w:rPr>
                <w:sz w:val="1"/>
                <w:szCs w:val="1"/>
                <w:color w:val="auto"/>
              </w:rPr>
            </w:pPr>
          </w:p>
        </w:tc>
      </w:tr>
      <w:tr>
        <w:trPr>
          <w:trHeight w:val="223"/>
        </w:trPr>
        <w:tc>
          <w:tcPr>
            <w:tcW w:w="32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1,552,490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1,507,739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1,368,311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1,368,311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80"/>
          </w:cols>
          <w:pgMar w:left="320" w:top="1440" w:right="399" w:bottom="1440" w:gutter="0" w:footer="0" w:header="0"/>
        </w:sectPr>
      </w:pPr>
    </w:p>
    <w:bookmarkStart w:id="121" w:name="page122"/>
    <w:bookmarkEnd w:id="12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Historical Liquidity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historically generated positive net operating cash flows; however, as part of Hexagon, Octave has been dependent upon Hexagon for all of its working capital and financing requirements. Hexagon uses a centralized approach to cash management and financing of its operations. Accordingly, a substantial portion of the Octave Business’ cash accounts are regularly cleared to Hexagon at Hexagon’s discretion, and Hexagon funds its operating and investing activities as needed. This arrangement is not reflective of the manner in which the Octave Business would have been able to finance its operations had it been a standalone business separate from Hexagon during the periods presented. Transfers of cash between Hexagon and the Octave Business are included within Net transfers from (to) Parent on the Combined Statements of Cash Flows and the Combined Statements of Equity included elsewhere in this information statement.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evaluate our liquidity requirements in light of our operating needs, growth initiatives and capital resources. In conjunction with the planned Distribution, we expect to further evaluate our liquidity needs, capital structure and sources of capital on a standalone basis and expect to enter into future borrowings. For further information on the future sources of liquidity and capital resources for our business, see “Future Sources of Liquidity”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Sources of Liquidity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our capital structure and sources of liquidity will change from our historical capital structure because we will no longer be part of Hexagon’s centralized treasury management and centralized funding programs. Our ability to fund our operating needs will depend on our ability to continue to generate positive cash flows from operations, and on our ability to obtain debt financing on acceptable terms or to issue additional equity or equity-linked securities not anticipated in this information statement. Management believes that our cash balances and funds provided by operating activities, along with expected borrowing capacity and access to capital markets, taken as a whole, will provide (i) adequate liquidity to meet all of our current and long-term obligations when due, including third-party debt that we expect to incur in connection with the Distribution, (ii) adequate liquidity to fund capital expenditures and (iii) flexibility to meet investment opportunities that may arise. However, we cannot assure that we will be able to obtain additional debt or equity financing on acceptable terms in the future. </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Octave expects to incur indebtedness in connection with the Distribution, at this time the capital structure of Octave has not been determined. If the level of indebtedness has been determined before the effectiveness of the registration statement of which this information statement forms a part, then this information statement will be updated to reflect such anticipated level of indebtedness and capital structure. If the level of indebtedness is determined after the effectiveness of the registration statement of which this information statement forms a part, then Octave will file a current report on Form 8-K to disclose such level of indebtedness and capital structure. We expect to utilize our cash flows to continue to invest in our business, growth strategies, people and the communities we operate in as well as to repay our indebtedness over time. </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cash flow information for the nine months ended September 30, 2025 and 2024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366,306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rPr>
              <w:t>(128,743)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(231,127)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2025 compared with the nine months ended September 30, 2024</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decreased by $15.9 million, primarily due a decrease in net income of $47.1 million and a decrease in non-cash adjustments of $33.5 million, offset by an increase in net cash flows from the change in operating assets and liabilities of $2.3 million. Non-cash adjustments increased primarily due to an increase in depreciation and amortization of $23.8 million, increase in restructuring and other charges of $46.1 million, and the loss on divestitures of $16.6 million, which were primarily offset by the favorable impact of the remeasurement of contingent consideration, tax planning adjustments, and impairment of intangible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2025 compared with the nine months ended 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decreased by $58.1 million, primarily due to the proceeds on divestitures of $57.0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2025 compared with the nine months ended 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increased by $42.7 million due to an increase in net transfers to Hexagon.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cash flow information for the years ended December 31, 2024, 2023 and 2022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502,162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404,574</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rPr>
              <w:t>(165,005)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(432,149)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(1,340,222)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(332,348)</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953,732</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$65.7 million, primarily due to an increase in net income of $65.6 million, offset by a decrease in net cash flows from the change in operating assets and liabilities of $29.0 million and a net decrease in non-cash adjustments of $28.9 million. Non-cash adjustments decreased primarily due to lower deferred income tax expense, attributable to deferred tax benefits recorded in 2024 related to final tax return filings, as compared to deferred tax expense in 2023, and tax planning adjustments, and impairment of intangible assets, which were partially offset by the impact of the remeasurement of contingent consideration. The increase in net cash flows from operating assets and liabilities was primarily due to the timing of collections on receivables, utilization of current assets, including inventory in our business, recognition of deferred revenue, and the timing of cash disbursements for operating assets and liabilities.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$31.9 million, primarily due to an increase in non-cash adjustments of $65.8 million, offset by a decrease in net cash flows from the change in operating assets and liabilities of $23.5 million and a decrease in net income of $10.4 million. Non-cash adjustments increased due to higher deferred income tax expense, attributable to deferred tax expense recorded in 2023 related to final tax return filings, as compared to deferred tax benefits in 2022, and tax impacts of prior method changes that concluded in 2022, impairment of intangible assets, and amortization expense due to incremental new releases of internally developed solutions for sale and the acquisition of ETQ in April 2022. The increase in non-cash adjustments was offset by a favorable change in the remeasurement of contingent consideration reserves. The decrease in net cash flows from operating assets and liabilities was primarily due to the timing of collections on receivables and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build-up of current assets, including inventory, and the timing of cash disbursements for operating assets and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by $267.1 million, primarily due to a decrease in cash paid for acquisitions of $282.6 million, partially offset by a $12.6 million increase in capitalized software development costs. The decrease in acquisition-related costs was due to the Qognify and Projectmates acquisitions in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$908.1 million, primarily due a decrease in cash paid for acquisitions of $929.9 million, partially offset by higher capitalized software development costs of $26.6 million. The decrease in acquisition-related costs was due to the ETQ acquisition in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increased by $357.6 million due to an increase in net transfers to Hexagon.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by $928.5 million, primarily due to an increase in net transfers to Hexagon. The net transfers from Hexagon in 2022 primarily relate to the ETQ acquisition in 2022, which was partially offset by a one time payment of contingent consideration.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Requirements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our cash and cash equivalents totaled $109.1 million and $97.2 million, respectively. Our ability to generate positive cash flows from operations is dependent on general economic conditions, and the competitive environment in our industry, and is subject to the business and other risk factors described in the section of this information statement titled “Risk Factors.” If we are unable to generate sufficient cash flows from operations or otherwise comply with the terms of any external borrowings, we may be required to seek additional financing alternatives.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we have sufficient liquidity based on our current cash position, cash flows from operations and expected future financing to meet our expected payments related to our material cash requirements for at least the next 12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Held by non-U.S.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held by our non-U.S. subsidiaries were $87.2 million and $92.9 million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 into various contractual obligations that impact, or could impact, the liquidity of our operations. The following table summarizes our most significant contractual obligations as of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60" w:type="dxa"/>
            <w:vAlign w:val="bottom"/>
          </w:tcPr>
          <w:p>
            <w:pPr>
              <w:spacing w:after="0"/>
              <w:rPr>
                <w:sz w:val="16"/>
                <w:szCs w:val="16"/>
                <w:color w:val="auto"/>
              </w:rPr>
            </w:pPr>
          </w:p>
        </w:tc>
        <w:tc>
          <w:tcPr>
            <w:tcW w:w="13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Long-Term</w:t>
            </w:r>
          </w:p>
        </w:tc>
      </w:tr>
      <w:tr>
        <w:trPr>
          <w:trHeight w:val="23"/>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29"/>
        </w:trPr>
        <w:tc>
          <w:tcPr>
            <w:tcW w:w="6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3"/>
                <w:szCs w:val="23"/>
                <w:color w:val="auto"/>
                <w:vertAlign w:val="superscript"/>
              </w:rPr>
              <w:t>(2)</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44,213</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45,068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obligations are entered into with various vendors in the normal course of business and are consistent with our expected requirements.</w:t>
      </w:r>
    </w:p>
    <w:p>
      <w:pPr>
        <w:spacing w:after="0" w:line="11"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Commitments under operating leases primarily relate to leasehold properties and automobiles. See Note 8 “Leases” of the Notes to Combined Financial Statements for additional information.</w:t>
      </w:r>
    </w:p>
    <w:p>
      <w:pPr>
        <w:spacing w:after="0" w:line="330" w:lineRule="exact"/>
        <w:rPr>
          <w:sz w:val="20"/>
          <w:szCs w:val="20"/>
          <w:color w:val="auto"/>
        </w:rPr>
      </w:pPr>
    </w:p>
    <w:p>
      <w:pPr>
        <w:spacing w:after="0"/>
        <w:tabs>
          <w:tab w:leader="none" w:pos="7260" w:val="left"/>
        </w:tabs>
        <w:rPr>
          <w:sz w:val="20"/>
          <w:szCs w:val="20"/>
          <w:color w:val="auto"/>
        </w:rPr>
      </w:pPr>
      <w:r>
        <w:rPr>
          <w:rFonts w:ascii="Times New Roman" w:cs="Times New Roman" w:eastAsia="Times New Roman" w:hAnsi="Times New Roman"/>
          <w:sz w:val="18"/>
          <w:szCs w:val="18"/>
          <w:color w:val="auto"/>
        </w:rPr>
        <w:t>The above table excludes estimated principal amount of indebtedness of approximately $</w:t>
      </w:r>
      <w:r>
        <w:rPr>
          <w:sz w:val="20"/>
          <w:szCs w:val="20"/>
          <w:color w:val="auto"/>
        </w:rPr>
        <w:tab/>
      </w:r>
      <w:r>
        <w:rPr>
          <w:rFonts w:ascii="Times New Roman" w:cs="Times New Roman" w:eastAsia="Times New Roman" w:hAnsi="Times New Roman"/>
          <w:sz w:val="18"/>
          <w:szCs w:val="18"/>
          <w:color w:val="auto"/>
        </w:rPr>
        <w:t>million and associated estimated interest payments of</w:t>
      </w:r>
    </w:p>
    <w:p>
      <w:pPr>
        <w:spacing w:after="0" w:line="27" w:lineRule="exact"/>
        <w:rPr>
          <w:sz w:val="20"/>
          <w:szCs w:val="20"/>
          <w:color w:val="auto"/>
        </w:rPr>
      </w:pPr>
    </w:p>
    <w:p>
      <w:pPr>
        <w:ind w:left="600" w:hanging="592"/>
        <w:spacing w:after="0"/>
        <w:tabs>
          <w:tab w:leader="none" w:pos="6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per year in connection with the Distribution.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capital expenditures primarily consist of leasehold improvements, investment in our owned facilities and replacement and replenishment of personal computers for business use. For the years ended December 31, 2024, 2023 and 2022, our capital expenditures were $7.1 million, $9.9 million and $12.9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 Company Credit Support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Hexagon provides Octave with parent credit support in certain jurisdictions. To support Octave in selling products and services globally, Hexagon entered into and may enter into contracts on behalf of Octave or issue parent company guarantees or letters of credit. Hexagon also provides similar credit support for some non-customer related activities of Octave. There are no known instances historically where payments or performance from Hexagon were required under parent company guarantees relating to Octave’s customer contracts. As such, no amounts related to parent company guarantees have been recorded by Octave in the Combined Financial Statements as of or for the years ended December 31, 2024, 2023 and 2022. See “Certain Relationships and Related Party Transactions—Relationship Between Hexagon and Octave After the Distribution—Distribution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financial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our Combined Financial Statements in accordance with U.S. GAAP is based on the selection and application of accounting policies that require us to make significant estimates and assumptions about the effects of matters that are inherently uncertain. Many estimates and assumptions involved in the application of accounting principles have a material impact on reported financial condition and operating performance and on the comparability of such reported information over different reporting periods. Critical accounting estimates or assumptions are those where the nature of the estimates or assumptions is material due to the levels of subjectivity and judgment necessary to account for highly uncertain matters or the susceptibility of such matters to change, and the impact of the estimates and assumptions on financial condition or operating performance is material. We consider the estimates and assumptions discussed below to be critical to the understanding of our financial statements. Actual results could differ from our estimates and assumptions, and any such differences could be material to our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recognition of revenue requires significant judgment and estimation by management, particularly in arrangements that include multiple products and services. Our contracts with customers may include promises to transfer licenses (subscription, SaaS or perpetual),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we account for those performance obligations as a single performance obligation. For contracts with more than one performance obligation, the transaction price is allocated among the performance obligations in an amount that depicts the relative standalone selling price (“SSP”) of each obligation. Judgment and estimation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use a range of amounts to estimate SSP when we sell each of the products and services separately and need to determine whether there is a discount that should be allocated based on the relative SSP of the various products and services.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net assets acquired in business combinations. Goodwill is not amortized but instead is assessed for impairment at the reporting unit level annually during the fourth quarter of each year, or if a triggering event occurs or changes in circumstances indicate that the carrying amount may not be fully recoverable.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performing our annual impairment test, we may first perform a qualitative assessment, which involves judgment in evaluating company-specific factors such as financial performance and long-range plans, industry conditions, and macroeconomic factors. If a quantitative assessment is required, we estimate the fair value utilizing a discounted cash flow (“DCF”) analysis, including strategic and annual operating plans, adjusted for terminal value assumptions. These impairment tests use accounting estimates and assumptions, which require significant judgment in developing assumptions about future revenue growth, operating margins, capital expenditures, and the appropriate discount rate. The discount rate is based on a weighted average cost of capital (“WACC”), which incorporates market data from a group of comparable companies as well as a risk premium. To address this uncertainty, we perform sensitivity analysis on key accounting estimates and assumptions. Once the fair value is determined, if the carrying amount exceeds the fair value, it is impaired. Any impairment is measured as the difference between the carrying amount and its fair value.</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impairment of goodwill as a result of our annual qualitative impairment assessments conducted for the years ended December 31, 2024, 2023, or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Intangible assets arise from acquisitions and principally consist of developed technology, customer relationships, capitalized software development expenses, other intangible assets, and trademarks. Intangible assets with a definite-life are amortized on a straight-line basis over their estimated useful lives. Intangible assets with an indefinite-life, such as trademarks, are not amortized.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with a definite-life are evaluated for impairment whenever events or changes in circumstances indicate that their carrying amounts may not be recoverable. In such cases, we compare the carrying amount of the asset group that includes the intangible asset to the sum of the undiscounted future cash flows to be generated from the asset group. If the carrying amount of the asset group is not recoverable, we then determine the fair value of the asset group and record an impairment loss for the amount by which the carrying amount exceeds fair value.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with an indefinite-life, such as trademarks, are tested for impairment at least annually during the fourth quarter, or more frequently if indicators of impairment exist. The impairment test compares the carrying value of the indefinite-life asset to its estimated fair value. If the carrying amount exceeds the estimated fair value, an impairment charge is recognized for the difference.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evaluation of intangible assets, both definite-life and indefinite-life, involves significant judgment. Key estimates include projected future revenue, operating margins, royalty rates, discount rates, and terminal values, as well as the determination of asset groupings for recoverability testing. These assumptions are inherently uncertain, and change in expectations about future results, industry conditions, or macroeconomic factors could have a material impact on the timing or amount of impairment charges recognized.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estimates of fair value are based upon assumptions believed to be reasonable at that time, but which are inherently uncertain and unpredictable. Assumptions may be incomplete or inaccurate, and unanticipated events and circumstances may occur, which may affect the accuracy or validity of such assumptions, estimates or actual results. See Note 2 “Summary of Significant Accounting Policies” of the Notes to Combined Financial Statements for further detail on impairment of intangible assets for the years ended December 31, 2024 and 2023. There were no impairments during the year ended December 31,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recurring basis, we assess the need for a valuation allowance against our deferred tax assets by considering all available positive and 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Combined Financial Statements for further discussion of additional income tax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Combined Financial Statements for a discussion of recent accounting pronouncements.</w:t>
      </w:r>
    </w:p>
    <w:p>
      <w:pPr>
        <w:spacing w:after="0" w:line="104" w:lineRule="exact"/>
        <w:rPr>
          <w:sz w:val="20"/>
          <w:szCs w:val="20"/>
          <w:color w:val="auto"/>
        </w:rPr>
      </w:pPr>
    </w:p>
    <w:p>
      <w:pPr>
        <w:ind w:right="47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QUANTITATIVE AND QUALITATIVE DISCLOSURES ABOUT MARKET RISK </w:t>
      </w:r>
      <w:r>
        <w:rPr>
          <w:rFonts w:ascii="Times New Roman" w:cs="Times New Roman" w:eastAsia="Times New Roman" w:hAnsi="Times New Roman"/>
          <w:sz w:val="18"/>
          <w:szCs w:val="18"/>
          <w:b w:val="1"/>
          <w:bCs w:val="1"/>
          <w:i w:val="1"/>
          <w:iCs w:val="1"/>
          <w:color w:val="auto"/>
        </w:rPr>
        <w:t>Foreign Currency Risks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a global business in a wide variety of foreign currencies and are exposed to market risk for changes in foreign currency exchange rates arising from international financing activities between subsidiaries, foreign currency denominated monetary assets and liabilities, and transactions arising from international trade. Although Hexagon uses financial instruments to hedge certain foreign currency risks, we are not protected against foreign currency fluctuations and our reported results of operations could be affected by changes in foreign currency exchange rates. The primary currencies for which we have exchange rate exposure are the U.S. dollar versus the Euro. Following the Distribution, we intend to implement a foreign currency risk management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Combined Balance Sheets and Combined Statements of Operations do not include an attribution of Hexagon’s third-party debt or interest expense from Hexagon because we are not the legal obligor of the debt and the borrowings were not directly attributable to our business. We expect to incur indebtedness in connection with the Distribution, at which time our exposure to interest rate risk is expected to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498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CORPORATE GOVERNANCE AND MANAGEMENT</w:t>
            </w:r>
          </w:p>
        </w:tc>
        <w:tc>
          <w:tcPr>
            <w:tcW w:w="3260" w:type="dxa"/>
            <w:vAlign w:val="bottom"/>
          </w:tcPr>
          <w:p>
            <w:pPr>
              <w:spacing w:after="0"/>
              <w:rPr>
                <w:sz w:val="20"/>
                <w:szCs w:val="20"/>
                <w:color w:val="auto"/>
              </w:rPr>
            </w:pPr>
          </w:p>
        </w:tc>
      </w:tr>
      <w:tr>
        <w:trPr>
          <w:trHeight w:val="37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78"/>
        </w:trPr>
        <w:tc>
          <w:tcPr>
            <w:tcW w:w="7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including their ages as of</w:t>
            </w:r>
          </w:p>
        </w:tc>
        <w:tc>
          <w:tcPr>
            <w:tcW w:w="3260" w:type="dxa"/>
            <w:vAlign w:val="bottom"/>
          </w:tcPr>
          <w:p>
            <w:pPr>
              <w:jc w:val="right"/>
              <w:ind w:right="3059"/>
              <w:spacing w:after="0"/>
              <w:rPr>
                <w:sz w:val="20"/>
                <w:szCs w:val="20"/>
                <w:color w:val="auto"/>
              </w:rPr>
            </w:pPr>
            <w:r>
              <w:rPr>
                <w:rFonts w:ascii="Times New Roman" w:cs="Times New Roman" w:eastAsia="Times New Roman" w:hAnsi="Times New Roman"/>
                <w:sz w:val="18"/>
                <w:szCs w:val="18"/>
                <w:color w:val="auto"/>
              </w:rPr>
              <w:t>:</w:t>
            </w:r>
          </w:p>
        </w:tc>
      </w:tr>
      <w:tr>
        <w:trPr>
          <w:trHeight w:val="368"/>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1960" w:type="dxa"/>
            <w:vAlign w:val="bottom"/>
          </w:tcPr>
          <w:p>
            <w:pPr>
              <w:spacing w:after="0"/>
              <w:rPr>
                <w:sz w:val="24"/>
                <w:szCs w:val="24"/>
                <w:color w:val="auto"/>
              </w:rPr>
            </w:pPr>
          </w:p>
        </w:tc>
        <w:tc>
          <w:tcPr>
            <w:tcW w:w="3260" w:type="dxa"/>
            <w:vAlign w:val="bottom"/>
          </w:tcPr>
          <w:p>
            <w:pPr>
              <w:jc w:val="right"/>
              <w:ind w:right="2279"/>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0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2940" w:type="dxa"/>
            <w:vAlign w:val="bottom"/>
            <w:gridSpan w:val="3"/>
          </w:tcPr>
          <w:p>
            <w:pPr>
              <w:jc w:val="center"/>
              <w:ind w:left="2190"/>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260" w:type="dxa"/>
            <w:vAlign w:val="bottom"/>
          </w:tcPr>
          <w:p>
            <w:pPr>
              <w:spacing w:after="0"/>
              <w:rPr>
                <w:sz w:val="19"/>
                <w:szCs w:val="19"/>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Benjamin Maslen</w:t>
            </w:r>
          </w:p>
        </w:tc>
        <w:tc>
          <w:tcPr>
            <w:tcW w:w="2940" w:type="dxa"/>
            <w:vAlign w:val="bottom"/>
            <w:gridSpan w:val="3"/>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shd w:val="clear" w:color="auto" w:fill="CCEEFF"/>
          </w:tcPr>
          <w:p>
            <w:pPr>
              <w:spacing w:after="0"/>
              <w:rPr>
                <w:sz w:val="19"/>
                <w:szCs w:val="19"/>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260" w:type="dxa"/>
            <w:vAlign w:val="bottom"/>
            <w:shd w:val="clear" w:color="auto" w:fill="CCEEFF"/>
          </w:tcPr>
          <w:p>
            <w:pPr>
              <w:spacing w:after="0"/>
              <w:rPr>
                <w:sz w:val="19"/>
                <w:szCs w:val="19"/>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2940" w:type="dxa"/>
            <w:vAlign w:val="bottom"/>
            <w:gridSpan w:val="3"/>
          </w:tcPr>
          <w:p>
            <w:pPr>
              <w:jc w:val="center"/>
              <w:ind w:left="2190"/>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Legal Officer, Corporate Secretary</w:t>
            </w: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Cryer</w:t>
            </w:r>
          </w:p>
        </w:tc>
        <w:tc>
          <w:tcPr>
            <w:tcW w:w="2940" w:type="dxa"/>
            <w:vAlign w:val="bottom"/>
            <w:gridSpan w:val="3"/>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99"/>
              </w:rPr>
              <w:t>52</w:t>
            </w:r>
          </w:p>
        </w:tc>
        <w:tc>
          <w:tcPr>
            <w:tcW w:w="80" w:type="dxa"/>
            <w:vAlign w:val="bottom"/>
            <w:shd w:val="clear" w:color="auto" w:fill="CCEEFF"/>
          </w:tcPr>
          <w:p>
            <w:pPr>
              <w:spacing w:after="0"/>
              <w:rPr>
                <w:sz w:val="19"/>
                <w:szCs w:val="19"/>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Marketing Officer</w:t>
            </w:r>
          </w:p>
        </w:tc>
        <w:tc>
          <w:tcPr>
            <w:tcW w:w="3260" w:type="dxa"/>
            <w:vAlign w:val="bottom"/>
            <w:shd w:val="clear" w:color="auto" w:fill="CCEEFF"/>
          </w:tcPr>
          <w:p>
            <w:pPr>
              <w:spacing w:after="0"/>
              <w:rPr>
                <w:sz w:val="19"/>
                <w:szCs w:val="19"/>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Kaplan</w:t>
            </w:r>
          </w:p>
        </w:tc>
        <w:tc>
          <w:tcPr>
            <w:tcW w:w="2940" w:type="dxa"/>
            <w:vAlign w:val="bottom"/>
            <w:gridSpan w:val="3"/>
          </w:tcPr>
          <w:p>
            <w:pPr>
              <w:jc w:val="center"/>
              <w:ind w:left="2190"/>
              <w:spacing w:after="0"/>
              <w:rPr>
                <w:sz w:val="20"/>
                <w:szCs w:val="20"/>
                <w:color w:val="auto"/>
              </w:rPr>
            </w:pPr>
            <w:r>
              <w:rPr>
                <w:rFonts w:ascii="Times New Roman" w:cs="Times New Roman" w:eastAsia="Times New Roman" w:hAnsi="Times New Roman"/>
                <w:sz w:val="18"/>
                <w:szCs w:val="18"/>
                <w:color w:val="auto"/>
                <w:w w:val="99"/>
              </w:rPr>
              <w:t>63</w:t>
            </w:r>
          </w:p>
        </w:tc>
        <w:tc>
          <w:tcPr>
            <w:tcW w:w="8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People Officer</w:t>
            </w:r>
          </w:p>
        </w:tc>
        <w:tc>
          <w:tcPr>
            <w:tcW w:w="3260" w:type="dxa"/>
            <w:vAlign w:val="bottom"/>
          </w:tcPr>
          <w:p>
            <w:pPr>
              <w:spacing w:after="0"/>
              <w:rPr>
                <w:sz w:val="19"/>
                <w:szCs w:val="19"/>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2940" w:type="dxa"/>
            <w:vAlign w:val="bottom"/>
            <w:gridSpan w:val="3"/>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shd w:val="clear" w:color="auto" w:fill="CCEEFF"/>
          </w:tcPr>
          <w:p>
            <w:pPr>
              <w:spacing w:after="0"/>
              <w:rPr>
                <w:sz w:val="19"/>
                <w:szCs w:val="19"/>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c>
          <w:tcPr>
            <w:tcW w:w="3260" w:type="dxa"/>
            <w:vAlign w:val="bottom"/>
            <w:shd w:val="clear" w:color="auto" w:fill="CCEEFF"/>
          </w:tcPr>
          <w:p>
            <w:pPr>
              <w:spacing w:after="0"/>
              <w:rPr>
                <w:sz w:val="19"/>
                <w:szCs w:val="19"/>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2940" w:type="dxa"/>
            <w:vAlign w:val="bottom"/>
            <w:gridSpan w:val="3"/>
          </w:tcPr>
          <w:p>
            <w:pPr>
              <w:jc w:val="center"/>
              <w:ind w:left="2190"/>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c>
          <w:tcPr>
            <w:tcW w:w="3260" w:type="dxa"/>
            <w:vAlign w:val="bottom"/>
          </w:tcPr>
          <w:p>
            <w:pPr>
              <w:spacing w:after="0"/>
              <w:rPr>
                <w:sz w:val="19"/>
                <w:szCs w:val="19"/>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Jay Allardyce</w:t>
            </w:r>
          </w:p>
        </w:tc>
        <w:tc>
          <w:tcPr>
            <w:tcW w:w="2940" w:type="dxa"/>
            <w:vAlign w:val="bottom"/>
            <w:gridSpan w:val="3"/>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shd w:val="clear" w:color="auto" w:fill="CCEEFF"/>
          </w:tcPr>
          <w:p>
            <w:pPr>
              <w:spacing w:after="0"/>
              <w:rPr>
                <w:sz w:val="19"/>
                <w:szCs w:val="19"/>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Product Officer</w:t>
            </w:r>
          </w:p>
        </w:tc>
        <w:tc>
          <w:tcPr>
            <w:tcW w:w="3260" w:type="dxa"/>
            <w:vAlign w:val="bottom"/>
            <w:shd w:val="clear" w:color="auto" w:fill="CCEEFF"/>
          </w:tcPr>
          <w:p>
            <w:pPr>
              <w:spacing w:after="0"/>
              <w:rPr>
                <w:sz w:val="19"/>
                <w:szCs w:val="19"/>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Tamara Adams</w:t>
            </w:r>
          </w:p>
        </w:tc>
        <w:tc>
          <w:tcPr>
            <w:tcW w:w="2940" w:type="dxa"/>
            <w:vAlign w:val="bottom"/>
            <w:gridSpan w:val="3"/>
          </w:tcPr>
          <w:p>
            <w:pPr>
              <w:jc w:val="center"/>
              <w:ind w:left="2190"/>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Pr>
          <w:p>
            <w:pPr>
              <w:spacing w:after="0"/>
              <w:rPr>
                <w:sz w:val="20"/>
                <w:szCs w:val="20"/>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Revenue Officer</w:t>
            </w:r>
          </w:p>
        </w:tc>
        <w:tc>
          <w:tcPr>
            <w:tcW w:w="326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Mattias Stenberg</w:t>
      </w:r>
      <w:r>
        <w:rPr>
          <w:rFonts w:ascii="Times New Roman" w:cs="Times New Roman" w:eastAsia="Times New Roman" w:hAnsi="Times New Roman"/>
          <w:sz w:val="18"/>
          <w:szCs w:val="18"/>
          <w:color w:val="auto"/>
        </w:rPr>
        <w:t>. Mr. Stenberg serves as our Chief Executive Officer as of September 2025. Prior to joining Octave, Mr. Stenberg served as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Hexagon’s Asset Lifecycle Intelligence division (now a part of Octave) from 2017 until 2025, where he oversaw global strategy, product development, and operations across industrial software and digital engineering solutions. Prior to that, from 2009 to 2017, he held other senior leadership positions at Hexagon, including Chief Strategy Officer and Head of M&amp;A. Mr. Stenberg has also served as Director of Intergraph Corporation since 2022. In addition to his role at Octave, Mr. Stenberg has served on the board of directors of Sinch AB since 2024, a publicly traded cloud communications company. He holds a Bachelor of Science in Business Administration and Economics and a degree in Computer Sciences from Linköping University, Sweden.</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Benjamin Maslen. </w:t>
      </w:r>
      <w:r>
        <w:rPr>
          <w:rFonts w:ascii="Times New Roman" w:cs="Times New Roman" w:eastAsia="Times New Roman" w:hAnsi="Times New Roman"/>
          <w:sz w:val="18"/>
          <w:szCs w:val="18"/>
          <w:color w:val="auto"/>
        </w:rPr>
        <w:t>Mr. Maslen serves as our Chief Financial Officer as of September 2025. Mr. Maslen previously served as the Chief Strategy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Hexagon, from June 2017 until September 2025, and transitioned to the role of Executive Vice President of Octave from September 2025 until the date of separation. Prior to joining Hexagon, between 2000 and 2017, Mr. Maslen was a capital goods and machinery equity research analyst at Morgan Stanley, Bank of America and Lehman Brothers. Mr. Maslen has served on the board of Martlet Capital Limited, a private early-stage venture capital company, since 2022. Mr. Maslen holds a Bachelor of Science in Economics and Politics from Bristol University and is an ICAEW Chartered Accountant.</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Anthony Zana. </w:t>
      </w:r>
      <w:r>
        <w:rPr>
          <w:rFonts w:ascii="Times New Roman" w:cs="Times New Roman" w:eastAsia="Times New Roman" w:hAnsi="Times New Roman"/>
          <w:sz w:val="18"/>
          <w:szCs w:val="18"/>
          <w:color w:val="auto"/>
        </w:rPr>
        <w:t>Mr. Zana serves as our Chief Legal Officer and Corporate Secretary as of September 2025. Mr. Zana previously served as Group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and Chief Compliance Officer of Hexagon from 2019 until the completion of the Distribution, guiding the global legal affairs of the Hexagon group of companies, and prior to that, was Deputy General Counsel of Hexagon from 2016 to 2019. He has served as Vice President, General Counsel, and Corporate Secretary of Intergraph Corporation since 2011. Prior to working as an in-house counsel, Mr. Zana was an attorney at the law firm Maynard Cooper &amp; Gale P.C. He was previously law clerk to a federal judge serving on the U.S. District Court for the Northern District of Alabama and Eleventh Circuit Court of Appeals, by designation. He holds a Bachelor of Science in Management Information Systems from the University of Alabama at Birmingham and a Juris Doctor from the University of Mississippi School of Law, in addition to holding professional certifications in ethics and compliance. He is admitted to the bar in several U.S. states.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David Cryer. </w:t>
      </w:r>
      <w:r>
        <w:rPr>
          <w:rFonts w:ascii="Times New Roman" w:cs="Times New Roman" w:eastAsia="Times New Roman" w:hAnsi="Times New Roman"/>
          <w:sz w:val="18"/>
          <w:szCs w:val="18"/>
          <w:color w:val="auto"/>
        </w:rPr>
        <w:t>Mr. Cryer serves as our Chief Marketing Officer as of September 2025. Mr. Cryer previously served as Senior Vice President &amp;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Officer of Hexagon’s Asset Lifecycle Intelligence division (now a part of Octave) 2017. From 2014 to 2017, he served as Director of Marketing, Asia Pacific at Intergraph PP&amp;M,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wholly-owned subsidiary of Octave. From 2012 to 2014, he was Director, Enterprise Solutions &amp; Scale Marketing at Microsoft North America, and from 2009 to 2012 he served as Director, Cloud Services – The Americas at Microsoft. Earlier in his career, Mr. Cryer held senior marketing leadership roles at Microsoft, Alcatel, Newbridge Networks, and Scitec Limited. He holds a Bachelor of Business Administration, with a major in Marketing, from the University of Technology Sydney.</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Jennifer Kaplan. </w:t>
      </w:r>
      <w:r>
        <w:rPr>
          <w:rFonts w:ascii="Times New Roman" w:cs="Times New Roman" w:eastAsia="Times New Roman" w:hAnsi="Times New Roman"/>
          <w:sz w:val="18"/>
          <w:szCs w:val="18"/>
          <w:color w:val="auto"/>
        </w:rPr>
        <w:t>Ms. Kaplan serves as the Chief People Officer and is responsible for the strategic direction of the global human resources function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Octave as of September 2025. Prior to joining Octave, Ms. Kaplan served as Senior Vice President, Global Human Resources at Hexagon’s Asset Lifecycle Intelligence division (now a part of Octave) from 2017 to 2025. Ms. Kaplan’s career spans more than 25 years, during which she has held various leadership roles within global software, services and hardware companies. She holds a Bachelor of Arts in Psychology from the University of Arizona.</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Vivek Mokashi. </w:t>
      </w:r>
      <w:r>
        <w:rPr>
          <w:rFonts w:ascii="Times New Roman" w:cs="Times New Roman" w:eastAsia="Times New Roman" w:hAnsi="Times New Roman"/>
          <w:sz w:val="18"/>
          <w:szCs w:val="18"/>
          <w:color w:val="auto"/>
        </w:rPr>
        <w:t>Mr. Mokashi serves as our Chief Technology Officer as of September 2025. Mr. Mokashi has more than three decades of experience,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roles in Pre-sales, Quality Assurance, Global Support, Product Design and Development. Prior to joining Octave, Mr. Mokashi held senior leadership positions at Hexagon’s Asset Lifecycle Intelligence division (now a part of Octave), including Senior Vice President of Industry Solutions in 2025, Senior Vice President of Solution Design from 2022 to 2024 and Senior Vice President of Development &amp; Quality Assurance beginning in 2019. His career path at Hexagon began as an Application Specialist with Intergraph Singapore in 1993. Mokashi holds a Master’s degree in Mechanical Engineering from the Indian Institute of Technology, Kharagpur. Prior to joining Intergraph, he worked as a design engineer and Intergraph customer within power generation industry.</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Scott Moore. </w:t>
      </w:r>
      <w:r>
        <w:rPr>
          <w:rFonts w:ascii="Times New Roman" w:cs="Times New Roman" w:eastAsia="Times New Roman" w:hAnsi="Times New Roman"/>
          <w:sz w:val="18"/>
          <w:szCs w:val="18"/>
          <w:color w:val="auto"/>
        </w:rPr>
        <w:t>Mr. Moore serves as our Chief Operating Officer as of September 2025. Prior to joining Octave and since 1993, he has served Hexagon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key business operations roles, including business operations manager for several software business units and specifically, as Chief Financial Officer and Chief Operating Officer of Hexagon’s Asset Lifecycle Division (now a part of Octave). Prior to joining Intergraph, Mr. Moore was a financial analyst with EER Systems, a defense contractor in Huntsville, Alabama. He holds a Bachelor’s degree in Economics from Vanderbilt University and a Master’s degree in Management from the University of Alabama in Huntsville.</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Jay Allardyce. </w:t>
      </w:r>
      <w:r>
        <w:rPr>
          <w:rFonts w:ascii="Times New Roman" w:cs="Times New Roman" w:eastAsia="Times New Roman" w:hAnsi="Times New Roman"/>
          <w:sz w:val="18"/>
          <w:szCs w:val="18"/>
          <w:color w:val="auto"/>
        </w:rPr>
        <w:t>Mr. Allardyce serves as our Chief Product Officer as of September 2025. Mr. Allardyce previously served as the General Manager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&amp; Analytics business of insightsoftware, a private equity backed software company, from August 2023 until May 2025. From April 2020 to April 2023, Mr. Allardyce worked at Alphabet Inc., including serving as managing director for business development for Alphabet Inc.’s Cloud division and as managing director for worldwide solutions engineering for Data &amp; AI. Prior to that, Mr. Allardyce spent 19 years in leadership roles at Uptake, General Electric and Hewlett-Packard. Mr. Allardyce co-founded and serves as a director of GenAI.Works, an AI platform company, from May 2023 to present. Mr. Allardyce holds a Master's in Business Administration from Santa Clara University.</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Tamara Adams. </w:t>
      </w:r>
      <w:r>
        <w:rPr>
          <w:rFonts w:ascii="Times New Roman" w:cs="Times New Roman" w:eastAsia="Times New Roman" w:hAnsi="Times New Roman"/>
          <w:sz w:val="18"/>
          <w:szCs w:val="18"/>
          <w:color w:val="auto"/>
        </w:rPr>
        <w:t>Ms. Adams serves as our Chief Revenue Officer as of September 2025. Prior to joining the Company, Ms. Adams served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Officer of Dotmatics LLC beginning in 2022, where she led global go-to-market strategy, revenue operations, and demand generation. During her tenure, Dotmatics was acquired by Siemens. Prior to joining Dotmatics, Ms. Adams held senior leadership roles at Honeywell, Oracle, and PerkinElmer, where she led global revenue strategy and go-to-market execution across North America, EMEA, MENA, and APAC. Ms. Adams has more than 20 years of experience driving revenue growth, scaling global enterprise and SaaS organizations, and leading strategic initiatives, including mergers and acquisitions and IPO readiness.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Non-Management Directors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Initial members of the Board of Directors will be named in an amendment to this information statement prior to the effectiveness of the registration statement of which this information statement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Octave’s Director Independence Guidelines will set forth certain criteria to assess the independence of directors of Octave. Under the Director Independence Guidelines, which will conform to the corporate governance listing standards of Nasdaq New York, a director will not be considered “independent” unless the Board of Directors affirmatively determines that the director meets the independence criteria of Nasdaq New York and any other independence standards applicable to independent members of the Board of Directors as may be in effect from time to time under applicable laws, rules or regulations, and that the director has no other direct or indirect material relationship with Octave or its management. In assessing the materiality of any existing or proposed director’s relationship with Octave, the Board of Directors will consider all relevant facts and circumstances.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expected executive officers or director nominees.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Role in Risk Management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Octave’s management is responsible for the day-to-day management of the risks facing Octave while our Board of Directors, as a whole and through its committees, is responsible for the oversight of risk management. Our Board of Directors will regularly review information regarding our credit, liquidity, and operations, as well as the risks associated therewith. Effective upon the completion of the Distribution, our Compensation Committee will be responsible for overseeing the management of risks relating to our compensation programs and arrangements and our Audit Committee will oversee management of financial risks. While each committee will be responsible for evaluating certain risks and overseeing the management of such risks, our Board of Directors plans to keep itself regularly informed regarding such risks through committee reports and other appropriate communications.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upon the completion of the distribution, Octave’s Board of Directors will have the following standing committees, each of which will operate under a written charter that will satisfy the applicable Nasdaq New York listing standards and be posted to Octave’s website: the Audit Committee, the Compensation Committee and the Nominating and Governance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will be established in accordance with Rule 10A-3 under the Exchange Act and the listing rules of Nasdaq New York. The responsibilities of the Audit Committee will be more fully described in the Audit Committee charter. We anticipate that the responsibilities of the Audit Committee will include, among others:</w:t>
      </w:r>
    </w:p>
    <w:p>
      <w:pPr>
        <w:spacing w:after="0" w:line="122" w:lineRule="exact"/>
        <w:rPr>
          <w:sz w:val="20"/>
          <w:szCs w:val="20"/>
          <w:color w:val="auto"/>
        </w:rPr>
      </w:pPr>
    </w:p>
    <w:p>
      <w:pPr>
        <w:ind w:left="660" w:hanging="328"/>
        <w:spacing w:after="0" w:line="282"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overseeing (i) the integrity of our financial statements, (ii) the independence, qualifications and performance of our independent auditor, and (iii) the performance of our internal audit function;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 accounting firm to serve as the independent auditor and maintaining responsibility for compensation, retention and oversight of the independent auditor;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our annual audited financial statements and quarterly financial statements;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earnings press releases, risk assessment and risk management policies.</w:t>
      </w:r>
    </w:p>
    <w:p>
      <w:pPr>
        <w:spacing w:after="0" w:line="171"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and are expected to be members of the Audit Committee. is expected to be the Audit Committee Chair. Each member of the Audit Committee is expected to be financially literate, and our Board of Directors is expected to determine that at least one member of the Audit Committee is an “audit committee financial expert” for purposes of the rules of the SEC. In addition, we expect that our Board of Directors will determine that each of the members of the Audit Committee will be independent, as defined by the rules of Nasdaq New York and Section 10A(m)(3)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will have the responsibilities set forth in the charter of such committee. We anticipate that the responsibilities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will include, among others:</w:t>
      </w:r>
    </w:p>
    <w:p>
      <w:pPr>
        <w:spacing w:after="0" w:line="153" w:lineRule="exact"/>
        <w:rPr>
          <w:sz w:val="20"/>
          <w:szCs w:val="20"/>
          <w:color w:val="auto"/>
        </w:rPr>
      </w:pPr>
    </w:p>
    <w:p>
      <w:pPr>
        <w:ind w:left="66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and evaluating our Chief Executive Officer’s performance in light of such goals and objectives;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of our other executive officers, including incentive compensation and equity-based compensation plans, that are subject to approval by the Board of Directors.</w:t>
      </w:r>
    </w:p>
    <w:p>
      <w:pPr>
        <w:spacing w:after="0" w:line="108" w:lineRule="exact"/>
        <w:rPr>
          <w:sz w:val="20"/>
          <w:szCs w:val="20"/>
          <w:color w:val="auto"/>
        </w:rPr>
      </w:pPr>
    </w:p>
    <w:p>
      <w:pPr>
        <w:jc w:val="both"/>
        <w:ind w:firstLine="491"/>
        <w:spacing w:after="0" w:line="261" w:lineRule="auto"/>
        <w:rPr>
          <w:sz w:val="20"/>
          <w:szCs w:val="20"/>
          <w:color w:val="auto"/>
        </w:rPr>
      </w:pPr>
      <w:r>
        <w:rPr>
          <w:rFonts w:ascii="Times New Roman" w:cs="Times New Roman" w:eastAsia="Times New Roman" w:hAnsi="Times New Roman"/>
          <w:sz w:val="18"/>
          <w:szCs w:val="18"/>
          <w:color w:val="auto"/>
        </w:rPr>
        <w:t>, and are expected to be members of the Compensation Committee. is expected to be the Chair of such committee. Our Board of Directors is expected to determine that each member of the Compensation Committee will be independent, as defined by the rules of Nasdaq New York, Rule 10C-1 under the Exchange Act and in accordance with our Director Independence Guidelines. In addition, we expect that the members of the Compensation Committee will qualify as “non-employee directors” for purposes of Rule 16b-3 under the Exchange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and Governance Committee will have the responsibilities set forth in the charter of such committee. We anticipate that the responsibilities of the Nominating and Governance Committee will include, among others:</w:t>
      </w:r>
    </w:p>
    <w:p>
      <w:pPr>
        <w:spacing w:after="0" w:line="108" w:lineRule="exact"/>
        <w:rPr>
          <w:sz w:val="20"/>
          <w:szCs w:val="20"/>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selecting or recommending to our Board of Directors qualified individuals to be nominated for election as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our Corporate Governance Guidelines;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 and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approving transactions with related parties under our Related Party Transaction Policy;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annually the Nominating and Governance Committee’s performance.</w:t>
      </w:r>
    </w:p>
    <w:p>
      <w:pPr>
        <w:spacing w:after="0" w:line="171"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 and are expected to be members of the Nominating and Governance Committee. is expected to be the chair of such committee. Our Board of Directors is expected to determine that each member of the Nominating and Governance Committee will be independent, as defined by the rules of Nasdaq New York and in accordance with our Director Independence Guidelines.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Distribution, Octave did not exist in its current form and did not have a compensation committee or any other committee serving a similar function. Decisions as to the compensation of those individuals who currently serve as Octave’s executive officers were made by Hexagon, as described in the section of this information statement entitled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is currently a part of Hexagon, and our Compensation Committee has not yet been formed. Our pay programs and policies following the Distribution remain subject to review and approval by our own Compensation Committee once formed.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this Compensation Discussion and Analysis discusses Octave’s historical compensation programs as applied to the individuals who are expected to be our “named executive officers” (“NEOs”). We expect that our Compensation Committee, once formed, will review our compensation and benefit programs on a periodic basis and determine the appropriate compensation and benefits for our executive officers. Therefore, our executive compensation and benefits programs following the completion of the transactions may not be the same as those discussed below.</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still in the process of determining our leadership structure following the Distribution and which positions will be identified as executive officers. As of the date of this information statement, the following individuals are expected to serve as executive officers of the Company immediately following the Distribution, and, based on their roles and/or fiscal year 2025 compensation, such individuals would have constituted the NEOs of the Company had it been an independent public company during fiscal year 2025.</w:t>
      </w:r>
    </w:p>
    <w:p>
      <w:pPr>
        <w:spacing w:after="0" w:line="126"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Mattias Stenberg, who is expected to serve as our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 Maslen, who is expected to serve as our Chief Financial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Moore, who is expected to serve as our Chief Operating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Zana, who is expected to serve as our Chief Legal Officer and Corporate Secretary;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Vivek Mokashi, who is expected to serve as our Chief Technology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Hexagon’s Compensation Philosophy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Hexagon’s compensation program is designed and administered around the following core principles:</w:t>
      </w:r>
    </w:p>
    <w:p>
      <w:pPr>
        <w:spacing w:after="0" w:line="171"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market-competitive total remuneration to attract and retain key talent.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achievement of strategic and financial objectives and encourage long-term value creation.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shareholder returns.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Hexagon’s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Executive remuneration at Hexagon is intended to be competitive with market practice and consists of a mix of fixed and variable elements, both short-term and long-term, as described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Pay Element</w:t>
            </w:r>
          </w:p>
        </w:tc>
        <w:tc>
          <w:tcPr>
            <w:tcW w:w="140" w:type="dxa"/>
            <w:vAlign w:val="bottom"/>
          </w:tcPr>
          <w:p>
            <w:pPr>
              <w:spacing w:after="0"/>
              <w:rPr>
                <w:sz w:val="16"/>
                <w:szCs w:val="16"/>
                <w:color w:val="auto"/>
              </w:rPr>
            </w:pPr>
          </w:p>
        </w:tc>
        <w:tc>
          <w:tcPr>
            <w:tcW w:w="270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40" w:type="dxa"/>
            <w:vAlign w:val="bottom"/>
          </w:tcPr>
          <w:p>
            <w:pPr>
              <w:spacing w:after="0"/>
              <w:rPr>
                <w:sz w:val="16"/>
                <w:szCs w:val="16"/>
                <w:color w:val="auto"/>
              </w:rPr>
            </w:pPr>
          </w:p>
        </w:tc>
        <w:tc>
          <w:tcPr>
            <w:tcW w:w="27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2025 Structure</w:t>
            </w:r>
          </w:p>
        </w:tc>
        <w:tc>
          <w:tcPr>
            <w:tcW w:w="120" w:type="dxa"/>
            <w:vAlign w:val="bottom"/>
          </w:tcPr>
          <w:p>
            <w:pPr>
              <w:spacing w:after="0"/>
              <w:rPr>
                <w:sz w:val="16"/>
                <w:szCs w:val="16"/>
                <w:color w:val="auto"/>
              </w:rPr>
            </w:pPr>
          </w:p>
        </w:tc>
        <w:tc>
          <w:tcPr>
            <w:tcW w:w="26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Performance Objectives</w:t>
            </w:r>
          </w:p>
        </w:tc>
      </w:tr>
      <w:tr>
        <w:trPr>
          <w:trHeight w:val="23"/>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169"/>
        </w:trPr>
        <w:tc>
          <w:tcPr>
            <w:tcW w:w="27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Base Salary</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Attract and retain</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Fixed amount paid periodically in</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Rate reflects role and individual</w:t>
            </w:r>
          </w:p>
        </w:tc>
      </w:tr>
      <w:tr>
        <w:trPr>
          <w:trHeight w:val="243"/>
        </w:trPr>
        <w:tc>
          <w:tcPr>
            <w:tcW w:w="2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spacing w:after="0"/>
              <w:rPr>
                <w:sz w:val="21"/>
                <w:szCs w:val="21"/>
                <w:color w:val="auto"/>
              </w:rPr>
            </w:pPr>
          </w:p>
        </w:tc>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performance</w:t>
            </w:r>
          </w:p>
        </w:tc>
      </w:tr>
      <w:tr>
        <w:trPr>
          <w:trHeight w:val="175"/>
        </w:trPr>
        <w:tc>
          <w:tcPr>
            <w:tcW w:w="28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Cash Remuneration</w:t>
            </w:r>
          </w:p>
        </w:tc>
        <w:tc>
          <w:tcPr>
            <w:tcW w:w="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Reward for short-term</w:t>
            </w:r>
          </w:p>
        </w:tc>
        <w:tc>
          <w:tcPr>
            <w:tcW w:w="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Annual variable amount paid in</w:t>
            </w:r>
          </w:p>
        </w:tc>
        <w:tc>
          <w:tcPr>
            <w:tcW w:w="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Results and other financial targets,</w:t>
            </w:r>
          </w:p>
        </w:tc>
      </w:tr>
      <w:tr>
        <w:trPr>
          <w:trHeight w:val="184"/>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performance</w:t>
            </w:r>
          </w:p>
        </w:tc>
        <w:tc>
          <w:tcPr>
            <w:tcW w:w="140" w:type="dxa"/>
            <w:vAlign w:val="bottom"/>
          </w:tcPr>
          <w:p>
            <w:pPr>
              <w:spacing w:after="0"/>
              <w:rPr>
                <w:sz w:val="16"/>
                <w:szCs w:val="16"/>
                <w:color w:val="auto"/>
              </w:rPr>
            </w:pPr>
          </w:p>
        </w:tc>
        <w:tc>
          <w:tcPr>
            <w:tcW w:w="270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spacing w:after="0"/>
              <w:rPr>
                <w:sz w:val="16"/>
                <w:szCs w:val="16"/>
                <w:color w:val="auto"/>
              </w:rPr>
            </w:pPr>
          </w:p>
        </w:tc>
        <w:tc>
          <w:tcPr>
            <w:tcW w:w="262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such as organic revenue growth,</w:t>
            </w: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Maximum payment capped at</w:t>
            </w:r>
          </w:p>
        </w:tc>
        <w:tc>
          <w:tcPr>
            <w:tcW w:w="120" w:type="dxa"/>
            <w:vAlign w:val="bottom"/>
          </w:tcPr>
          <w:p>
            <w:pPr>
              <w:spacing w:after="0"/>
              <w:rPr>
                <w:sz w:val="15"/>
                <w:szCs w:val="15"/>
                <w:color w:val="auto"/>
              </w:rPr>
            </w:pPr>
          </w:p>
        </w:tc>
        <w:tc>
          <w:tcPr>
            <w:tcW w:w="26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profitability growth and cash</w:t>
            </w:r>
          </w:p>
        </w:tc>
      </w:tr>
      <w:tr>
        <w:trPr>
          <w:trHeight w:val="230"/>
        </w:trPr>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150% of base salary</w:t>
            </w:r>
          </w:p>
        </w:tc>
        <w:tc>
          <w:tcPr>
            <w:tcW w:w="120" w:type="dxa"/>
            <w:vAlign w:val="bottom"/>
          </w:tcPr>
          <w:p>
            <w:pPr>
              <w:spacing w:after="0"/>
              <w:rPr>
                <w:sz w:val="19"/>
                <w:szCs w:val="19"/>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w:t>
            </w:r>
          </w:p>
        </w:tc>
      </w:tr>
      <w:tr>
        <w:trPr>
          <w:trHeight w:val="175"/>
        </w:trPr>
        <w:tc>
          <w:tcPr>
            <w:tcW w:w="28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Equity Remuneration</w:t>
            </w:r>
          </w:p>
        </w:tc>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Reward for long-term performance</w:t>
            </w:r>
          </w:p>
        </w:tc>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Equity-settled awards subject to</w:t>
            </w:r>
          </w:p>
        </w:tc>
        <w:tc>
          <w:tcPr>
            <w:tcW w:w="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Earnings per share (“EPS”) growth</w:t>
            </w:r>
          </w:p>
        </w:tc>
      </w:tr>
      <w:tr>
        <w:trPr>
          <w:trHeight w:val="184"/>
        </w:trPr>
        <w:tc>
          <w:tcPr>
            <w:tcW w:w="2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Align with shareholder interests</w:t>
            </w:r>
          </w:p>
        </w:tc>
        <w:tc>
          <w:tcPr>
            <w:tcW w:w="14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four-year measurement period</w:t>
            </w:r>
          </w:p>
        </w:tc>
        <w:tc>
          <w:tcPr>
            <w:tcW w:w="12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r>
      <w:tr>
        <w:trPr>
          <w:trHeight w:val="180"/>
        </w:trPr>
        <w:tc>
          <w:tcPr>
            <w:tcW w:w="2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Attract, motivate, and retain</w:t>
            </w:r>
          </w:p>
        </w:tc>
        <w:tc>
          <w:tcPr>
            <w:tcW w:w="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Maximum payment capped at 35%</w:t>
            </w:r>
          </w:p>
        </w:tc>
        <w:tc>
          <w:tcPr>
            <w:tcW w:w="1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230"/>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 100% of base salary</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direct compensation elements noted above, the NEOs are eligible for certain pension and other benefits consistent with other senior leaders within Hexagon, although the NEOs are not all similarly situated within Hexagon and have varying terms and conditions of employment. Such benefits are described in more detail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Executive Compensation is Determined at Hexagon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Remuneration Committee of Hexagon’s Board of Directors (the “Hexagon Board” and such committee, the “Hexagon Remuneration Committee”) typically prepares proposals regarding compensation for members of Hexagon’s executive management team, three of whom are designated to be our NEOs, with such compensation finally decided by the Hexagon Board. Compensation for two other individuals who are designated to be our NEOs was evaluated using standard compensation practices within the applicable business areas of Hexagon.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 Responsibilities for 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 the table below are the oversight responsibilities for Hexagon’s executive compensation.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General Meeting of Shareholders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Approve the guidelines for remuneration to senior executives prepared by the Hexagon Board at least every</w:t>
            </w: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(“AGM”)</w:t>
            </w:r>
          </w:p>
        </w:tc>
        <w:tc>
          <w:tcPr>
            <w:tcW w:w="120" w:type="dxa"/>
            <w:vAlign w:val="bottom"/>
            <w:shd w:val="clear" w:color="auto" w:fill="CCEEFF"/>
          </w:tcPr>
          <w:p>
            <w:pPr>
              <w:spacing w:after="0"/>
              <w:rPr>
                <w:sz w:val="16"/>
                <w:szCs w:val="16"/>
                <w:color w:val="auto"/>
              </w:rPr>
            </w:pPr>
          </w:p>
        </w:tc>
        <w:tc>
          <w:tcPr>
            <w:tcW w:w="784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fourth year</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84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Approve the annual remuneration report prepared pursuant to Swedish law</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Approve performance-based long-term incentive programs upon proposal from the Hexagon Board</w:t>
            </w: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784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Approve the remuneration of the Hexagon Board upon proposal from Hexagon’s Nomination Committee</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84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Approve any deviations from the adopted guidelines for remuneration to senior executives upon proposal</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from the Hexagon Board</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Remuneration Committee</w:t>
            </w:r>
          </w:p>
        </w:tc>
        <w:tc>
          <w:tcPr>
            <w:tcW w:w="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Recommend to the Hexagon Board remuneration of Hexagon’s President and CEO and other senior</w:t>
            </w: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4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executives</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84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Determine achievement of variable cash remuneration performance criteria for Hexagon’s President and</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CEO</w:t>
            </w: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84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Monitor and evaluate programs for variable remuneration for executive management</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Evaluate the application of the adopted guidelines for remuneration to senior executives</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Board of Directors</w:t>
            </w:r>
          </w:p>
        </w:tc>
        <w:tc>
          <w:tcPr>
            <w:tcW w:w="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Approve remuneration of Hexagon’s President and CEO and other senior executives based upon proposal</w:t>
            </w: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4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from the Hexagon Remuneration Committee</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84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Submit to the AGM a proposal for guidelines for remuneration to senior executives at least every fourth</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year</w:t>
            </w: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4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Prepare the annual remuneration report for approval by the AGM</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84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Consider annually whether a share or share-based incentive program shall be proposed to the AGM</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Submit to the AGM any proposed deviations from the adopted guidelines for remuneration to senior</w:t>
            </w: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4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executives when necessary to safeguard Hexagon’s long-term interests or financial viability</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84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Review the annual independent auditor’s opinion on whether Hexagon’s remuneration practices comply</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with the adopted guidelines for remuneration to senior executives</w:t>
            </w:r>
          </w:p>
        </w:tc>
        <w:tc>
          <w:tcPr>
            <w:tcW w:w="0" w:type="dxa"/>
            <w:vAlign w:val="bottom"/>
          </w:tcPr>
          <w:p>
            <w:pPr>
              <w:spacing w:after="0"/>
              <w:rPr>
                <w:sz w:val="1"/>
                <w:szCs w:val="1"/>
                <w:color w:val="auto"/>
              </w:rPr>
            </w:pPr>
          </w:p>
        </w:tc>
      </w:tr>
      <w:tr>
        <w:trPr>
          <w:trHeight w:val="175"/>
        </w:trPr>
        <w:tc>
          <w:tcPr>
            <w:tcW w:w="3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and Chief Executive Officer of</w:t>
            </w:r>
          </w:p>
        </w:tc>
        <w:tc>
          <w:tcPr>
            <w:tcW w:w="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Determine achievement of variable cash remuneration performance criteria for other executives</w:t>
            </w:r>
          </w:p>
        </w:tc>
        <w:tc>
          <w:tcPr>
            <w:tcW w:w="0" w:type="dxa"/>
            <w:vAlign w:val="bottom"/>
          </w:tcPr>
          <w:p>
            <w:pPr>
              <w:spacing w:after="0"/>
              <w:rPr>
                <w:sz w:val="1"/>
                <w:szCs w:val="1"/>
                <w:color w:val="auto"/>
              </w:rPr>
            </w:pP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Hexagon</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Review and approve base compensation for direct reports of Hexagon executives</w:t>
            </w:r>
          </w:p>
        </w:tc>
        <w:tc>
          <w:tcPr>
            <w:tcW w:w="0" w:type="dxa"/>
            <w:vAlign w:val="bottom"/>
          </w:tcPr>
          <w:p>
            <w:pPr>
              <w:spacing w:after="0"/>
              <w:rPr>
                <w:sz w:val="1"/>
                <w:szCs w:val="1"/>
                <w:color w:val="auto"/>
              </w:rPr>
            </w:pPr>
          </w:p>
        </w:tc>
      </w:tr>
      <w:tr>
        <w:trPr>
          <w:trHeight w:val="63"/>
        </w:trPr>
        <w:tc>
          <w:tcPr>
            <w:tcW w:w="3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Independent Auditor</w:t>
            </w:r>
          </w:p>
        </w:tc>
        <w:tc>
          <w:tcPr>
            <w:tcW w:w="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Review and report annually on Hexagon’s compliance with the adopted guidelines for remuneration to</w:t>
            </w: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senior executives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Compensation Program Details and Decisions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 salary represents the fixed portion of an NEO’s compensation and is intended to provide compensation for expected day-to-day performance. Salaries are reviewed periodically and may be increased based on a number of factors, including the assumption of additional responsibilities and other factors that demonstrate an NEO’s increased value to Hexagon and review of competitive market data. For fiscal year 2025, the annual base salary rates for the NEOs were: $1,025,326 for Mr. Stenberg; $715,454 for Mr. Maslen; $570,544 for Mr. Moore; $640,030 for Mr. Zana and $388,125 for Mr. Mokashi. Throughout this information statement, amounts for Mr. Maslen reflect a conversion from pounds sterling (GBP) to U.S. dollars using the foreign exchange rate as of December 30,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Bonuses and Non-Equity Incentive Plan Compensation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motivate the NEOs to achieve short-term performance objectives, Hexagon awards bonuses based on achievement of predefined performance metrics established by the Hexagon Remuneration Committee. For fiscal year 2025, the annual bonus opportunity for each of Messrs. Stenberg, Maslen, Moore and Zana was equal to 150% of base salary, representing the aggregate cap on payouts, as follows: $1,537,989 for Mr. Stenberg; $1,073,181 for Mr. Maslen; $855,816 for Mr. Moore; $960,045 for Mr. Zana. Mr. Mokashi’s target bonus opportunity for fiscal year 2025 was equal to 40% of base salary, or $155,250, with the opportunity to earn up to 200% of target, or $310,500, based on performance. The earned bonuses for fiscal year 2025 were determined based on the level of achievement of the following metrics.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Range</w:t>
            </w:r>
            <w:r>
              <w:rPr>
                <w:rFonts w:ascii="Times New Roman" w:cs="Times New Roman" w:eastAsia="Times New Roman" w:hAnsi="Times New Roman"/>
                <w:sz w:val="18"/>
                <w:szCs w:val="18"/>
                <w:b w:val="1"/>
                <w:bCs w:val="1"/>
                <w:color w:val="auto"/>
                <w:vertAlign w:val="superscript"/>
              </w:rPr>
              <w:t>(2)</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15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NEO</w:t>
            </w:r>
          </w:p>
        </w:tc>
        <w:tc>
          <w:tcPr>
            <w:tcW w:w="100" w:type="dxa"/>
            <w:vAlign w:val="bottom"/>
          </w:tcPr>
          <w:p>
            <w:pPr>
              <w:spacing w:after="0"/>
              <w:rPr>
                <w:sz w:val="17"/>
                <w:szCs w:val="17"/>
                <w:color w:val="auto"/>
              </w:rPr>
            </w:pPr>
          </w:p>
        </w:tc>
        <w:tc>
          <w:tcPr>
            <w:tcW w:w="2100" w:type="dxa"/>
            <w:vAlign w:val="bottom"/>
          </w:tcPr>
          <w:p>
            <w:pPr>
              <w:ind w:left="780"/>
              <w:spacing w:after="0" w:line="196" w:lineRule="exact"/>
              <w:rPr>
                <w:sz w:val="20"/>
                <w:szCs w:val="20"/>
                <w:color w:val="auto"/>
              </w:rPr>
            </w:pPr>
            <w:r>
              <w:rPr>
                <w:rFonts w:ascii="Times New Roman" w:cs="Times New Roman" w:eastAsia="Times New Roman" w:hAnsi="Times New Roman"/>
                <w:sz w:val="14"/>
                <w:szCs w:val="14"/>
                <w:b w:val="1"/>
                <w:bCs w:val="1"/>
                <w:color w:val="auto"/>
              </w:rPr>
              <w:t>Metric</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4"/>
                <w:szCs w:val="14"/>
                <w:b w:val="1"/>
                <w:bCs w:val="1"/>
                <w:color w:val="auto"/>
                <w:w w:val="98"/>
              </w:rPr>
              <w:t>Payout Range</w:t>
            </w:r>
            <w:r>
              <w:rPr>
                <w:rFonts w:ascii="Times New Roman" w:cs="Times New Roman" w:eastAsia="Times New Roman" w:hAnsi="Times New Roman"/>
                <w:sz w:val="18"/>
                <w:szCs w:val="18"/>
                <w:b w:val="1"/>
                <w:bCs w:val="1"/>
                <w:color w:val="auto"/>
                <w:w w:val="98"/>
                <w:vertAlign w:val="superscript"/>
              </w:rPr>
              <w:t>(3)</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Payout Percentage</w:t>
            </w:r>
          </w:p>
        </w:tc>
      </w:tr>
      <w:tr>
        <w:trPr>
          <w:trHeight w:val="169"/>
        </w:trPr>
        <w:tc>
          <w:tcPr>
            <w:tcW w:w="1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Octave organic revenue</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0–50% of base</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6.8% of base</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Octave Earnings Before</w:t>
            </w:r>
          </w:p>
        </w:tc>
        <w:tc>
          <w:tcPr>
            <w:tcW w:w="1520" w:type="dxa"/>
            <w:vAlign w:val="bottom"/>
            <w:gridSpan w:val="2"/>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7"/>
              </w:rPr>
              <w:t>0–50%</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25% of base salary</w:t>
            </w: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Tax (“EBIT”)</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100"/>
              <w:spacing w:after="0" w:line="185" w:lineRule="exact"/>
              <w:rPr>
                <w:sz w:val="20"/>
                <w:szCs w:val="20"/>
                <w:color w:val="auto"/>
              </w:rPr>
            </w:pPr>
            <w:r>
              <w:rPr>
                <w:rFonts w:ascii="Times New Roman" w:cs="Times New Roman" w:eastAsia="Times New Roman" w:hAnsi="Times New Roman"/>
                <w:sz w:val="17"/>
                <w:szCs w:val="17"/>
                <w:color w:val="auto"/>
              </w:rPr>
              <w:t>of base salary</w:t>
            </w:r>
            <w:r>
              <w:rPr>
                <w:rFonts w:ascii="Times New Roman" w:cs="Times New Roman" w:eastAsia="Times New Roman" w:hAnsi="Times New Roman"/>
                <w:sz w:val="21"/>
                <w:szCs w:val="21"/>
                <w:color w:val="auto"/>
                <w:vertAlign w:val="superscript"/>
              </w:rPr>
              <w:t>(4)</w:t>
            </w:r>
          </w:p>
        </w:tc>
        <w:tc>
          <w:tcPr>
            <w:tcW w:w="1440" w:type="dxa"/>
            <w:vAlign w:val="bottom"/>
            <w:shd w:val="clear" w:color="auto" w:fill="CCEEFF"/>
          </w:tcPr>
          <w:p>
            <w:pPr>
              <w:spacing w:after="0"/>
              <w:rPr>
                <w:sz w:val="16"/>
                <w:szCs w:val="16"/>
                <w:color w:val="auto"/>
              </w:rPr>
            </w:pP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Octave cash conversion</w:t>
            </w:r>
          </w:p>
        </w:tc>
        <w:tc>
          <w:tcPr>
            <w:tcW w:w="15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70%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42.6% of base</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63"/>
        </w:trPr>
        <w:tc>
          <w:tcPr>
            <w:tcW w:w="1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175"/>
        </w:trPr>
        <w:tc>
          <w:tcPr>
            <w:tcW w:w="1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Ben Maslen</w:t>
            </w:r>
          </w:p>
        </w:tc>
        <w:tc>
          <w:tcPr>
            <w:tcW w:w="100" w:type="dxa"/>
            <w:vAlign w:val="bottom"/>
          </w:tcPr>
          <w:p>
            <w:pPr>
              <w:spacing w:after="0"/>
              <w:rPr>
                <w:sz w:val="15"/>
                <w:szCs w:val="15"/>
                <w:color w:val="auto"/>
              </w:rPr>
            </w:pPr>
          </w:p>
        </w:tc>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Hexagon organic revenue</w:t>
            </w:r>
          </w:p>
        </w:tc>
        <w:tc>
          <w:tcPr>
            <w:tcW w:w="15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EBIT growth</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cash conversion</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60%</w:t>
            </w: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50%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63"/>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175"/>
        </w:trPr>
        <w:tc>
          <w:tcPr>
            <w:tcW w:w="1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Scott Moore</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Octave organic revenue</w:t>
            </w:r>
          </w:p>
        </w:tc>
        <w:tc>
          <w:tcPr>
            <w:tcW w:w="15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6.8% of base</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EBIT growth</w:t>
            </w:r>
            <w:r>
              <w:rPr>
                <w:rFonts w:ascii="Times New Roman" w:cs="Times New Roman" w:eastAsia="Times New Roman" w:hAnsi="Times New Roman"/>
                <w:sz w:val="21"/>
                <w:szCs w:val="21"/>
                <w:color w:val="auto"/>
                <w:vertAlign w:val="superscript"/>
              </w:rPr>
              <w:t>(5)</w:t>
            </w:r>
          </w:p>
        </w:tc>
        <w:tc>
          <w:tcPr>
            <w:tcW w:w="1520" w:type="dxa"/>
            <w:vAlign w:val="bottom"/>
            <w:gridSpan w:val="2"/>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50% of base salary</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spacing w:after="0"/>
              <w:rPr>
                <w:sz w:val="20"/>
                <w:szCs w:val="20"/>
                <w:color w:val="auto"/>
              </w:rPr>
            </w:pP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Octave cash conversion</w:t>
            </w:r>
          </w:p>
        </w:tc>
        <w:tc>
          <w:tcPr>
            <w:tcW w:w="1520" w:type="dxa"/>
            <w:vAlign w:val="bottom"/>
            <w:gridSpan w:val="2"/>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70%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42.6% of base</w:t>
            </w:r>
          </w:p>
        </w:tc>
      </w:tr>
      <w:tr>
        <w:trPr>
          <w:trHeight w:val="243"/>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23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00" w:type="dxa"/>
            <w:vAlign w:val="bottom"/>
          </w:tcPr>
          <w:p>
            <w:pPr>
              <w:spacing w:after="0"/>
              <w:rPr>
                <w:sz w:val="19"/>
                <w:szCs w:val="19"/>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Hexagon organic revenue</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EBIT growth</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cash conversion</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60%</w:t>
            </w: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50%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63"/>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175"/>
        </w:trPr>
        <w:tc>
          <w:tcPr>
            <w:tcW w:w="1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Vivek Mokashi</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Global revenue</w:t>
            </w: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90% of plan</w:t>
            </w: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100% of plan</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110% of plan</w:t>
            </w:r>
          </w:p>
        </w:tc>
        <w:tc>
          <w:tcPr>
            <w:tcW w:w="15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0–200% of target</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 of target</w:t>
            </w:r>
          </w:p>
        </w:tc>
      </w:tr>
      <w:tr>
        <w:trPr>
          <w:trHeight w:val="243"/>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bonus opportunity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bonus opportunity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shd w:val="clear" w:color="auto" w:fill="CCEEFF"/>
          </w:tcPr>
          <w:p>
            <w:pPr>
              <w:spacing w:after="0"/>
              <w:rPr>
                <w:sz w:val="17"/>
                <w:szCs w:val="17"/>
                <w:color w:val="auto"/>
              </w:rPr>
            </w:pPr>
          </w:p>
        </w:tc>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Global EBIT</w:t>
            </w:r>
          </w:p>
        </w:tc>
        <w:tc>
          <w:tcPr>
            <w:tcW w:w="15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80%</w:t>
            </w:r>
          </w:p>
        </w:tc>
        <w:tc>
          <w:tcPr>
            <w:tcW w:w="1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100% of plan</w:t>
            </w:r>
          </w:p>
        </w:tc>
        <w:tc>
          <w:tcPr>
            <w:tcW w:w="1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120% of plan</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0–200% of target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37.1% of target</w:t>
            </w:r>
          </w:p>
        </w:tc>
      </w:tr>
      <w:tr>
        <w:trPr>
          <w:trHeight w:val="234"/>
        </w:trPr>
        <w:tc>
          <w:tcPr>
            <w:tcW w:w="15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5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of plan</w:t>
            </w:r>
          </w:p>
        </w:tc>
        <w:tc>
          <w:tcPr>
            <w:tcW w:w="15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bonus opportunity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bonus opportunity</w:t>
            </w:r>
          </w:p>
        </w:tc>
      </w:tr>
      <w:tr>
        <w:trPr>
          <w:trHeight w:val="184"/>
        </w:trPr>
        <w:tc>
          <w:tcPr>
            <w:tcW w:w="1500" w:type="dxa"/>
            <w:vAlign w:val="bottom"/>
            <w:shd w:val="clear" w:color="auto" w:fill="CCEEFF"/>
          </w:tcPr>
          <w:p>
            <w:pPr>
              <w:spacing w:after="0"/>
              <w:rPr>
                <w:sz w:val="16"/>
                <w:szCs w:val="16"/>
                <w:color w:val="auto"/>
              </w:rPr>
            </w:pPr>
          </w:p>
        </w:tc>
        <w:tc>
          <w:tcPr>
            <w:tcW w:w="216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Global SaaS bookings</w:t>
            </w:r>
          </w:p>
        </w:tc>
        <w:tc>
          <w:tcPr>
            <w:tcW w:w="1560" w:type="dxa"/>
            <w:vAlign w:val="bottom"/>
            <w:shd w:val="clear" w:color="auto" w:fill="CCEEFF"/>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rPr>
              <w:t>0% of plan</w:t>
            </w:r>
          </w:p>
        </w:tc>
        <w:tc>
          <w:tcPr>
            <w:tcW w:w="1560" w:type="dxa"/>
            <w:vAlign w:val="bottom"/>
            <w:shd w:val="clear" w:color="auto" w:fill="CCEEFF"/>
          </w:tcPr>
          <w:p>
            <w:pPr>
              <w:ind w:left="320"/>
              <w:spacing w:after="0" w:line="184" w:lineRule="exact"/>
              <w:rPr>
                <w:sz w:val="20"/>
                <w:szCs w:val="20"/>
                <w:color w:val="auto"/>
              </w:rPr>
            </w:pPr>
            <w:r>
              <w:rPr>
                <w:rFonts w:ascii="Times New Roman" w:cs="Times New Roman" w:eastAsia="Times New Roman" w:hAnsi="Times New Roman"/>
                <w:sz w:val="18"/>
                <w:szCs w:val="18"/>
                <w:color w:val="auto"/>
              </w:rPr>
              <w:t>100% of plan</w:t>
            </w:r>
          </w:p>
        </w:tc>
        <w:tc>
          <w:tcPr>
            <w:tcW w:w="1400" w:type="dxa"/>
            <w:vAlign w:val="bottom"/>
            <w:shd w:val="clear" w:color="auto" w:fill="CCEEFF"/>
          </w:tcPr>
          <w:p>
            <w:pPr>
              <w:ind w:left="280"/>
              <w:spacing w:after="0" w:line="184" w:lineRule="exact"/>
              <w:rPr>
                <w:sz w:val="20"/>
                <w:szCs w:val="20"/>
                <w:color w:val="auto"/>
              </w:rPr>
            </w:pPr>
            <w:r>
              <w:rPr>
                <w:rFonts w:ascii="Times New Roman" w:cs="Times New Roman" w:eastAsia="Times New Roman" w:hAnsi="Times New Roman"/>
                <w:sz w:val="18"/>
                <w:szCs w:val="18"/>
                <w:color w:val="auto"/>
              </w:rPr>
              <w:t>150% of plan</w:t>
            </w:r>
          </w:p>
        </w:tc>
        <w:tc>
          <w:tcPr>
            <w:tcW w:w="15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0–200% of target</w:t>
            </w:r>
          </w:p>
        </w:tc>
        <w:tc>
          <w:tcPr>
            <w:tcW w:w="15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110.7% of target</w:t>
            </w:r>
          </w:p>
        </w:tc>
      </w:tr>
      <w:tr>
        <w:trPr>
          <w:trHeight w:val="243"/>
        </w:trPr>
        <w:tc>
          <w:tcPr>
            <w:tcW w:w="15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bonus opportunity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bonus opportunity</w:t>
            </w:r>
          </w:p>
        </w:tc>
      </w:tr>
      <w:tr>
        <w:trPr>
          <w:trHeight w:val="250"/>
        </w:trPr>
        <w:tc>
          <w:tcPr>
            <w:tcW w:w="1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__________________</w:t>
            </w:r>
          </w:p>
        </w:tc>
        <w:tc>
          <w:tcPr>
            <w:tcW w:w="2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00" w:type="dxa"/>
            <w:vAlign w:val="bottom"/>
          </w:tcPr>
          <w:p>
            <w:pPr>
              <w:spacing w:after="0"/>
              <w:rPr>
                <w:sz w:val="21"/>
                <w:szCs w:val="21"/>
                <w:color w:val="auto"/>
              </w:rPr>
            </w:pPr>
          </w:p>
        </w:tc>
      </w:tr>
    </w:tbl>
    <w:p>
      <w:pPr>
        <w:ind w:left="320" w:hanging="312"/>
        <w:spacing w:after="0"/>
        <w:tabs>
          <w:tab w:leader="none" w:pos="3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metrics are equally weighted, except that for Mr. Mokashi, Global revenue is weighted 60% and Global EBIT and Global SaaS bookings are each weighted 20%.</w:t>
      </w:r>
    </w:p>
    <w:p>
      <w:pPr>
        <w:spacing w:after="0" w:line="11" w:lineRule="exact"/>
        <w:rPr>
          <w:rFonts w:ascii="Times New Roman" w:cs="Times New Roman" w:eastAsia="Times New Roman" w:hAnsi="Times New Roman"/>
          <w:sz w:val="14"/>
          <w:szCs w:val="14"/>
          <w:color w:val="auto"/>
        </w:rPr>
      </w:pPr>
    </w:p>
    <w:p>
      <w:pPr>
        <w:jc w:val="both"/>
        <w:ind w:left="340" w:hanging="332"/>
        <w:spacing w:after="0" w:line="257" w:lineRule="auto"/>
        <w:tabs>
          <w:tab w:leader="none" w:pos="332"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Messrs. Stenberg, Maslen, Moore and Zana, the annual incentive plan provides for three equally weighted performance metrics, each with payout ranging from 0% to 50% of base salary. Generally, payouts are determined using a linear earning scale between the applicable performance levels. For Messrs. Stenberg, Maslen, Moore and Zana, payouts are subject to an aggregate cap of 150% of base salary and achievement above the target performance level does not result in additional payouts. Accordingly, maximum performance levels are not presented in this table with respect to Messrs. Stenberg, Maslen, Moore and Zana.</w:t>
      </w:r>
    </w:p>
    <w:p>
      <w:pPr>
        <w:spacing w:after="0" w:line="2" w:lineRule="exact"/>
        <w:rPr>
          <w:rFonts w:ascii="Times New Roman" w:cs="Times New Roman" w:eastAsia="Times New Roman" w:hAnsi="Times New Roman"/>
          <w:sz w:val="14"/>
          <w:szCs w:val="14"/>
          <w:color w:val="auto"/>
        </w:rPr>
      </w:pPr>
    </w:p>
    <w:p>
      <w:pPr>
        <w:jc w:val="both"/>
        <w:ind w:left="340" w:right="20" w:hanging="332"/>
        <w:spacing w:after="0" w:line="260" w:lineRule="auto"/>
        <w:tabs>
          <w:tab w:leader="none" w:pos="332"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payouts are determined using a linear earning scale between the applicable performance levels. For Mr. Mokashi, the Global SaaS bookings metric uses a linear payout up to target performance and an accelerated slope equal to two times the linear rate for results exceeding target. Payout percentages for Mr. Mokashi are applied to the weighted components of his target bonus opportunity, and the maximum aggregate payout under the annual incentive plan is 200% of target bonus opportunity.</w:t>
      </w:r>
    </w:p>
    <w:p>
      <w:pPr>
        <w:ind w:left="340" w:right="20" w:hanging="332"/>
        <w:spacing w:after="0" w:line="254" w:lineRule="auto"/>
        <w:tabs>
          <w:tab w:leader="none" w:pos="332"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impact of the separation and related transition activities during 2025, solely with respect to Mr. Stenberg, a minimum payout of 25% of base salary payable for the Octave EBIT growth performance metric was applied under the 2025 annual incentive plan.</w:t>
      </w:r>
    </w:p>
    <w:p>
      <w:pPr>
        <w:ind w:left="340" w:right="20" w:hanging="332"/>
        <w:spacing w:after="0" w:line="278" w:lineRule="auto"/>
        <w:tabs>
          <w:tab w:leader="none" w:pos="332"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EBIT growth metric comparing Octave EBIT for 2025 with EBIT for the Asset Lifecycle Intelligence division for 2024 (as historically reported by Hexagon), reflecting the separation and related transition activities during 2025.</w:t>
      </w:r>
    </w:p>
    <w:p>
      <w:pPr>
        <w:spacing w:after="0" w:line="1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performance results described above, the annual bonuses paid in respect of 2025 were $762,843 for Mr. Stenberg, $479,712 for Mr. Maslen, $567,121 for Mr. Moore, $429,140 for Mr. Zana and $71,978 for Mr. Mokashi.</w:t>
      </w:r>
    </w:p>
    <w:p>
      <w:pPr>
        <w:spacing w:after="0" w:line="108" w:lineRule="exact"/>
        <w:rPr>
          <w:sz w:val="20"/>
          <w:szCs w:val="20"/>
          <w:color w:val="auto"/>
        </w:rPr>
      </w:pPr>
    </w:p>
    <w:p>
      <w:pPr>
        <w:ind w:right="1540"/>
        <w:spacing w:after="0" w:line="438" w:lineRule="auto"/>
        <w:rPr>
          <w:sz w:val="20"/>
          <w:szCs w:val="20"/>
          <w:color w:val="auto"/>
        </w:rPr>
      </w:pPr>
      <w:r>
        <w:rPr>
          <w:rFonts w:ascii="Times New Roman" w:cs="Times New Roman" w:eastAsia="Times New Roman" w:hAnsi="Times New Roman"/>
          <w:sz w:val="18"/>
          <w:szCs w:val="18"/>
          <w:color w:val="auto"/>
        </w:rPr>
        <w:t xml:space="preserve">In 2025, Mr. Zana also received a discretionary bonus outside the annual incentive plan in recognition of contributions during the year. </w:t>
      </w:r>
      <w:r>
        <w:rPr>
          <w:rFonts w:ascii="Times New Roman" w:cs="Times New Roman" w:eastAsia="Times New Roman" w:hAnsi="Times New Roman"/>
          <w:sz w:val="18"/>
          <w:szCs w:val="18"/>
          <w:b w:val="1"/>
          <w:bCs w:val="1"/>
          <w:i w:val="1"/>
          <w:iCs w:val="1"/>
          <w:color w:val="auto"/>
        </w:rPr>
        <w:t>Hexagon Equity Incentive Plan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Hexagon’s annual compensation program, Hexagon generally grants performance share awards in June of each year through its long-term share programme. The purpose of the share programme is to strengthen Hexagon’s ability to retain and recruit competent employees, to provide competitive remuneration and to align the interest of the shareholders with the interest of the employees concerned. Hexagon’s equity-based incentive program is proposed by the Hexagon Board to the AGM each year and implemented following shareholder approval.</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AGM held on May 5, 2025, Hexagon’s shareholders decided to implement a performance based long-term share programme for 2025 (the “Hexagon Share Programme 2025/2028”), which entitles participants to Series B shares in Hexagon or cash in lieu thereof if certain metrics related to Hexagon’s earnings per share are satisfied, subject to continued employment. Five groups of participants (the Chief Executive Officer, group management, division managers, senior executives and key employees of Hexagon, its subsidiaries and affiliates) who, with the exception of the Chief Executive Officer, have been employed for at least 12 months were entitled to participate in the Hexagon Share Programme 2025/2028. Participants were granted performance share awards determined using a maximum value for each participant category, expressed as a percentage of the participant’s annual base salary for 2025. The share price used to calculate the grant date fair value of performance share awards was the volume-weighted average of the market price of Hexagon’s Series B shares on Nasdaq Stockholm from June 19, 2025 through June 26, 2025, representing five trading days preceding the date on which participants were offered the opportunity to participate in the Hexagon Share Programme 2025/2028.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and value of performance share awards granted to the NEOs pursuant to the Hexagon Share Programme 2025/2028:</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 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Share</w:t>
            </w:r>
          </w:p>
        </w:tc>
        <w:tc>
          <w:tcPr>
            <w:tcW w:w="0" w:type="dxa"/>
            <w:vAlign w:val="bottom"/>
          </w:tcPr>
          <w:p>
            <w:pPr>
              <w:spacing w:after="0"/>
              <w:rPr>
                <w:sz w:val="1"/>
                <w:szCs w:val="1"/>
                <w:color w:val="auto"/>
              </w:rPr>
            </w:pPr>
          </w:p>
        </w:tc>
      </w:tr>
      <w:tr>
        <w:trPr>
          <w:trHeight w:val="14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Awards Target Value ($)</w:t>
            </w:r>
          </w:p>
        </w:tc>
        <w:tc>
          <w:tcPr>
            <w:tcW w:w="0" w:type="dxa"/>
            <w:vAlign w:val="bottom"/>
          </w:tcPr>
          <w:p>
            <w:pPr>
              <w:spacing w:after="0"/>
              <w:rPr>
                <w:sz w:val="1"/>
                <w:szCs w:val="1"/>
                <w:color w:val="auto"/>
              </w:rPr>
            </w:pPr>
          </w:p>
        </w:tc>
      </w:tr>
      <w:tr>
        <w:trPr>
          <w:trHeight w:val="148"/>
        </w:trPr>
        <w:tc>
          <w:tcPr>
            <w:tcW w:w="802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w:t>
            </w:r>
          </w:p>
        </w:tc>
        <w:tc>
          <w:tcPr>
            <w:tcW w:w="15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56,335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542,506</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37,873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364,717</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31,339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301,795</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35,166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338,649</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21,319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205,302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78" w:lineRule="auto"/>
        <w:tabs>
          <w:tab w:leader="none" w:pos="332"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values reflect a conversion from Swedish kronor to U.S. dollars using Hexagon’s June 2025 foreign exchange rate applied for financial reporting purposes (9.58947), resulting in a share price of $9.63 per share.</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performance share awards were granted free of charge and are subject to a four-year vesting period and continued employment, subject to certain exceptions. Vesting of performance share awards is also subject to the satisfaction of a performance condition related to an increase in Hexagon’s earnings per share (excluding adjustments) over the measurement period from January 1, 2025 to December 31, 2028, as determined by comparing the financial year 2028 results to those for the financial year 2024. If the performance condition is satisfied, the participants will be entitled to receive Series B shares in Hexagon in accordance with the terms of Hexagon Share Programme 2025/2028.</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Employee Matters Agreement will govern the treatment of outstanding Hexagon Equity Awards held by the Octave Employees (each, as defined below), including each of our NEOs, as of the Closing. See “—Treatment of Outstanding Hexagon Equity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Components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annual and long-term direct compensation programs designed to align pay with performance, Hexagon provides the NEOs with the benefits and retirement plans summarized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and Perquisites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NEOs receive health coverage, life insurance, disability benefits and, generally, other similar benefits in the same manner as our employees in the applicable NEO’s respective country. Certain NEOs are also eligible for limited perquisites, such as employer-paid club memberships, consistent with market practice.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401(k) Plan. </w:t>
      </w:r>
      <w:r>
        <w:rPr>
          <w:rFonts w:ascii="Times New Roman" w:cs="Times New Roman" w:eastAsia="Times New Roman" w:hAnsi="Times New Roman"/>
          <w:sz w:val="18"/>
          <w:szCs w:val="18"/>
          <w:color w:val="auto"/>
        </w:rPr>
        <w:t>Hexagon maintains a 401(k) retirement savings plan (the “401(k) Plan”) for its employees who satisfy certain eligibility requirements.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Messrs. Stenberg, Moore, Zana and Mokashi were eligible to participate in the 401(k) Plan on the same terms as other eligible employees. Hexagon provides employer contributions under the 401(k) Plan, which are fully vested when made.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UK Plan. </w:t>
      </w:r>
      <w:r>
        <w:rPr>
          <w:rFonts w:ascii="Times New Roman" w:cs="Times New Roman" w:eastAsia="Times New Roman" w:hAnsi="Times New Roman"/>
          <w:sz w:val="18"/>
          <w:szCs w:val="18"/>
          <w:color w:val="auto"/>
        </w:rPr>
        <w:t>Hexagon sponsors the Hexagon Intergraph Pension Scheme (the “UK Plan”), a broad-based defined contribution pension plan for its UK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2025, Mr. Maslen was eligible to participate in the UK Plan on the same terms as other eligible employees. Hexagon provides employer contributions under the UK Plan, which are fully vested when made. Benefits under the UK Plan are based solely on contributions and investment performance, and no defined benefit or guaranteed return is provided.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Agreements with NEOs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and conditions of employment for our NEOs are subject to employment agreements or offer letters of employment with Hexagon or its subsidiaries. In connection with the Distribution, the Company and/or certain of its affiliates intend to enter into new employment agreements with our NEOs, to be effective upon the completion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Distribution. See “Executive Compensation—Compensation Arrangements to be Adopted in Connection with this Distribution—Employment Agreements” for more detailed description of such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Mattias Stenberg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16, 2017, Intergraph PPM, then a business division operating under Intergraph Corporation and now part of Hexagon’s Asset Lifecycle Intelligence division, and Mr. Stenberg entered into an offer letter (as amended, the “Stenberg Offer Letter”). The Stenberg Offer Letter provides that Mr. Stenberg’s employment is for an unspecified duration, “at-will” and may be terminated by Mr. Stenberg or the employer subject to six- and twelve-month notice requirements, respectively.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Stenberg Offer Letter, Mr. Stenberg is entitled to receive an initial base salary of $57,500 per month, or approximately $690,000 on an annualized basis, subject to adjustments from time to time per management’s discretion. Mr. Stenberg also received a one-time cash bonus in the amount of $32,876.67.</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Stenberg Offer Letter, Mr. Stenberg is eligible to receive an annual bonus of up to 150% of his base salary under the employer’s non-equity incentive bonus plan. The Stenberg Offer Letter also provides for a one-year post-termination non-competition covenant and a one-year post-termination non-solicitation covenant of customers and employees or independent contractors of the employer. In connection with his employment, Mr. Stenberg was required to sign a proprietary information and invention agreement, a privacy policy agreement and an export compliance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 Maslen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his commencement of employment with Hexagon Corporate Services UK Ltd in August 2017, Mr. Maslen entered into an offer letter and a Service Agreement (together, the “Maslen Employment Agreement”) that collectively describe certain terms of Mr. Maslen’s initial compensation arrangements. The Maslen Employment Agreement provides that Mr. Maslen’s employment will be continuous until terminated and may be terminated by Mr. Maslen or the employer, generally subject to six- or twelve-month notice requirements, respectively. See “Executive Compensation—Potential Payments Upon Termination or Change-in-Control” below for additional information regarding payments or benefits payable upon termination of employment or a change in control.</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Maslen Employment Agreement, Mr. Maslen is entitled to receive an initial base salary of £400,000 per year, subject to review by the employer’s Chief Executive Officer or his or her designee not less than once in each calendar year. Under the Maslen Employment Agreement, Mr. Maslen is also eligible to participate in Hexagon’s group management bonus scheme, pension scheme and other employee benefit programs.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written notice is given by Mr. Maslen or by the employer to terminate Mr. Maslen’s employment or if Mr. Maslen has purported to resign without giving due notice to the employer, the employer may: (i) require Mr. Maslen to perform such duties as the board of directors of the employer may direct; (ii) require Mr. Maslen to perform no duties; (iii) require Mr. Maslen not to have any communication with any counterparty or potential counterparty of the employer or any Hexagon group member in relation to the business of the employer or any Hexagon group member; (iv) require Mr. Maslen not to have any communication with any employee, officer, director, agent or consultant of the employer or any Hexagon group member in relation to the business of the employer or any Hexagon group member; (v) require Mr. Maslen not to become involved with the business of the employer or any Hexagon group member; or (vi) require that Mr. Maslen not access, seek to use or retain copies of any of the employer’s materials, records and other information.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Maslen Employment Agreement provides for: (i) a perpetual confidentiality covenant; (ii) a perpetual covenant not to harm the reputation of the employer or any Hexagon group member; (iii) a one-year post-termination non-competition covenant; (iv) a one-year post-termination non-solicitation covenant of the employer’s counterparties or prospective counterparties and of service-providers to the employer; and (v) a one-year post termination covenant not to interfere with or damage the relationship between the employer and any of its counterparty or prospective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Scott Moore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30, 2010, Intergraph Corporation (“Intergraph”) provided Mr. Moore with a letter confirming certain terms of his compensation (the “Moore Compensation Letter”). The Moore Compensation Letter provides for a base salary of $320,000 per year, a target annual incentive bonus opportunity equal to 60% of base salary, and severance equal to 12 months of base salary upon a qualifying termination of employment.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Anthony Zana</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as of January 1, 2020, Intergraph and Mr. Zana entered into an employment contract (the “Zana Employment Agreement”). The Zana Employment Agreement provides that Mr. Zana’s employment will be continuous until terminated, “at-will” and may be terminated by Mr. Zana or Intergraph at any time and for any reason or no reason, subject to (i) a 90-day notice period in the event of termination by Intergraph without cause (as defined in the Zana Employment Agreement), and (ii) a 30-day notice period in the event of termination by Mr. Zana or due to death, disability or a change in control. See “Executive Compensation—Potential Payments Upon Termination or Change-in-Control” below for additional information regarding payments or benefits payable upon termination of employment or a change in control.</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Zana Employment Agreement, Mr. Zana is entitled to receive an initial base salary of $444,000 per year, subject to adjustment by mutual agreement between Mr. Zana and Hexagon’s Chief Executive Officer as documented in the normal course of annual performance reviews. Under the Zana Employment Agreement, Mr. Zana is eligible to receive an annual incentive bonus as aligned with Hexagon’s annual bonus scheme for members of Hexagon’s management. Mr. Zana is also eligible to participate in Hexagon’s annual long-term incentive equity grant program and all employee benefits generally available to similarly situated employees.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his initial commencement of employment with Intergraph in June 2008, Mr. Zana was required to sign a proprietary agreement, a privacy policy agreement and an export compliance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Vivek Mokashi</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Mokashi was initially hired as an employee of Intergraph in Singapore and subsequently relocated to the U.S. In connection with his relocation to the U.S. in September 1998, Mr. Mokashi received an offer letter (the “Mokashi Offer Letter”) that provides for temporary employment with Intergraph for a period not to exceed three years. Under the Mokashi Offer Letter, Mr. Mokashi was entitled to receive an initial base salary of $1,012 per week, or approximately $52,624 on an annualized basis, and was eligible to participate in his employer’s employee stock ownership plan. Under the Mokashi Offer Letter, Mr. Mokashi was also eligible to receive certain relocation benefits up to $15,000, subject to repayment by Mr. Mokashi if he voluntarily terminates employment within 12 months from the time the relocation expenses were incurred. Under the Mokashi Offer Letter, Mr. Mokashi was also eligible to participate in certain of Intergraph’s retirement and other employee benefit programs. In connection with his employment, Mr. Mokashi was required to sign a proprietary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Management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Swedish company that has historically been governed by non-U.S. corporate governance and regulatory frameworks, the Hexagon Remuneration Committee is not required to conduct a formal compensation program risk assessment in the manner typically undertaken by U.S. listed companies. Following the Distribution, we anticipate completing a formal assessment of risks relating to our compensation programs. While such formal assessment has not yet been completed, we believe that several factors within the current and anticipated pay programs and policies support a conclusion that the compensation programs do not encourage behaviors that would result in undue risk for Hexagon or Octave going forward. For example, incentive opportunities are based on a variety of performance metrics and are subject to pay limitations or “caps”, a material portion of pay for the NEOs is subject to long-term performance and vesting periods that are designed to encourage sustained shareholder value, pay levels and program designs are generally consistent with typical market practices, and the Hexagon Board (and, following the Distribution, our Board of Directors and/or Compensation Committee) reviews and approves all compensation programs. In addition, the Hexagon Board submits the guidelines for remuneration to senior executives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Hexagon’s shareholders for approval at least every four years, and Hexagon’s independent auditor annually reviews and reports on Hexagon’s compliance with such guidelines.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Hexagon Board also publishes an annual remuneration report describing how the executive remuneration guidelines adopted by the AGM were implemented, including information on remuneration paid to certain executives and a summary of outstanding incentive plans and incentive plans that ended during the year. Such report is prepared in accordance with the Swedish Companies Act and the Rules on Remuneration of the Board and Executive Management and on Incentive Programmes issued by the Stock Market Self-Regulation Committee of the Swedish Stock Exchange. Additional information regarding executive remuneration and the work of the Hexagon Remuneration Committee is included in the notes to Hexagon’s annual report and its corporate governance report for each financial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Outstanding Hexagon Equity Awards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Hexagon and Octave will enter into the Employee Matters Agreement. The Employee Matters Agreement will provide for the treatment of awards of performance share units granted by Hexagon pursuant to an equity compensation plan or program of Hexagon (collectively, the “Hexagon Equity Awards”) that are outstanding as of the Closing. For each holder of Hexagon Equity Awards, the intent is to maintain the economic value of that holder’s Hexagon Equity Awards before and after the Closing.</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individuals employed by Hexagon or any of its subsidiaries or affiliates as of the date on which Hexagon determines to transfer the employment of applicable individuals to Octave and who Hexagon determines, as of such date, are either (i) exclusively or primarily engaged in the Octave Business or (ii) necessary for the ongoing operation of the Octave Business following the Distribution (the “Octave Employees”), the Hexagon Equity Awards will be cancelled and reissued into equity awards denominated in Octave Shares that are issued under Octave’s long-term incentive plan (the “Octave Equity Awards”). It is expected that each Octave Equity Award will generally be subject to similar terms and conditions as the terms and conditions applicable to the corresponding Hexagon Equity Award immediately prior to the Closing, provided, however, that (i) the number of Octave Shares to which such Octave Equity Award relates will be equal to the product, rounded up to the nearest whole number of shares, obtained by multiplying (x) the number of shares of Hexagon common stock to which the corresponding Hexagon Equity Award related immediately prior to the Distribution by (y) the applicable equity award adjustment ratio and (ii) the performance metrics applicable to such Hexagon Equity Award will be adjusted from Hexagon’s earnings per share to Octave’s Non-GAAP Operating Income growth. See “Executive Compensation—Compensation Arrangements to be Adopted in Connection with the Distribution—Equity Incentive Plan—Long-Term Incentive Plan” for more detailed description of Octave’s long-term incentive plan.</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individuals employed by Hexagon or any of its subsidiaries or affiliates who do not qualify as Octave Employees, subject to applicable approvals, it is anticipated that the Hexagon Equity Awards will remain Hexagon Equity Awards and will be equitably adjusted as determined by the Hexagon Board, who may be instructed by Hexagon’s shareholders, to reflect the Distribution (each adjusted award, an “Adjusted Hexagon Equity Award”). Such equitable adjustments may include, among other things, adjustments to the number of shares of Hexagon common stock to which the Adjusted Hexagon Equity Award relates and the performance objectives applicable to the original Hexagon Equity Award. Except as so adjusted, it is expected that the Adjusted Hexagon Equity Award will generally be subject to similar terms and conditions as the terms and conditions applicable to the corresponding Hexagon Equity Award immediately prior to the Closing. All determinations relating to any Adjusted Hexagon Equity Awards remain subject to the discretion of the Hexagon Board and, where applicable,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reflect historical information regarding the compensation of our NEOs for the year ended December 31, 2025. All of the compensation shown relates to the compensation paid by Hexagon to the NEO for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 Pension</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Value and Non-</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380" w:type="dxa"/>
            <w:vAlign w:val="bottom"/>
            <w:gridSpan w:val="2"/>
            <w:vMerge w:val="continue"/>
          </w:tcPr>
          <w:p>
            <w:pPr>
              <w:spacing w:after="0"/>
              <w:rPr>
                <w:sz w:val="11"/>
                <w:szCs w:val="11"/>
                <w:color w:val="auto"/>
              </w:rPr>
            </w:pPr>
          </w:p>
        </w:tc>
        <w:tc>
          <w:tcPr>
            <w:tcW w:w="13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Qualified Deferred</w:t>
            </w: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vMerge w:val="restart"/>
          </w:tcPr>
          <w:p>
            <w:pPr>
              <w:spacing w:after="0"/>
              <w:rPr>
                <w:sz w:val="12"/>
                <w:szCs w:val="12"/>
                <w:color w:val="auto"/>
              </w:rPr>
            </w:pP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vMerge w:val="restart"/>
          </w:tcPr>
          <w:p>
            <w:pPr>
              <w:spacing w:after="0"/>
              <w:rPr>
                <w:sz w:val="12"/>
                <w:szCs w:val="12"/>
                <w:color w:val="auto"/>
              </w:rPr>
            </w:pP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00" w:type="dxa"/>
            <w:vAlign w:val="bottom"/>
            <w:vMerge w:val="restart"/>
          </w:tcPr>
          <w:p>
            <w:pPr>
              <w:spacing w:after="0"/>
              <w:rPr>
                <w:sz w:val="12"/>
                <w:szCs w:val="12"/>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3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20" w:type="dxa"/>
            <w:vAlign w:val="bottom"/>
            <w:gridSpan w:val="2"/>
            <w:vMerge w:val="continue"/>
          </w:tcPr>
          <w:p>
            <w:pPr>
              <w:spacing w:after="0"/>
              <w:rPr>
                <w:sz w:val="12"/>
                <w:szCs w:val="12"/>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1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Compensation ($)</w:t>
            </w:r>
            <w:r>
              <w:rPr>
                <w:rFonts w:ascii="Times New Roman" w:cs="Times New Roman" w:eastAsia="Times New Roman" w:hAnsi="Times New Roman"/>
                <w:sz w:val="18"/>
                <w:szCs w:val="18"/>
                <w:b w:val="1"/>
                <w:bCs w:val="1"/>
                <w:color w:val="auto"/>
                <w:w w:val="99"/>
                <w:vertAlign w:val="superscript"/>
              </w:rPr>
              <w:t>(3)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8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Mattias Stenberg</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1,025,326</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256,332</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542,506</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506,511</w:t>
            </w:r>
          </w:p>
        </w:tc>
        <w:tc>
          <w:tcPr>
            <w:tcW w:w="8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42,509</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2,373,184</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Ben Maslen</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715,454</w:t>
            </w:r>
          </w:p>
        </w:tc>
        <w:tc>
          <w:tcPr>
            <w:tcW w:w="100" w:type="dxa"/>
            <w:vAlign w:val="bottom"/>
          </w:tcPr>
          <w:p>
            <w:pPr>
              <w:spacing w:after="0"/>
              <w:rPr>
                <w:sz w:val="14"/>
                <w:szCs w:val="14"/>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364,717</w:t>
            </w:r>
          </w:p>
        </w:tc>
        <w:tc>
          <w:tcPr>
            <w:tcW w:w="1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479,712</w:t>
            </w:r>
          </w:p>
        </w:tc>
        <w:tc>
          <w:tcPr>
            <w:tcW w:w="8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13,465</w:t>
            </w:r>
          </w:p>
        </w:tc>
        <w:tc>
          <w:tcPr>
            <w:tcW w:w="1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1,573,348</w:t>
            </w:r>
          </w:p>
        </w:tc>
        <w:tc>
          <w:tcPr>
            <w:tcW w:w="0" w:type="dxa"/>
            <w:vAlign w:val="bottom"/>
          </w:tcPr>
          <w:p>
            <w:pPr>
              <w:spacing w:after="0"/>
              <w:rPr>
                <w:sz w:val="1"/>
                <w:szCs w:val="1"/>
                <w:color w:val="auto"/>
              </w:rPr>
            </w:pPr>
          </w:p>
        </w:tc>
      </w:tr>
      <w:tr>
        <w:trPr>
          <w:trHeight w:val="214"/>
        </w:trPr>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Scott Moore</w:t>
            </w:r>
          </w:p>
        </w:tc>
        <w:tc>
          <w:tcPr>
            <w:tcW w:w="7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570,544</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301,795</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567,121</w:t>
            </w:r>
          </w:p>
        </w:tc>
        <w:tc>
          <w:tcPr>
            <w:tcW w:w="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42,509</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1,481,969</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Anthony Zana</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Chief Legal Officer,</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640,030</w:t>
            </w:r>
          </w:p>
        </w:tc>
        <w:tc>
          <w:tcPr>
            <w:tcW w:w="1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20,000</w:t>
            </w:r>
          </w:p>
        </w:tc>
        <w:tc>
          <w:tcPr>
            <w:tcW w:w="1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338,649</w:t>
            </w:r>
          </w:p>
        </w:tc>
        <w:tc>
          <w:tcPr>
            <w:tcW w:w="1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429,140</w:t>
            </w:r>
          </w:p>
        </w:tc>
        <w:tc>
          <w:tcPr>
            <w:tcW w:w="8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21,000</w:t>
            </w:r>
          </w:p>
        </w:tc>
        <w:tc>
          <w:tcPr>
            <w:tcW w:w="1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1,448,819</w:t>
            </w:r>
          </w:p>
        </w:tc>
        <w:tc>
          <w:tcPr>
            <w:tcW w:w="0" w:type="dxa"/>
            <w:vAlign w:val="bottom"/>
          </w:tcPr>
          <w:p>
            <w:pPr>
              <w:spacing w:after="0"/>
              <w:rPr>
                <w:sz w:val="1"/>
                <w:szCs w:val="1"/>
                <w:color w:val="auto"/>
              </w:rPr>
            </w:pPr>
          </w:p>
        </w:tc>
      </w:tr>
      <w:tr>
        <w:trPr>
          <w:trHeight w:val="214"/>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6"/>
                <w:szCs w:val="16"/>
                <w:i w:val="1"/>
                <w:iCs w:val="1"/>
                <w:color w:val="auto"/>
              </w:rPr>
              <w:t>Corporate Secretary</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Vivek Mokashi</w:t>
            </w:r>
          </w:p>
        </w:tc>
        <w:tc>
          <w:tcPr>
            <w:tcW w:w="7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388,125</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205,302</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71,978</w:t>
            </w:r>
          </w:p>
        </w:tc>
        <w:tc>
          <w:tcPr>
            <w:tcW w:w="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21,000</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686,405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Chief Technology Officer</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impact of the separation and related transition activities during 2025, solely with respect to Mr. Stenberg, a minimum payout of 25% of base salary payable for the Octave EBIT growth performance metric was applied under the 2025 annual incentive plan. In addition, Mr. Zana received a discretionary bonus of $20,000 in 2025. See “Compensation Discussion and Analysis—2025 Compensation Program Details and Decisions—2025 Bonuses and Non-Equity Incentive Plan Compensation”.</w:t>
      </w:r>
    </w:p>
    <w:p>
      <w:pPr>
        <w:jc w:val="both"/>
        <w:ind w:left="340" w:hanging="332"/>
        <w:spacing w:after="0" w:line="256" w:lineRule="auto"/>
        <w:tabs>
          <w:tab w:leader="none" w:pos="332"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equity awards granted in 2025 to the NEOs, which have been calculated in accordance with Financial Accounting Standard Board (the “FASB”) ASC Topic 718. The share price used to calculate the grant date fair value was volume-weighted average of the market price of Hexagon’s Series B shares on Nasdaq Stockholm from June 19, 2025 through June 26, 2025. The values reflect a conversion from Swedish kronor to U.S. dollars using Hexagon’s June 2025 foreign exchange rate applied for financial reporting purposes (9.58947), resulting in a share price of $9.63 per share.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2" w:lineRule="auto"/>
        <w:tabs>
          <w:tab w:leader="none" w:pos="332"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Messrs. Stenberg and Moore, amounts in this column represent (i) employer contributions under the 401(k) Plan and (ii) employer-paid club membership dues of $14,520, together with related tax gross-ups of $6,989, for total club-related compensation of $21,509 for each executive. For Messrs. Zana and Mokashi, amounts in this column represent employer contributions under the 401(k) Plan. For Mr. Maslen, amount in this column represents employer contributions under the UK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Grants of Plan-Based Awards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w:t>
            </w:r>
          </w:p>
        </w:tc>
        <w:tc>
          <w:tcPr>
            <w:tcW w:w="31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 Hexagon Equity</w:t>
            </w:r>
          </w:p>
        </w:tc>
        <w:tc>
          <w:tcPr>
            <w:tcW w:w="80" w:type="dxa"/>
            <w:vAlign w:val="bottom"/>
          </w:tcPr>
          <w:p>
            <w:pPr>
              <w:spacing w:after="0"/>
              <w:rPr>
                <w:sz w:val="13"/>
                <w:szCs w:val="13"/>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gridSpan w:val="5"/>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Incentive Plan Awards</w:t>
            </w:r>
          </w:p>
        </w:tc>
        <w:tc>
          <w:tcPr>
            <w:tcW w:w="960" w:type="dxa"/>
            <w:vAlign w:val="bottom"/>
          </w:tcPr>
          <w:p>
            <w:pPr>
              <w:jc w:val="right"/>
              <w:ind w:right="779"/>
              <w:spacing w:after="0" w:line="95" w:lineRule="exact"/>
              <w:rPr>
                <w:sz w:val="20"/>
                <w:szCs w:val="20"/>
                <w:color w:val="auto"/>
              </w:rPr>
            </w:pPr>
            <w:r>
              <w:rPr>
                <w:rFonts w:ascii="Times New Roman" w:cs="Times New Roman" w:eastAsia="Times New Roman" w:hAnsi="Times New Roman"/>
                <w:sz w:val="9"/>
                <w:szCs w:val="9"/>
                <w:b w:val="1"/>
                <w:bCs w:val="1"/>
                <w:color w:val="auto"/>
                <w:w w:val="75"/>
              </w:rPr>
              <w:t>(1)</w:t>
            </w:r>
          </w:p>
        </w:tc>
        <w:tc>
          <w:tcPr>
            <w:tcW w:w="100" w:type="dxa"/>
            <w:vAlign w:val="bottom"/>
          </w:tcPr>
          <w:p>
            <w:pPr>
              <w:spacing w:after="0"/>
              <w:rPr>
                <w:sz w:val="8"/>
                <w:szCs w:val="8"/>
                <w:color w:val="auto"/>
              </w:rPr>
            </w:pPr>
          </w:p>
        </w:tc>
        <w:tc>
          <w:tcPr>
            <w:tcW w:w="2200" w:type="dxa"/>
            <w:vAlign w:val="bottom"/>
            <w:gridSpan w:val="5"/>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w w:val="99"/>
              </w:rPr>
              <w:t>Incentive Plan Awards</w:t>
            </w:r>
          </w:p>
        </w:tc>
        <w:tc>
          <w:tcPr>
            <w:tcW w:w="940" w:type="dxa"/>
            <w:vAlign w:val="bottom"/>
          </w:tcPr>
          <w:p>
            <w:pPr>
              <w:jc w:val="right"/>
              <w:ind w:right="739"/>
              <w:spacing w:after="0" w:line="95" w:lineRule="exact"/>
              <w:rPr>
                <w:sz w:val="20"/>
                <w:szCs w:val="20"/>
                <w:color w:val="auto"/>
              </w:rPr>
            </w:pPr>
            <w:r>
              <w:rPr>
                <w:rFonts w:ascii="Times New Roman" w:cs="Times New Roman" w:eastAsia="Times New Roman" w:hAnsi="Times New Roman"/>
                <w:sz w:val="9"/>
                <w:szCs w:val="9"/>
                <w:b w:val="1"/>
                <w:bCs w:val="1"/>
                <w:color w:val="auto"/>
                <w:w w:val="94"/>
              </w:rPr>
              <w:t>(4)</w:t>
            </w: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Borders>
              <w:bottom w:val="single" w:sz="8" w:color="auto"/>
            </w:tcBorders>
            <w:gridSpan w:val="5"/>
            <w:vMerge w:val="continue"/>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tcBorders>
              <w:bottom w:val="single" w:sz="8" w:color="auto"/>
            </w:tcBorders>
            <w:gridSpan w:val="5"/>
            <w:vMerge w:val="continue"/>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rPr>
              <w:t>Awards:</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Hexagon</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11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Target ($)</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80" w:type="dxa"/>
            <w:vAlign w:val="bottom"/>
          </w:tcPr>
          <w:p>
            <w:pPr>
              <w:spacing w:after="0"/>
              <w:rPr>
                <w:sz w:val="12"/>
                <w:szCs w:val="12"/>
                <w:color w:val="auto"/>
              </w:rPr>
            </w:pPr>
          </w:p>
        </w:tc>
        <w:tc>
          <w:tcPr>
            <w:tcW w:w="11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Shares of Stock</w:t>
            </w: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96"/>
        </w:trPr>
        <w:tc>
          <w:tcPr>
            <w:tcW w:w="130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 Units (#)</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9"/>
                <w:szCs w:val="9"/>
                <w:b w:val="1"/>
                <w:bCs w:val="1"/>
                <w:color w:val="auto"/>
              </w:rPr>
              <w:t>(5)</w:t>
            </w: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Mattias</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xml:space="preserve">256,332 </w:t>
            </w:r>
            <w:r>
              <w:rPr>
                <w:rFonts w:ascii="Times New Roman" w:cs="Times New Roman" w:eastAsia="Times New Roman" w:hAnsi="Times New Roman"/>
                <w:sz w:val="23"/>
                <w:szCs w:val="23"/>
                <w:color w:val="auto"/>
                <w:w w:val="96"/>
                <w:vertAlign w:val="superscript"/>
              </w:rPr>
              <w:t>(2)</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Stenberg</w:t>
            </w:r>
          </w:p>
        </w:tc>
        <w:tc>
          <w:tcPr>
            <w:tcW w:w="1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6/26/2025</w:t>
            </w:r>
          </w:p>
        </w:tc>
        <w:tc>
          <w:tcPr>
            <w:tcW w:w="8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1,537,989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542,506</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56,335</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542,506</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6/26/2025</w:t>
            </w:r>
          </w:p>
        </w:tc>
        <w:tc>
          <w:tcPr>
            <w:tcW w:w="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1,073,181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364,717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37,873</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364,717</w:t>
            </w:r>
          </w:p>
        </w:tc>
        <w:tc>
          <w:tcPr>
            <w:tcW w:w="0" w:type="dxa"/>
            <w:vAlign w:val="bottom"/>
          </w:tcPr>
          <w:p>
            <w:pPr>
              <w:spacing w:after="0"/>
              <w:rPr>
                <w:sz w:val="1"/>
                <w:szCs w:val="1"/>
                <w:color w:val="auto"/>
              </w:rPr>
            </w:pPr>
          </w:p>
        </w:tc>
      </w:tr>
      <w:tr>
        <w:trPr>
          <w:trHeight w:val="230"/>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6/26/2025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855,816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301,795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31,339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301,795</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6/26/2025</w:t>
            </w:r>
          </w:p>
        </w:tc>
        <w:tc>
          <w:tcPr>
            <w:tcW w:w="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960,045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338,649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35,166</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338,649</w:t>
            </w:r>
          </w:p>
        </w:tc>
        <w:tc>
          <w:tcPr>
            <w:tcW w:w="0" w:type="dxa"/>
            <w:vAlign w:val="bottom"/>
          </w:tcPr>
          <w:p>
            <w:pPr>
              <w:spacing w:after="0"/>
              <w:rPr>
                <w:sz w:val="1"/>
                <w:szCs w:val="1"/>
                <w:color w:val="auto"/>
              </w:rPr>
            </w:pPr>
          </w:p>
        </w:tc>
      </w:tr>
      <w:tr>
        <w:trPr>
          <w:trHeight w:val="229"/>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1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6/26/2025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155,250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310,500</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205,302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21,319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205,302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57" w:lineRule="auto"/>
        <w:tabs>
          <w:tab w:leader="none" w:pos="33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Messrs. Stenberg, Maslen, Moore and Zana, the annual incentive plan provides for three equally weighted performance metrics, each with payout ranging from 0% to 50% of base salary. Generally, payouts are determined using a linear earning scale between the applicable performance levels. For Messrs. Stenberg, Maslen, Moore and Zana, payouts are subject to an aggregate cap of 150% of base salary and achievement above the target performance level does not result in additional payouts. Accordingly, maximum performance levels are not presented in this table with respect to Messrs. Stenberg, Maslen, Moore and Zana. See “Compensation Discussion and Analysis—2025 Compensation Program Details and Decisions—2025 Bonuses and Non-Equity Incentive Plan Compensation”.</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3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impact of the separation and related transition activities during 2025, solely with respect to Mr. Stenberg, a minimum payout of 25% of base salary payable for the Octave EBIT growth performance metric was applied under the 2025 annual incentive plan. See “Compensation Discussion and Analysis—2025 Compensation Program Details and Decisions—2025 Bonuses and Non-Equity Incentive Plan Compensation”.</w:t>
      </w:r>
    </w:p>
    <w:p>
      <w:pPr>
        <w:ind w:left="320" w:hanging="312"/>
        <w:spacing w:after="0"/>
        <w:tabs>
          <w:tab w:leader="none" w:pos="3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Mokashi’s annual incentive opportunity for fiscal year 2025 was established at a target level equal to 40% of base salary, with a maximum payout opportunity of 200% of target.</w:t>
      </w:r>
    </w:p>
    <w:p>
      <w:pPr>
        <w:spacing w:after="0" w:line="14" w:lineRule="exact"/>
        <w:rPr>
          <w:rFonts w:ascii="Times New Roman" w:cs="Times New Roman" w:eastAsia="Times New Roman" w:hAnsi="Times New Roman"/>
          <w:sz w:val="14"/>
          <w:szCs w:val="14"/>
          <w:color w:val="auto"/>
        </w:rPr>
      </w:pPr>
    </w:p>
    <w:p>
      <w:pPr>
        <w:ind w:left="340" w:hanging="332"/>
        <w:spacing w:after="0" w:line="251" w:lineRule="auto"/>
        <w:tabs>
          <w:tab w:leader="none" w:pos="33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share awards granted in 2025 vest upon achievement of the applicable performance condition at the target level and do not provide for incremental vesting below or above the target level. See “Compensation Discussion and Analysis—2025 Compensation Program Details and Decisions—Hexagon Equity Incentive Plan”.</w:t>
      </w:r>
    </w:p>
    <w:p>
      <w:pPr>
        <w:jc w:val="both"/>
        <w:ind w:left="340" w:hanging="332"/>
        <w:spacing w:after="0" w:line="268" w:lineRule="auto"/>
        <w:tabs>
          <w:tab w:leader="none" w:pos="33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equity awards granted in 2025 to the NEOs, which have been calculated in accordance with FASB ASC Topic 718. The share price used to calculate the grant date fair value was volume-weighted average of the market price of Hexagon’s Series B shares on Nasdaq Stockholm from June 19, 2025 through June 26, 2025. The values reflect a conversion from Swedish kronor to U.S. dollars using Hexagon’s June 2025 foreign exchange rate applied for financial reporting purposes (9.58947), resulting in a share price of $9.63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Hexagon Equity Awards at December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gridSpan w:val="3"/>
          </w:tcPr>
          <w:p>
            <w:pPr>
              <w:ind w:left="23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Hexagon Equity Awards: Unearned</w:t>
            </w:r>
          </w:p>
        </w:tc>
        <w:tc>
          <w:tcPr>
            <w:tcW w:w="27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Hexagon Equity Awards: Market or Payout</w:t>
            </w:r>
          </w:p>
        </w:tc>
        <w:tc>
          <w:tcPr>
            <w:tcW w:w="0" w:type="dxa"/>
            <w:vAlign w:val="bottom"/>
          </w:tcPr>
          <w:p>
            <w:pPr>
              <w:spacing w:after="0"/>
              <w:rPr>
                <w:sz w:val="1"/>
                <w:szCs w:val="1"/>
                <w:color w:val="auto"/>
              </w:rPr>
            </w:pPr>
          </w:p>
        </w:tc>
      </w:tr>
      <w:tr>
        <w:trPr>
          <w:trHeight w:val="146"/>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274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28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Hexagon Shares, Units or Other Rights</w:t>
            </w:r>
          </w:p>
        </w:tc>
        <w:tc>
          <w:tcPr>
            <w:tcW w:w="2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Value of Unearned Hexagon Shares, Units</w:t>
            </w:r>
          </w:p>
        </w:tc>
        <w:tc>
          <w:tcPr>
            <w:tcW w:w="0" w:type="dxa"/>
            <w:vAlign w:val="bottom"/>
          </w:tcPr>
          <w:p>
            <w:pPr>
              <w:spacing w:after="0"/>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That Have Not Vested (#)</w:t>
            </w:r>
          </w:p>
        </w:tc>
        <w:tc>
          <w:tcPr>
            <w:tcW w:w="27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or Other Rights That Have Not Vested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6/22/2022</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 xml:space="preserve">41,393 </w:t>
            </w:r>
            <w:r>
              <w:rPr>
                <w:rFonts w:ascii="Times New Roman" w:cs="Times New Roman" w:eastAsia="Times New Roman" w:hAnsi="Times New Roman"/>
                <w:sz w:val="23"/>
                <w:szCs w:val="23"/>
                <w:color w:val="auto"/>
                <w:w w:val="94"/>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492,163</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5/11/2023</w:t>
            </w:r>
          </w:p>
        </w:tc>
        <w:tc>
          <w:tcPr>
            <w:tcW w:w="2840" w:type="dxa"/>
            <w:vAlign w:val="bottom"/>
            <w:gridSpan w:val="2"/>
            <w:shd w:val="clear" w:color="auto" w:fill="CCEEFF"/>
          </w:tcPr>
          <w:p>
            <w:pPr>
              <w:jc w:val="center"/>
              <w:ind w:left="30"/>
              <w:spacing w:after="0" w:line="230" w:lineRule="exact"/>
              <w:rPr>
                <w:sz w:val="20"/>
                <w:szCs w:val="20"/>
                <w:color w:val="auto"/>
              </w:rPr>
            </w:pPr>
            <w:r>
              <w:rPr>
                <w:rFonts w:ascii="Times New Roman" w:cs="Times New Roman" w:eastAsia="Times New Roman" w:hAnsi="Times New Roman"/>
                <w:sz w:val="18"/>
                <w:szCs w:val="18"/>
                <w:color w:val="auto"/>
                <w:w w:val="94"/>
              </w:rPr>
              <w:t xml:space="preserve">43,243 </w:t>
            </w:r>
            <w:r>
              <w:rPr>
                <w:rFonts w:ascii="Times New Roman" w:cs="Times New Roman" w:eastAsia="Times New Roman" w:hAnsi="Times New Roman"/>
                <w:sz w:val="23"/>
                <w:szCs w:val="23"/>
                <w:color w:val="auto"/>
                <w:w w:val="94"/>
                <w:vertAlign w:val="superscript"/>
              </w:rPr>
              <w:t>(3)</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514,159</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8/1/2024</w:t>
            </w:r>
          </w:p>
        </w:tc>
        <w:tc>
          <w:tcPr>
            <w:tcW w:w="2840" w:type="dxa"/>
            <w:vAlign w:val="bottom"/>
            <w:gridSpan w:val="2"/>
            <w:shd w:val="clear" w:color="auto" w:fill="CCEEFF"/>
          </w:tcPr>
          <w:p>
            <w:pPr>
              <w:jc w:val="center"/>
              <w:ind w:left="30"/>
              <w:spacing w:after="0" w:line="230" w:lineRule="exact"/>
              <w:rPr>
                <w:sz w:val="20"/>
                <w:szCs w:val="20"/>
                <w:color w:val="auto"/>
              </w:rPr>
            </w:pPr>
            <w:r>
              <w:rPr>
                <w:rFonts w:ascii="Times New Roman" w:cs="Times New Roman" w:eastAsia="Times New Roman" w:hAnsi="Times New Roman"/>
                <w:sz w:val="18"/>
                <w:szCs w:val="18"/>
                <w:color w:val="auto"/>
                <w:w w:val="94"/>
              </w:rPr>
              <w:t xml:space="preserve">49,751 </w:t>
            </w:r>
            <w:r>
              <w:rPr>
                <w:rFonts w:ascii="Times New Roman" w:cs="Times New Roman" w:eastAsia="Times New Roman" w:hAnsi="Times New Roman"/>
                <w:sz w:val="23"/>
                <w:szCs w:val="23"/>
                <w:color w:val="auto"/>
                <w:w w:val="94"/>
                <w:vertAlign w:val="superscript"/>
              </w:rPr>
              <w:t>(4)</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591,539</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6/26/2025</w:t>
            </w:r>
          </w:p>
        </w:tc>
        <w:tc>
          <w:tcPr>
            <w:tcW w:w="2840" w:type="dxa"/>
            <w:vAlign w:val="bottom"/>
            <w:gridSpan w:val="2"/>
            <w:shd w:val="clear" w:color="auto" w:fill="CCEEFF"/>
          </w:tcPr>
          <w:p>
            <w:pPr>
              <w:jc w:val="center"/>
              <w:ind w:left="30"/>
              <w:spacing w:after="0" w:line="230" w:lineRule="exact"/>
              <w:rPr>
                <w:sz w:val="20"/>
                <w:szCs w:val="20"/>
                <w:color w:val="auto"/>
              </w:rPr>
            </w:pPr>
            <w:r>
              <w:rPr>
                <w:rFonts w:ascii="Times New Roman" w:cs="Times New Roman" w:eastAsia="Times New Roman" w:hAnsi="Times New Roman"/>
                <w:sz w:val="18"/>
                <w:szCs w:val="18"/>
                <w:color w:val="auto"/>
                <w:w w:val="94"/>
              </w:rPr>
              <w:t xml:space="preserve">56,335 </w:t>
            </w:r>
            <w:r>
              <w:rPr>
                <w:rFonts w:ascii="Times New Roman" w:cs="Times New Roman" w:eastAsia="Times New Roman" w:hAnsi="Times New Roman"/>
                <w:sz w:val="23"/>
                <w:szCs w:val="23"/>
                <w:color w:val="auto"/>
                <w:w w:val="94"/>
                <w:vertAlign w:val="superscript"/>
              </w:rPr>
              <w:t>(5)</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669,823</w:t>
            </w:r>
          </w:p>
        </w:tc>
        <w:tc>
          <w:tcPr>
            <w:tcW w:w="0" w:type="dxa"/>
            <w:vAlign w:val="bottom"/>
          </w:tcPr>
          <w:p>
            <w:pPr>
              <w:spacing w:after="0"/>
              <w:rPr>
                <w:sz w:val="1"/>
                <w:szCs w:val="1"/>
                <w:color w:val="auto"/>
              </w:rPr>
            </w:pP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8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6/22/2022</w:t>
            </w:r>
          </w:p>
        </w:tc>
        <w:tc>
          <w:tcPr>
            <w:tcW w:w="2840" w:type="dxa"/>
            <w:vAlign w:val="bottom"/>
            <w:gridSpan w:val="2"/>
          </w:tcPr>
          <w:p>
            <w:pPr>
              <w:jc w:val="center"/>
              <w:ind w:left="30"/>
              <w:spacing w:after="0" w:line="224" w:lineRule="exact"/>
              <w:rPr>
                <w:sz w:val="20"/>
                <w:szCs w:val="20"/>
                <w:color w:val="auto"/>
              </w:rPr>
            </w:pPr>
            <w:r>
              <w:rPr>
                <w:rFonts w:ascii="Times New Roman" w:cs="Times New Roman" w:eastAsia="Times New Roman" w:hAnsi="Times New Roman"/>
                <w:sz w:val="18"/>
                <w:szCs w:val="18"/>
                <w:color w:val="auto"/>
                <w:w w:val="94"/>
              </w:rPr>
              <w:t xml:space="preserve">27,969 </w:t>
            </w:r>
            <w:r>
              <w:rPr>
                <w:rFonts w:ascii="Times New Roman" w:cs="Times New Roman" w:eastAsia="Times New Roman" w:hAnsi="Times New Roman"/>
                <w:sz w:val="23"/>
                <w:szCs w:val="23"/>
                <w:color w:val="auto"/>
                <w:w w:val="94"/>
                <w:vertAlign w:val="superscript"/>
              </w:rPr>
              <w:t>(2)</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332,551</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19"/>
                <w:szCs w:val="19"/>
                <w:color w:val="auto"/>
              </w:rPr>
            </w:pPr>
          </w:p>
        </w:tc>
        <w:tc>
          <w:tcPr>
            <w:tcW w:w="2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5/11/2023</w:t>
            </w:r>
          </w:p>
        </w:tc>
        <w:tc>
          <w:tcPr>
            <w:tcW w:w="2840" w:type="dxa"/>
            <w:vAlign w:val="bottom"/>
            <w:gridSpan w:val="2"/>
          </w:tcPr>
          <w:p>
            <w:pPr>
              <w:jc w:val="center"/>
              <w:ind w:left="30"/>
              <w:spacing w:after="0" w:line="230" w:lineRule="exact"/>
              <w:rPr>
                <w:sz w:val="20"/>
                <w:szCs w:val="20"/>
                <w:color w:val="auto"/>
              </w:rPr>
            </w:pPr>
            <w:r>
              <w:rPr>
                <w:rFonts w:ascii="Times New Roman" w:cs="Times New Roman" w:eastAsia="Times New Roman" w:hAnsi="Times New Roman"/>
                <w:sz w:val="18"/>
                <w:szCs w:val="18"/>
                <w:color w:val="auto"/>
                <w:w w:val="94"/>
              </w:rPr>
              <w:t xml:space="preserve">27,381 </w:t>
            </w:r>
            <w:r>
              <w:rPr>
                <w:rFonts w:ascii="Times New Roman" w:cs="Times New Roman" w:eastAsia="Times New Roman" w:hAnsi="Times New Roman"/>
                <w:sz w:val="23"/>
                <w:szCs w:val="23"/>
                <w:color w:val="auto"/>
                <w:w w:val="94"/>
                <w:vertAlign w:val="superscript"/>
              </w:rPr>
              <w:t>(3)</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325,560</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19"/>
                <w:szCs w:val="19"/>
                <w:color w:val="auto"/>
              </w:rPr>
            </w:pPr>
          </w:p>
        </w:tc>
        <w:tc>
          <w:tcPr>
            <w:tcW w:w="2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8/1/2024</w:t>
            </w:r>
          </w:p>
        </w:tc>
        <w:tc>
          <w:tcPr>
            <w:tcW w:w="2840" w:type="dxa"/>
            <w:vAlign w:val="bottom"/>
            <w:gridSpan w:val="2"/>
          </w:tcPr>
          <w:p>
            <w:pPr>
              <w:jc w:val="center"/>
              <w:ind w:left="30"/>
              <w:spacing w:after="0" w:line="230" w:lineRule="exact"/>
              <w:rPr>
                <w:sz w:val="20"/>
                <w:szCs w:val="20"/>
                <w:color w:val="auto"/>
              </w:rPr>
            </w:pPr>
            <w:r>
              <w:rPr>
                <w:rFonts w:ascii="Times New Roman" w:cs="Times New Roman" w:eastAsia="Times New Roman" w:hAnsi="Times New Roman"/>
                <w:sz w:val="18"/>
                <w:szCs w:val="18"/>
                <w:color w:val="auto"/>
                <w:w w:val="94"/>
              </w:rPr>
              <w:t xml:space="preserve">32,617 </w:t>
            </w:r>
            <w:r>
              <w:rPr>
                <w:rFonts w:ascii="Times New Roman" w:cs="Times New Roman" w:eastAsia="Times New Roman" w:hAnsi="Times New Roman"/>
                <w:sz w:val="23"/>
                <w:szCs w:val="23"/>
                <w:color w:val="auto"/>
                <w:w w:val="94"/>
                <w:vertAlign w:val="superscript"/>
              </w:rPr>
              <w:t>(4)</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387,816</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2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6/26/2025</w:t>
            </w:r>
          </w:p>
        </w:tc>
        <w:tc>
          <w:tcPr>
            <w:tcW w:w="2840" w:type="dxa"/>
            <w:vAlign w:val="bottom"/>
            <w:gridSpan w:val="2"/>
          </w:tcPr>
          <w:p>
            <w:pPr>
              <w:jc w:val="center"/>
              <w:ind w:left="30"/>
              <w:spacing w:after="0" w:line="234" w:lineRule="exact"/>
              <w:rPr>
                <w:sz w:val="20"/>
                <w:szCs w:val="20"/>
                <w:color w:val="auto"/>
              </w:rPr>
            </w:pPr>
            <w:r>
              <w:rPr>
                <w:rFonts w:ascii="Times New Roman" w:cs="Times New Roman" w:eastAsia="Times New Roman" w:hAnsi="Times New Roman"/>
                <w:sz w:val="18"/>
                <w:szCs w:val="18"/>
                <w:color w:val="auto"/>
                <w:w w:val="94"/>
              </w:rPr>
              <w:t xml:space="preserve">37,873 </w:t>
            </w:r>
            <w:r>
              <w:rPr>
                <w:rFonts w:ascii="Times New Roman" w:cs="Times New Roman" w:eastAsia="Times New Roman" w:hAnsi="Times New Roman"/>
                <w:sz w:val="23"/>
                <w:szCs w:val="23"/>
                <w:color w:val="auto"/>
                <w:w w:val="94"/>
                <w:vertAlign w:val="superscript"/>
              </w:rPr>
              <w:t>(5)</w:t>
            </w: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450,310</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28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6/22/2022</w:t>
            </w:r>
          </w:p>
        </w:tc>
        <w:tc>
          <w:tcPr>
            <w:tcW w:w="2840" w:type="dxa"/>
            <w:vAlign w:val="bottom"/>
            <w:gridSpan w:val="2"/>
            <w:shd w:val="clear" w:color="auto" w:fill="CCEEFF"/>
          </w:tcPr>
          <w:p>
            <w:pPr>
              <w:jc w:val="center"/>
              <w:ind w:left="30"/>
              <w:spacing w:after="0" w:line="230" w:lineRule="exact"/>
              <w:rPr>
                <w:sz w:val="20"/>
                <w:szCs w:val="20"/>
                <w:color w:val="auto"/>
              </w:rPr>
            </w:pPr>
            <w:r>
              <w:rPr>
                <w:rFonts w:ascii="Times New Roman" w:cs="Times New Roman" w:eastAsia="Times New Roman" w:hAnsi="Times New Roman"/>
                <w:sz w:val="18"/>
                <w:szCs w:val="18"/>
                <w:color w:val="auto"/>
                <w:w w:val="94"/>
              </w:rPr>
              <w:t xml:space="preserve">20,191 </w:t>
            </w:r>
            <w:r>
              <w:rPr>
                <w:rFonts w:ascii="Times New Roman" w:cs="Times New Roman" w:eastAsia="Times New Roman" w:hAnsi="Times New Roman"/>
                <w:sz w:val="23"/>
                <w:szCs w:val="23"/>
                <w:color w:val="auto"/>
                <w:w w:val="94"/>
                <w:vertAlign w:val="superscript"/>
              </w:rPr>
              <w:t>(2)</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240,071</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5/11/2023</w:t>
            </w:r>
          </w:p>
        </w:tc>
        <w:tc>
          <w:tcPr>
            <w:tcW w:w="2840" w:type="dxa"/>
            <w:vAlign w:val="bottom"/>
            <w:gridSpan w:val="2"/>
            <w:shd w:val="clear" w:color="auto" w:fill="CCEEFF"/>
          </w:tcPr>
          <w:p>
            <w:pPr>
              <w:jc w:val="center"/>
              <w:ind w:left="30"/>
              <w:spacing w:after="0" w:line="230" w:lineRule="exact"/>
              <w:rPr>
                <w:sz w:val="20"/>
                <w:szCs w:val="20"/>
                <w:color w:val="auto"/>
              </w:rPr>
            </w:pPr>
            <w:r>
              <w:rPr>
                <w:rFonts w:ascii="Times New Roman" w:cs="Times New Roman" w:eastAsia="Times New Roman" w:hAnsi="Times New Roman"/>
                <w:sz w:val="18"/>
                <w:szCs w:val="18"/>
                <w:color w:val="auto"/>
                <w:w w:val="94"/>
              </w:rPr>
              <w:t xml:space="preserve">23,434 </w:t>
            </w:r>
            <w:r>
              <w:rPr>
                <w:rFonts w:ascii="Times New Roman" w:cs="Times New Roman" w:eastAsia="Times New Roman" w:hAnsi="Times New Roman"/>
                <w:sz w:val="23"/>
                <w:szCs w:val="23"/>
                <w:color w:val="auto"/>
                <w:w w:val="94"/>
                <w:vertAlign w:val="superscript"/>
              </w:rPr>
              <w:t>(3)</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278,630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40" w:type="dxa"/>
            <w:vAlign w:val="bottom"/>
            <w:shd w:val="clear" w:color="auto" w:fill="CCEEFF"/>
          </w:tcPr>
          <w:p>
            <w:pPr>
              <w:spacing w:after="0"/>
              <w:rPr>
                <w:sz w:val="22"/>
                <w:szCs w:val="22"/>
                <w:color w:val="auto"/>
              </w:rPr>
            </w:pPr>
          </w:p>
        </w:tc>
        <w:tc>
          <w:tcPr>
            <w:tcW w:w="28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8/1/2024</w:t>
            </w: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 xml:space="preserve">27,962 </w:t>
            </w:r>
            <w:r>
              <w:rPr>
                <w:rFonts w:ascii="Times New Roman" w:cs="Times New Roman" w:eastAsia="Times New Roman" w:hAnsi="Times New Roman"/>
                <w:sz w:val="23"/>
                <w:szCs w:val="23"/>
                <w:color w:val="auto"/>
                <w:w w:val="94"/>
                <w:vertAlign w:val="superscript"/>
              </w:rPr>
              <w:t>(4)</w:t>
            </w:r>
          </w:p>
        </w:tc>
        <w:tc>
          <w:tcPr>
            <w:tcW w:w="27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332,468</w:t>
            </w:r>
          </w:p>
        </w:tc>
      </w:tr>
      <w:tr>
        <w:trPr>
          <w:trHeight w:val="229"/>
        </w:trPr>
        <w:tc>
          <w:tcPr>
            <w:tcW w:w="2740" w:type="dxa"/>
            <w:vAlign w:val="bottom"/>
            <w:shd w:val="clear" w:color="auto" w:fill="CCEEFF"/>
          </w:tcPr>
          <w:p>
            <w:pPr>
              <w:spacing w:after="0"/>
              <w:rPr>
                <w:sz w:val="19"/>
                <w:szCs w:val="19"/>
                <w:color w:val="auto"/>
              </w:rPr>
            </w:pPr>
          </w:p>
        </w:tc>
        <w:tc>
          <w:tcPr>
            <w:tcW w:w="28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6/26/2025</w:t>
            </w:r>
          </w:p>
        </w:tc>
        <w:tc>
          <w:tcPr>
            <w:tcW w:w="29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31,339 </w:t>
            </w:r>
            <w:r>
              <w:rPr>
                <w:rFonts w:ascii="Times New Roman" w:cs="Times New Roman" w:eastAsia="Times New Roman" w:hAnsi="Times New Roman"/>
                <w:sz w:val="23"/>
                <w:szCs w:val="23"/>
                <w:color w:val="auto"/>
                <w:w w:val="94"/>
                <w:vertAlign w:val="superscript"/>
              </w:rPr>
              <w:t>(5)</w:t>
            </w:r>
          </w:p>
        </w:tc>
        <w:tc>
          <w:tcPr>
            <w:tcW w:w="27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372,621</w:t>
            </w:r>
          </w:p>
        </w:tc>
      </w:tr>
      <w:tr>
        <w:trPr>
          <w:trHeight w:val="221"/>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2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6/22/2022</w:t>
            </w:r>
          </w:p>
        </w:tc>
        <w:tc>
          <w:tcPr>
            <w:tcW w:w="2920" w:type="dxa"/>
            <w:vAlign w:val="bottom"/>
          </w:tcPr>
          <w:p>
            <w:pPr>
              <w:jc w:val="center"/>
              <w:spacing w:after="0" w:line="221" w:lineRule="exact"/>
              <w:rPr>
                <w:sz w:val="20"/>
                <w:szCs w:val="20"/>
                <w:color w:val="auto"/>
              </w:rPr>
            </w:pPr>
            <w:r>
              <w:rPr>
                <w:rFonts w:ascii="Times New Roman" w:cs="Times New Roman" w:eastAsia="Times New Roman" w:hAnsi="Times New Roman"/>
                <w:sz w:val="18"/>
                <w:szCs w:val="18"/>
                <w:color w:val="auto"/>
                <w:w w:val="94"/>
              </w:rPr>
              <w:t xml:space="preserve">23,835 </w:t>
            </w:r>
            <w:r>
              <w:rPr>
                <w:rFonts w:ascii="Times New Roman" w:cs="Times New Roman" w:eastAsia="Times New Roman" w:hAnsi="Times New Roman"/>
                <w:sz w:val="23"/>
                <w:szCs w:val="23"/>
                <w:color w:val="auto"/>
                <w:w w:val="94"/>
                <w:vertAlign w:val="superscript"/>
              </w:rPr>
              <w:t>(2)</w:t>
            </w:r>
          </w:p>
        </w:tc>
        <w:tc>
          <w:tcPr>
            <w:tcW w:w="27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283,398</w:t>
            </w:r>
          </w:p>
        </w:tc>
      </w:tr>
      <w:tr>
        <w:trPr>
          <w:trHeight w:val="229"/>
        </w:trPr>
        <w:tc>
          <w:tcPr>
            <w:tcW w:w="2740" w:type="dxa"/>
            <w:vAlign w:val="bottom"/>
          </w:tcPr>
          <w:p>
            <w:pPr>
              <w:spacing w:after="0"/>
              <w:rPr>
                <w:sz w:val="19"/>
                <w:szCs w:val="19"/>
                <w:color w:val="auto"/>
              </w:rPr>
            </w:pPr>
          </w:p>
        </w:tc>
        <w:tc>
          <w:tcPr>
            <w:tcW w:w="2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5/11/2023</w:t>
            </w:r>
          </w:p>
        </w:tc>
        <w:tc>
          <w:tcPr>
            <w:tcW w:w="29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25,396 </w:t>
            </w:r>
            <w:r>
              <w:rPr>
                <w:rFonts w:ascii="Times New Roman" w:cs="Times New Roman" w:eastAsia="Times New Roman" w:hAnsi="Times New Roman"/>
                <w:sz w:val="23"/>
                <w:szCs w:val="23"/>
                <w:color w:val="auto"/>
                <w:w w:val="94"/>
                <w:vertAlign w:val="superscript"/>
              </w:rPr>
              <w:t>(3)</w:t>
            </w:r>
          </w:p>
        </w:tc>
        <w:tc>
          <w:tcPr>
            <w:tcW w:w="27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301,958</w:t>
            </w:r>
          </w:p>
        </w:tc>
      </w:tr>
      <w:tr>
        <w:trPr>
          <w:trHeight w:val="230"/>
        </w:trPr>
        <w:tc>
          <w:tcPr>
            <w:tcW w:w="2740" w:type="dxa"/>
            <w:vAlign w:val="bottom"/>
          </w:tcPr>
          <w:p>
            <w:pPr>
              <w:spacing w:after="0"/>
              <w:rPr>
                <w:sz w:val="19"/>
                <w:szCs w:val="19"/>
                <w:color w:val="auto"/>
              </w:rPr>
            </w:pPr>
          </w:p>
        </w:tc>
        <w:tc>
          <w:tcPr>
            <w:tcW w:w="2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8/1/2024</w:t>
            </w:r>
          </w:p>
        </w:tc>
        <w:tc>
          <w:tcPr>
            <w:tcW w:w="29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31,204 </w:t>
            </w:r>
            <w:r>
              <w:rPr>
                <w:rFonts w:ascii="Times New Roman" w:cs="Times New Roman" w:eastAsia="Times New Roman" w:hAnsi="Times New Roman"/>
                <w:sz w:val="23"/>
                <w:szCs w:val="23"/>
                <w:color w:val="auto"/>
                <w:w w:val="94"/>
                <w:vertAlign w:val="superscript"/>
              </w:rPr>
              <w:t>(4)</w:t>
            </w:r>
          </w:p>
        </w:tc>
        <w:tc>
          <w:tcPr>
            <w:tcW w:w="27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371,016</w:t>
            </w:r>
          </w:p>
        </w:tc>
      </w:tr>
      <w:tr>
        <w:trPr>
          <w:trHeight w:val="238"/>
        </w:trPr>
        <w:tc>
          <w:tcPr>
            <w:tcW w:w="2740" w:type="dxa"/>
            <w:vAlign w:val="bottom"/>
          </w:tcPr>
          <w:p>
            <w:pPr>
              <w:spacing w:after="0"/>
              <w:rPr>
                <w:sz w:val="20"/>
                <w:szCs w:val="20"/>
                <w:color w:val="auto"/>
              </w:rPr>
            </w:pPr>
          </w:p>
        </w:tc>
        <w:tc>
          <w:tcPr>
            <w:tcW w:w="2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6/26/2025</w:t>
            </w:r>
          </w:p>
        </w:tc>
        <w:tc>
          <w:tcPr>
            <w:tcW w:w="2920" w:type="dxa"/>
            <w:vAlign w:val="bottom"/>
          </w:tcPr>
          <w:p>
            <w:pPr>
              <w:jc w:val="center"/>
              <w:spacing w:after="0" w:line="237" w:lineRule="exact"/>
              <w:rPr>
                <w:sz w:val="20"/>
                <w:szCs w:val="20"/>
                <w:color w:val="auto"/>
              </w:rPr>
            </w:pPr>
            <w:r>
              <w:rPr>
                <w:rFonts w:ascii="Times New Roman" w:cs="Times New Roman" w:eastAsia="Times New Roman" w:hAnsi="Times New Roman"/>
                <w:sz w:val="18"/>
                <w:szCs w:val="18"/>
                <w:color w:val="auto"/>
                <w:w w:val="94"/>
              </w:rPr>
              <w:t xml:space="preserve">35,166 </w:t>
            </w:r>
            <w:r>
              <w:rPr>
                <w:rFonts w:ascii="Times New Roman" w:cs="Times New Roman" w:eastAsia="Times New Roman" w:hAnsi="Times New Roman"/>
                <w:sz w:val="23"/>
                <w:szCs w:val="23"/>
                <w:color w:val="auto"/>
                <w:w w:val="94"/>
                <w:vertAlign w:val="superscript"/>
              </w:rPr>
              <w:t>(5)</w:t>
            </w:r>
          </w:p>
        </w:tc>
        <w:tc>
          <w:tcPr>
            <w:tcW w:w="27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418,124</w:t>
            </w: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28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6/22/2022</w:t>
            </w:r>
          </w:p>
        </w:tc>
        <w:tc>
          <w:tcPr>
            <w:tcW w:w="29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2"/>
              </w:rPr>
              <w:t xml:space="preserve">9,503 </w:t>
            </w:r>
            <w:r>
              <w:rPr>
                <w:rFonts w:ascii="Times New Roman" w:cs="Times New Roman" w:eastAsia="Times New Roman" w:hAnsi="Times New Roman"/>
                <w:sz w:val="23"/>
                <w:szCs w:val="23"/>
                <w:color w:val="auto"/>
                <w:w w:val="92"/>
                <w:vertAlign w:val="superscript"/>
              </w:rPr>
              <w:t>(2)</w:t>
            </w:r>
          </w:p>
        </w:tc>
        <w:tc>
          <w:tcPr>
            <w:tcW w:w="27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112,991</w:t>
            </w:r>
          </w:p>
        </w:tc>
      </w:tr>
      <w:tr>
        <w:trPr>
          <w:trHeight w:val="230"/>
        </w:trPr>
        <w:tc>
          <w:tcPr>
            <w:tcW w:w="2740" w:type="dxa"/>
            <w:vAlign w:val="bottom"/>
            <w:shd w:val="clear" w:color="auto" w:fill="CCEEFF"/>
          </w:tcPr>
          <w:p>
            <w:pPr>
              <w:spacing w:after="0"/>
              <w:rPr>
                <w:sz w:val="19"/>
                <w:szCs w:val="19"/>
                <w:color w:val="auto"/>
              </w:rPr>
            </w:pPr>
          </w:p>
        </w:tc>
        <w:tc>
          <w:tcPr>
            <w:tcW w:w="28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5/11/2023</w:t>
            </w:r>
          </w:p>
        </w:tc>
        <w:tc>
          <w:tcPr>
            <w:tcW w:w="29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1"/>
              </w:rPr>
              <w:t xml:space="preserve">11,000 </w:t>
            </w:r>
            <w:r>
              <w:rPr>
                <w:rFonts w:ascii="Times New Roman" w:cs="Times New Roman" w:eastAsia="Times New Roman" w:hAnsi="Times New Roman"/>
                <w:sz w:val="23"/>
                <w:szCs w:val="23"/>
                <w:color w:val="auto"/>
                <w:w w:val="91"/>
                <w:vertAlign w:val="superscript"/>
              </w:rPr>
              <w:t>(3)</w:t>
            </w:r>
          </w:p>
        </w:tc>
        <w:tc>
          <w:tcPr>
            <w:tcW w:w="27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130,790</w:t>
            </w:r>
          </w:p>
        </w:tc>
      </w:tr>
      <w:tr>
        <w:trPr>
          <w:trHeight w:val="229"/>
        </w:trPr>
        <w:tc>
          <w:tcPr>
            <w:tcW w:w="2740" w:type="dxa"/>
            <w:vAlign w:val="bottom"/>
            <w:shd w:val="clear" w:color="auto" w:fill="CCEEFF"/>
          </w:tcPr>
          <w:p>
            <w:pPr>
              <w:spacing w:after="0"/>
              <w:rPr>
                <w:sz w:val="19"/>
                <w:szCs w:val="19"/>
                <w:color w:val="auto"/>
              </w:rPr>
            </w:pPr>
          </w:p>
        </w:tc>
        <w:tc>
          <w:tcPr>
            <w:tcW w:w="28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8/1/2024</w:t>
            </w:r>
          </w:p>
        </w:tc>
        <w:tc>
          <w:tcPr>
            <w:tcW w:w="29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15,217 </w:t>
            </w:r>
            <w:r>
              <w:rPr>
                <w:rFonts w:ascii="Times New Roman" w:cs="Times New Roman" w:eastAsia="Times New Roman" w:hAnsi="Times New Roman"/>
                <w:sz w:val="23"/>
                <w:szCs w:val="23"/>
                <w:color w:val="auto"/>
                <w:w w:val="94"/>
                <w:vertAlign w:val="superscript"/>
              </w:rPr>
              <w:t>(4)</w:t>
            </w:r>
          </w:p>
        </w:tc>
        <w:tc>
          <w:tcPr>
            <w:tcW w:w="27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180,930</w:t>
            </w:r>
          </w:p>
        </w:tc>
      </w:tr>
      <w:tr>
        <w:trPr>
          <w:trHeight w:val="229"/>
        </w:trPr>
        <w:tc>
          <w:tcPr>
            <w:tcW w:w="2740" w:type="dxa"/>
            <w:vAlign w:val="bottom"/>
            <w:shd w:val="clear" w:color="auto" w:fill="CCEEFF"/>
          </w:tcPr>
          <w:p>
            <w:pPr>
              <w:spacing w:after="0"/>
              <w:rPr>
                <w:sz w:val="19"/>
                <w:szCs w:val="19"/>
                <w:color w:val="auto"/>
              </w:rPr>
            </w:pPr>
          </w:p>
        </w:tc>
        <w:tc>
          <w:tcPr>
            <w:tcW w:w="28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6/26/2025</w:t>
            </w:r>
          </w:p>
        </w:tc>
        <w:tc>
          <w:tcPr>
            <w:tcW w:w="29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21,319 </w:t>
            </w:r>
            <w:r>
              <w:rPr>
                <w:rFonts w:ascii="Times New Roman" w:cs="Times New Roman" w:eastAsia="Times New Roman" w:hAnsi="Times New Roman"/>
                <w:sz w:val="23"/>
                <w:szCs w:val="23"/>
                <w:color w:val="auto"/>
                <w:w w:val="94"/>
                <w:vertAlign w:val="superscript"/>
              </w:rPr>
              <w:t>(5)</w:t>
            </w:r>
          </w:p>
        </w:tc>
        <w:tc>
          <w:tcPr>
            <w:tcW w:w="27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253,483</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performance shares is calculated by multiplying the closing price of Hexagon’s Series B shares on Nasdaq Stockholm as of December 30, 2025 (SEK 109.5) (the last trading day of the year) by the number of shares underlying each award. The values reflect a conversion from Swedish kronor to U.S. dollars using the foreign exchange rate in effect on December 30, 2025 (9.20979), resulting in a share price of $11.89 per share.</w:t>
      </w:r>
    </w:p>
    <w:p>
      <w:pPr>
        <w:jc w:val="both"/>
        <w:ind w:left="340" w:hanging="332"/>
        <w:spacing w:after="0" w:line="256" w:lineRule="auto"/>
        <w:tabs>
          <w:tab w:leader="none" w:pos="332"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2022/2025, which are expected to vest in full in May 2026. Vesting of these performance shares was subject to the satisfaction of a performance condition related to an increase in Hexagon’s earnings per share (excluding non-recurring items) over the measurement period from January 1, 2022 to December 31, 2025, as determined by comparing the financial year 2025 results to those for the financial year 2021. Subject to confirmation that the performance condition has been satisfied, the participants will be entitled to receive the allocated number of Series B shares in Hexagon in accordance with the terms of Hexagon Share Programme 2022/2025.</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2"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2023/2026. Vesting of these performance shares is subject to the satisfaction of a performance condition related to an increase in Hexagon’s earnings per share (excluding non-recurring items) over the measurement period from January 1, 2023 to December 31, 2026, as determined by comparing the financial year 2026 results to those for the financial year 2022. If the performance condition is satisfied, the participants will be entitled to receive the allocated number of Series B shares in Hexagon in accordance with the terms of Hexagon Share Programme 2023/2026.</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7" w:lineRule="auto"/>
        <w:tabs>
          <w:tab w:leader="none" w:pos="332"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2024/2027. Vesting of these performance shares is subject to the satisfaction of a performance condition related to an increase in Hexagon’s earnings per share (excluding adjustments) over the measurement period from January 1, 2024 to December 31, 2027, as determined by comparing the financial year 2027 results to those for the financial year 2023. If the performance condition is satisfied, the participants will be entitled to receive the allocated number of Series B shares in Hexagon in accordance with the terms of Hexagon Share Programme 2024/2027.</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67" w:lineRule="auto"/>
        <w:tabs>
          <w:tab w:leader="none" w:pos="332"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2025/2028. Vesting of these performance shares is subject to the satisfaction of a performance condition related to an increase in Hexagon’s earnings per share (excluding adjustments) over the measurement period from January 1, 2025 to December 31, 2028, as determined by comparing the financial year 2028 results to those for the financial year 2024. If the performance condition is satisfied, the participants will be entitled to receive the allocated number of Series B shares in Hexagon in accordance with the terms of Hexagon Share Programme 2025/2028.</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Hexagon Stock Vested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60" w:type="dxa"/>
            <w:vAlign w:val="bottom"/>
            <w:gridSpan w:val="3"/>
          </w:tcPr>
          <w:p>
            <w:pPr>
              <w:ind w:left="3020"/>
              <w:spacing w:after="0"/>
              <w:rPr>
                <w:sz w:val="20"/>
                <w:szCs w:val="20"/>
                <w:color w:val="auto"/>
              </w:rPr>
            </w:pPr>
            <w:r>
              <w:rPr>
                <w:rFonts w:ascii="Times New Roman" w:cs="Times New Roman" w:eastAsia="Times New Roman" w:hAnsi="Times New Roman"/>
                <w:sz w:val="14"/>
                <w:szCs w:val="14"/>
                <w:b w:val="1"/>
                <w:bCs w:val="1"/>
                <w:color w:val="auto"/>
              </w:rPr>
              <w:t>Hexagon Stock Awards</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60" w:type="dxa"/>
            <w:vAlign w:val="bottom"/>
            <w:tcBorders>
              <w:bottom w:val="single" w:sz="8" w:color="auto"/>
            </w:tcBorders>
            <w:gridSpan w:val="3"/>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760" w:type="dxa"/>
            <w:vAlign w:val="bottom"/>
            <w:gridSpan w:val="2"/>
            <w:vMerge w:val="continue"/>
          </w:tcPr>
          <w:p>
            <w:pPr>
              <w:spacing w:after="0"/>
              <w:rPr>
                <w:sz w:val="17"/>
                <w:szCs w:val="17"/>
                <w:color w:val="auto"/>
              </w:rPr>
            </w:pPr>
          </w:p>
        </w:tc>
        <w:tc>
          <w:tcPr>
            <w:tcW w:w="45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Hexagon Shares Acquired on Vesting (#)</w:t>
            </w:r>
          </w:p>
        </w:tc>
        <w:tc>
          <w:tcPr>
            <w:tcW w:w="2900" w:type="dxa"/>
            <w:vAlign w:val="bottom"/>
          </w:tcPr>
          <w:p>
            <w:pPr>
              <w:ind w:left="100"/>
              <w:spacing w:after="0" w:line="196" w:lineRule="exact"/>
              <w:rPr>
                <w:sz w:val="20"/>
                <w:szCs w:val="20"/>
                <w:color w:val="auto"/>
              </w:rPr>
            </w:pPr>
            <w:r>
              <w:rPr>
                <w:rFonts w:ascii="Times New Roman" w:cs="Times New Roman" w:eastAsia="Times New Roman" w:hAnsi="Times New Roman"/>
                <w:sz w:val="14"/>
                <w:szCs w:val="14"/>
                <w:b w:val="1"/>
                <w:bCs w:val="1"/>
                <w:color w:val="auto"/>
              </w:rPr>
              <w:t>Value Realized on Vesting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32,744</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900" w:type="dxa"/>
            <w:vAlign w:val="bottom"/>
            <w:tcBorders>
              <w:top w:val="single" w:sz="8" w:color="auto"/>
            </w:tcBorders>
            <w:shd w:val="clear" w:color="auto" w:fill="CCEEFF"/>
          </w:tcPr>
          <w:p>
            <w:pPr>
              <w:jc w:val="center"/>
              <w:ind w:right="713"/>
              <w:spacing w:after="0"/>
              <w:rPr>
                <w:sz w:val="20"/>
                <w:szCs w:val="20"/>
                <w:color w:val="auto"/>
              </w:rPr>
            </w:pPr>
            <w:r>
              <w:rPr>
                <w:rFonts w:ascii="Times New Roman" w:cs="Times New Roman" w:eastAsia="Times New Roman" w:hAnsi="Times New Roman"/>
                <w:sz w:val="18"/>
                <w:szCs w:val="18"/>
                <w:color w:val="auto"/>
                <w:w w:val="99"/>
              </w:rPr>
              <w:t>333,334</w:t>
            </w: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22,968</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900" w:type="dxa"/>
            <w:vAlign w:val="bottom"/>
          </w:tcPr>
          <w:p>
            <w:pPr>
              <w:jc w:val="center"/>
              <w:ind w:right="713"/>
              <w:spacing w:after="0"/>
              <w:rPr>
                <w:sz w:val="20"/>
                <w:szCs w:val="20"/>
                <w:color w:val="auto"/>
              </w:rPr>
            </w:pPr>
            <w:r>
              <w:rPr>
                <w:rFonts w:ascii="Times New Roman" w:cs="Times New Roman" w:eastAsia="Times New Roman" w:hAnsi="Times New Roman"/>
                <w:sz w:val="18"/>
                <w:szCs w:val="18"/>
                <w:color w:val="auto"/>
                <w:w w:val="99"/>
              </w:rPr>
              <w:t>233,814</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17,589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900" w:type="dxa"/>
            <w:vAlign w:val="bottom"/>
            <w:shd w:val="clear" w:color="auto" w:fill="CCEEFF"/>
          </w:tcPr>
          <w:p>
            <w:pPr>
              <w:jc w:val="center"/>
              <w:ind w:right="713"/>
              <w:spacing w:after="0"/>
              <w:rPr>
                <w:sz w:val="20"/>
                <w:szCs w:val="20"/>
                <w:color w:val="auto"/>
              </w:rPr>
            </w:pPr>
            <w:r>
              <w:rPr>
                <w:rFonts w:ascii="Times New Roman" w:cs="Times New Roman" w:eastAsia="Times New Roman" w:hAnsi="Times New Roman"/>
                <w:sz w:val="18"/>
                <w:szCs w:val="18"/>
                <w:color w:val="auto"/>
                <w:w w:val="99"/>
              </w:rPr>
              <w:t>179,056</w:t>
            </w: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16,905</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900" w:type="dxa"/>
            <w:vAlign w:val="bottom"/>
          </w:tcPr>
          <w:p>
            <w:pPr>
              <w:jc w:val="center"/>
              <w:ind w:right="713"/>
              <w:spacing w:after="0"/>
              <w:rPr>
                <w:sz w:val="20"/>
                <w:szCs w:val="20"/>
                <w:color w:val="auto"/>
              </w:rPr>
            </w:pPr>
            <w:r>
              <w:rPr>
                <w:rFonts w:ascii="Times New Roman" w:cs="Times New Roman" w:eastAsia="Times New Roman" w:hAnsi="Times New Roman"/>
                <w:sz w:val="18"/>
                <w:szCs w:val="18"/>
                <w:color w:val="auto"/>
                <w:w w:val="99"/>
              </w:rPr>
              <w:t>172,093</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7,457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900" w:type="dxa"/>
            <w:vAlign w:val="bottom"/>
            <w:shd w:val="clear" w:color="auto" w:fill="CCEEFF"/>
          </w:tcPr>
          <w:p>
            <w:pPr>
              <w:jc w:val="center"/>
              <w:ind w:right="713"/>
              <w:spacing w:after="0"/>
              <w:rPr>
                <w:sz w:val="20"/>
                <w:szCs w:val="20"/>
                <w:color w:val="auto"/>
              </w:rPr>
            </w:pPr>
            <w:r>
              <w:rPr>
                <w:rFonts w:ascii="Times New Roman" w:cs="Times New Roman" w:eastAsia="Times New Roman" w:hAnsi="Times New Roman"/>
                <w:sz w:val="18"/>
                <w:szCs w:val="18"/>
                <w:color w:val="auto"/>
              </w:rPr>
              <w:t>75,912</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jc w:val="both"/>
        <w:ind w:left="340" w:hanging="332"/>
        <w:spacing w:after="0" w:line="272" w:lineRule="auto"/>
        <w:tabs>
          <w:tab w:leader="none" w:pos="332"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vesting of performance shares is calculated by multiplying the closing price of Hexagon’s Series B shares on Nasdaq Stockholm as of May 28, 2025 (SEK 97.62) (the last trading day prior to the vesting date) by the number of shares underlying each award. The values reflect a conversion from Swedish kronor to U.S. dollars using Hexagon’s May 2025 foreign exchange rate applied for financial reporting purposes (9.5985), resulting in a share price of $10.18 per share.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section describes the payments or benefits payable to our NEOs upon certain terminations of employment or in connection with a change in control. Mr. Mokashi participates only in severance and benefit arrangements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generally available to all salaried employees, and descriptions of such arrangements are not included in this section.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Hexagon Equity Incentive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plans governing outstanding Hexagon long-term equity incentive awards, the Hexagon Board has discretion to make adjustments to such awards in the event of extraordinary circumstances and, in certain circumstances, to waive the applicable employment condition in the event of a holder’s involuntary termination of employment prior to vesting. Except as noted below pursuant to the spin-off-related transition agreements with Messrs. Maslen and Zana, which will cease to apply upon completion of the Distribution, none of the NEOs has an existing right to accelerated or continued vesting of outstanding Hexagon equity awards in the event of a termination of employment for any reason.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Hexagon Group Management Severance Practices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applicable contractual arrangements described below that set forth specific severance-related entitlements, Hexagon’s shareholder-approved executive remuneration guidelines permit severance payments of up to 24 months of base salary to members of group management, including Messrs. Stenberg, Maslen and Zana, in connection with an involuntary termination without cause.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Distribution-Related Transition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 Maslen and Anthony Zana</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Messrs. Maslen and Zana each entered into a transition agreement, dated August 22, 2025, with Hexagon setting forth certain role transition and severance arrangements in connection with the Distribution. These arrangements were provided to facilitate an orderly transition of their roles at Hexagon, including the recruitment, retention and training of successors who would continue to serve in those roles at Hexagon even if the Distribution were not consummated.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the Distribution is not consummated, resulting in the termination of Messrs. Maslen’s and Zana’s employment with Hexagon (including constructively), the applicable executive is entitled to receive: (i) a separation payment consisting of 24 months of base salary; (ii) any bonus due for fiscal year 2025 and any prorated bonus for fiscal year 2026; (iii) 24 months of company-paid premiums for health and benefit plans equivalent to their current coverage; (iv) “good leaver” status for purposes of retaining all unvested performance shares granted under Hexagon’s long-term share programmes; and (v) paid outplacement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Existing Employment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Mattias Stenberg</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Stenberg Offer Letter, Mr. Stenberg’s employment may be terminated by Hexagon with a 12-month notice and by Mr. Stenberg with a six-month notice. In the event of a termination by Hexagon, unless for cause, Mr. Stenberg is entitled to receive continued base salary and continued participation in employee welfare and benefit plans during the applicable notice period. In the event of a termination of employment initiated by Mr. Stenberg, he will receive continued base salary and employment benefits during the applicable notice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 Maslen</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Maslen Employment Agreement may be terminated by Mr. Maslen or Hexagon, generally subject to six- or twelve-month notice requirements, respectively. Mr. Maslen is entitled to receive continued salary and all other benefits arising under the Maslen Employment Agreement during the applicable notice period.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Maslen Employment Agreement, Hexagon may terminate Mr. Maslen’s employment (i) at any time (whether or not notice to terminate has already been given) by paying a lump sum equal to his base salary only (as at the date of termination) in lieu of any required notice or balance of such notice; or (ii) if in the opinion of the Hexagon Board, Mr. Maslen is or has been or may be unable to perform duties properly by reason of sickness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injury for a period exceeding an aggregate of three months in any 12-month period, subject to a three-month notice requirement, less the aggregate of any periods during which Mr. Maslen has been paid salary under paid sick leave during the 12 months prior to the giving of such notice. Following termination of Mr. Maslen’s employment by Hexagon without cause (as described in the Maslen Employment Agreement) or by Mr. Maslen in response to Hexagon’s fundamental breach of the Maslen Employment Agreement, Mr. Maslen is entitled to receive pro-rated bonus for the year of termination.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Zana</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Zana Employment Agreement may be terminated by Mr. Zana or Intergraph at any time and for any reason or no reason, subject to (i) a 90-day notice period in the event of termination by Intergraph without cause (as defined in the Zana Employment Agreement) and (ii) a 30-day notice period in the event of termination by Mr. Zana or due to death, disability or a change of control. Intergraph may, in its discretion, provide Mr. Zana with termination-related payments described below in lieu of the applicable notice period and may waive all or any portion of the 30-day notice period.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Mr. Zana’s employment is terminated by Intergraph for any reason other than for cause (including, without limitation, death, disability, constructively or via direct or indirect change of control of Intergraph), Mr. Zana (or his estate and/or beneficiaries, as the case may be) is entitled to receive: (i) a lump sum payment equal to 12 months of base salary, payable within 30 days of the date of termination; (ii) pro-rated portion of annual bonus as of the date of termination (on target); and (iii) COBRA continuation coverage for up to 12 months following the date of termination.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Scott Moore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Moore Compensation Letter, Mr. Moore is entitled to a severance payment consisting of 12 months of base salary in the event of a termination without cause.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 Table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reflects the potential payments to which each of our NEOs would have been entitled upon each termination scenario listed assuming that each event occurred on December 31, 2025. The amounts shown do not include payments or benefits provided under plans that are generally available to all salaried employees.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80" w:type="dxa"/>
            <w:vAlign w:val="bottom"/>
          </w:tcPr>
          <w:p>
            <w:pPr>
              <w:spacing w:after="0"/>
              <w:rPr>
                <w:sz w:val="13"/>
                <w:szCs w:val="13"/>
                <w:color w:val="auto"/>
              </w:rPr>
            </w:pPr>
          </w:p>
        </w:tc>
        <w:tc>
          <w:tcPr>
            <w:tcW w:w="2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Involuntary Termination (without</w:t>
            </w:r>
          </w:p>
        </w:tc>
        <w:tc>
          <w:tcPr>
            <w:tcW w:w="22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Death / Disability / Change-in-</w:t>
            </w:r>
          </w:p>
        </w:tc>
        <w:tc>
          <w:tcPr>
            <w:tcW w:w="20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Termination Due to Non-</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cause) ($)</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Control ($)</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Consummation of Distribution ($)</w:t>
            </w:r>
          </w:p>
        </w:tc>
        <w:tc>
          <w:tcPr>
            <w:tcW w:w="0" w:type="dxa"/>
            <w:vAlign w:val="bottom"/>
          </w:tcPr>
          <w:p>
            <w:pPr>
              <w:spacing w:after="0"/>
              <w:rPr>
                <w:sz w:val="1"/>
                <w:szCs w:val="1"/>
                <w:color w:val="auto"/>
              </w:rPr>
            </w:pPr>
          </w:p>
        </w:tc>
      </w:tr>
      <w:tr>
        <w:trPr>
          <w:trHeight w:val="22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1,430,908</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Pr>
          <w:p>
            <w:pPr>
              <w:spacing w:after="0"/>
              <w:rPr>
                <w:sz w:val="19"/>
                <w:szCs w:val="19"/>
                <w:color w:val="auto"/>
              </w:rPr>
            </w:pPr>
          </w:p>
        </w:tc>
        <w:tc>
          <w:tcPr>
            <w:tcW w:w="2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1,430,908</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Pro-Rated Bonus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1,073,181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tcPr>
          <w:p>
            <w:pPr>
              <w:spacing w:after="0"/>
              <w:rPr>
                <w:sz w:val="19"/>
                <w:szCs w:val="19"/>
                <w:color w:val="auto"/>
              </w:rPr>
            </w:pPr>
          </w:p>
        </w:tc>
        <w:tc>
          <w:tcPr>
            <w:tcW w:w="2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1,073,181</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Equity Vesting</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1,496,237</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(3)</w:t>
            </w:r>
          </w:p>
        </w:tc>
        <w:tc>
          <w:tcPr>
            <w:tcW w:w="100" w:type="dxa"/>
            <w:vAlign w:val="bottom"/>
          </w:tcPr>
          <w:p>
            <w:pPr>
              <w:spacing w:after="0"/>
              <w:rPr>
                <w:sz w:val="19"/>
                <w:szCs w:val="19"/>
                <w:color w:val="auto"/>
              </w:rPr>
            </w:pPr>
          </w:p>
        </w:tc>
        <w:tc>
          <w:tcPr>
            <w:tcW w:w="2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1,496,237</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Continued Benefits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(4)</w:t>
            </w:r>
          </w:p>
        </w:tc>
        <w:tc>
          <w:tcPr>
            <w:tcW w:w="100" w:type="dxa"/>
            <w:vAlign w:val="bottom"/>
          </w:tcPr>
          <w:p>
            <w:pPr>
              <w:spacing w:after="0"/>
              <w:rPr>
                <w:sz w:val="20"/>
                <w:szCs w:val="20"/>
                <w:color w:val="auto"/>
              </w:rPr>
            </w:pPr>
          </w:p>
        </w:tc>
        <w:tc>
          <w:tcPr>
            <w:tcW w:w="2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80" w:type="dxa"/>
            <w:vAlign w:val="bottom"/>
          </w:tcPr>
          <w:p>
            <w:pPr>
              <w:spacing w:after="0"/>
              <w:rPr>
                <w:sz w:val="19"/>
                <w:szCs w:val="19"/>
                <w:color w:val="auto"/>
              </w:rPr>
            </w:pPr>
          </w:p>
        </w:tc>
        <w:tc>
          <w:tcPr>
            <w:tcW w:w="216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4,019,760</w:t>
            </w:r>
          </w:p>
        </w:tc>
        <w:tc>
          <w:tcPr>
            <w:tcW w:w="100" w:type="dxa"/>
            <w:vAlign w:val="bottom"/>
          </w:tcPr>
          <w:p>
            <w:pPr>
              <w:spacing w:after="0"/>
              <w:rPr>
                <w:sz w:val="19"/>
                <w:szCs w:val="19"/>
                <w:color w:val="auto"/>
              </w:rPr>
            </w:pPr>
          </w:p>
        </w:tc>
        <w:tc>
          <w:tcPr>
            <w:tcW w:w="216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80" w:type="dxa"/>
            <w:vAlign w:val="bottom"/>
            <w:tcBorders>
              <w:top w:val="single" w:sz="8" w:color="auto"/>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4,019,760</w:t>
            </w: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Pro-Rated Bonus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Equity Vesting</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(3)</w:t>
            </w:r>
          </w:p>
        </w:tc>
        <w:tc>
          <w:tcPr>
            <w:tcW w:w="10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r>
        <w:trPr>
          <w:trHeight w:val="229"/>
        </w:trPr>
        <w:tc>
          <w:tcPr>
            <w:tcW w:w="2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Continued Benefits</w:t>
            </w:r>
          </w:p>
        </w:tc>
        <w:tc>
          <w:tcPr>
            <w:tcW w:w="8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(4)</w:t>
            </w:r>
          </w:p>
        </w:tc>
        <w:tc>
          <w:tcPr>
            <w:tcW w:w="10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248"/>
        </w:trPr>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3,681,420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1,633,485</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3,681,420</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140" w:type="dxa"/>
            <w:vAlign w:val="bottom"/>
            <w:tcBorders>
              <w:top w:val="single" w:sz="8" w:color="CCEEFF"/>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80" w:type="dxa"/>
            <w:vAlign w:val="bottom"/>
          </w:tcPr>
          <w:p>
            <w:pPr>
              <w:spacing w:after="0"/>
              <w:rPr>
                <w:sz w:val="18"/>
                <w:szCs w:val="18"/>
                <w:color w:val="auto"/>
              </w:rPr>
            </w:pP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570,544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Pr>
          <w:p>
            <w:pPr>
              <w:spacing w:after="0"/>
              <w:rPr>
                <w:sz w:val="18"/>
                <w:szCs w:val="18"/>
                <w:color w:val="auto"/>
              </w:rPr>
            </w:pPr>
          </w:p>
        </w:tc>
        <w:tc>
          <w:tcPr>
            <w:tcW w:w="2160" w:type="dxa"/>
            <w:vAlign w:val="bottom"/>
            <w:tcBorders>
              <w:top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180" w:type="dxa"/>
            <w:vAlign w:val="bottom"/>
            <w:tcBorders>
              <w:top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severance in an amount equal to (i) up to 24 months of base salary for Messrs. Stenberg, Maslen and Zana, upon a termination by Hexagon without cause; (ii) 24 months of base salary for Messrs. Maslen and Zana, upon a termination due to non-consummation of Distribution; and (iii) 12 months for Mr. Zana, upon a termination due to death, disability or a change of control.</w:t>
      </w:r>
    </w:p>
    <w:p>
      <w:pPr>
        <w:ind w:left="340" w:right="20" w:hanging="332"/>
        <w:spacing w:after="0" w:line="283" w:lineRule="auto"/>
        <w:tabs>
          <w:tab w:leader="none" w:pos="33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executive’s pro-rated target annual bonus for the year of termination; however, because this table assumes termination of employment occurred on December 31, 2025, the amount shown reflects the full target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35" w:lineRule="exact"/>
        <w:rPr>
          <w:sz w:val="20"/>
          <w:szCs w:val="20"/>
          <w:color w:val="auto"/>
        </w:rPr>
      </w:pPr>
    </w:p>
    <w:p>
      <w:pPr>
        <w:ind w:left="340" w:hanging="332"/>
        <w:spacing w:after="0" w:line="271" w:lineRule="auto"/>
        <w:tabs>
          <w:tab w:leader="none" w:pos="332"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outstanding performance shares based on the applicable price per share as of December 31, 2025. Upon such a termination of employment, awards will remain outstanding and eligible to vest in accordance with their terms.</w:t>
      </w:r>
    </w:p>
    <w:p>
      <w:pPr>
        <w:ind w:left="340" w:hanging="332"/>
        <w:spacing w:after="0" w:line="251" w:lineRule="auto"/>
        <w:tabs>
          <w:tab w:leader="none" w:pos="332"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continued participation in health and welfare benefit plans during the same severance period as the applicable cash severance payment. Messrs. Maslen and Zana are also entitled to paid outplacement services upon a termination by Hexagon without cause or a termination due to non-consummation of Distribution.</w:t>
      </w:r>
    </w:p>
    <w:p>
      <w:pPr>
        <w:ind w:left="320" w:hanging="312"/>
        <w:spacing w:after="0"/>
        <w:tabs>
          <w:tab w:leader="none" w:pos="32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severance in an amount equal to 12 months of base salary.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 to be Adopted in Connection with the Distribution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develop executive compensation programs to incentivize our NEOs in the long-term and short-term, following the completion of the Distribution. In connection with the completion of the Distribution, we will establish a Compensation Committee, which will establish our go-forward compensation program. By offering compensation to our key employees that is directly linked to the performance of our business following the Distribution, we expect to enhance our ability to attract, retain and motivate qualified personnel and serve the interests of our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 and Awards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equity-based compensation will be an important component of our executive compensation program because we believe it is important to align the interests of our officers, employees, directors and other service providers with those of our shareholders. Accordingly, prior to the Distribution, we expect to adopt a long-term equity incentive plan, and in connection with the Distribution, we intend to grant our NEOs equity-based incentive awards in respect of 2026. The form and terms of the Octave long-term equity incentive plan and such awards are still under evaluation, and we expect to provide details in an amendment to this information statement. Other than equity awards granted by Octave in respect of 2026, our NEOs are not expected to receive equity-based incentive awards from Hexagon in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and/or certain of its affiliates intend to enter into new employment agreements with our NEOs, to be effective upon the completion of the Distribution, which would supersede all prior agreements with Hexagon. The form and terms of the Octave executive employment agreements are still under evaluation, and we expect to provide details in an amendment to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Distribution, director compensation will be proposed by our Board of Directors, with the assistance of our Compensation Committee, and ratified by our shareholders at our annual general meeting. The form and terms of our director compensation program for periods after the separation and Distribution are still under evaluation, and we expect to provide details in an amendment to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Distribution, we will be a public company and Hexagon will have no continuing ownership interest in us. For purposes of governing the ongoing relationships between Hexagon and us after the Distribution and to provide for an orderly transition, Hexagon and Octave entered into, or before the completion of the Distribution will enter into, a Distribution Agreement, Employee Matters Agreement, Tax Disaffiliation Agreement, Transition Services Agreement and other agreements that will outline the terms and conditions of the transactions and provide a framework for our relationship with Hexagon after the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Hexagon and Octave After the Distribution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summaries of each of the agreements set forth below are qualified in their entireties by reference to the full text of the applicable agreements, copies or forms which will be filed in an amendment as exhibits to the registration statement of which this information statement forms a part.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summaries have been included in this information statement to provide information regarding the terms of these agreements. They are not intended to provide any other factual information about Hexagon, Octave, their respective affiliates or the Octave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Distribution Agreement provides for the separation of the Octave Business from Hexagon’s other businesses. Among other things, the Distribution Agreement identifies those assets of Hexagon related to the Octave Business that are to be transferred to, and those liabilities of Hexagon related to the Octave Business that are to be assumed by, Octave, and describes when and how these transfers and assumptions will occur. The Distribution Agreement also includes procedures by which Hexagon and Octave will become separate and independent companies. The matters addressed by the Distribution Agreement include, but are not limited to, the matters described below. As used in this summary, the following terms have the following meanings: (i) “Octave entities” means Octave and all its direct and indirect wholly owned or controlled subsidiaries (after giving effect to the internal reorganization); (ii) “Octave group” means Octave, the other Octave entities, each subsidiary of Octave immediately after the effective time of the Distribution and each other entity that becomes a subsidiary of Octave after the effective time of the Distribution (including as a result of any transactions that occur following the effective time of the Distribution in accordance with the separation step plan (as defined in the Distribution Agreement)); (iii) “Hexagon group” means Hexagon and each entity (other than any member of Octave group) that is a direct or indirect subsidiary of Hexagon immediately after the effective time of the Distribution, and each entity that becomes a subsidiary of Hexagon after the effective time of the Distribution (including as a result of transactions that occur following the effective time of the Distribution in accordance with the separation step plan); and (iv) “group” means the Hexagon group or the Octave group, as the context requires.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Octave Assets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Distribution Agreement identifies the assets to be transferred, the liabilities to be assumed and the contracts to be transferred to each of Octave and Hexagon as part of the separation of the Octave Business from Hexagon, and provides for when and how these transfers and assumptions will occur.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Distribution Agreement, Hexagon will cause its various contributing subsidiaries to transfer to Octave (or one or more of its designated subsidiaries) all right, title and interest in and to all the Octave Assets (as defined below). The vast majority of the “Octave Assets” will be transferred via entity encapsulation and include, among other things and subject to certain exceptions, assets related to the Octave Business,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0" w:lineRule="exact"/>
        <w:rPr>
          <w:sz w:val="20"/>
          <w:szCs w:val="20"/>
          <w:color w:val="auto"/>
        </w:rPr>
      </w:pPr>
    </w:p>
    <w:p>
      <w:pPr>
        <w:ind w:left="328" w:hanging="328"/>
        <w:spacing w:after="0"/>
        <w:tabs>
          <w:tab w:leader="none" w:pos="32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securities of the Octave entities;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contracts (other than any contracts that are Excluded Assets (as defined below)) to which Hexagon or any of its subsidiaries is a party or to which any Octave Asset is subject, in each case that primarily relate to or are primarily used in connection with or held for the benefit of the Octave Business, (ii) to the extent assignable, the applicable portion of any non-disclosure and confidentiality agreements and (iii) the applicable portions of each shared contract (as defined below) (collectively, the “Octave Contracts”);</w:t>
      </w:r>
    </w:p>
    <w:p>
      <w:pPr>
        <w:spacing w:after="0" w:line="1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permits and other governmental authorizations held by Hexagon or any of its subsidiaries that are primarily related to the Octave Business or the Octave Assets;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registered intellectual property and other intellectual property that is primarily used or held for use in the operation of the Octave Business, together with all causes of action or other rights that may be asserted under any of the foregoing (the “Octave Intellectual Property”);</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goodwill and other intangibles primarily related to the Octave Business;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with respect to which the intellectual property therein that is owned by Hexagon and its subsidiaries as of immediately prior to the effective time of the Distribution and that is used in or necessary to the operation of the Octave Business as of immediately prior to the effective time of the Distribution and capable of being copied, or all know-how or knowledge of any Octave employees to the extent related to the Octave Business (not including IT Assets, tangible and personal property or books and records);</w:t>
      </w:r>
    </w:p>
    <w:p>
      <w:pPr>
        <w:spacing w:after="0" w:line="1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networks and hardware (“IT Assets”) primarily used or held for use in the Octave Business, including all software embedded within to the extent described in the Distribution Agreement;</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books and records related to the Octave Business;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taxes or claims under any insurance policies, rights available to or being pursued by Hexagon or its wholly owned or controlled subsidiaries in connection with any claim, action, investigation or other proceeding or any other claims, defenses, causes of action, rights of recovery, set-off, guarantees and similar rights against third parties, in each case, to the extent relating to the Octave Business, any Octave Asset or any Octave Liability (as defined below);</w:t>
      </w:r>
    </w:p>
    <w:p>
      <w:pPr>
        <w:spacing w:after="0" w:line="1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scheduled Octave Assets;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accounts receivable and other current assets of the Octave entities and the additional entities as of immediately prior to the effective time of the Distribution, and all cash and cash equivalents of the Octave entities and the additional entities as of immediately prior to the effective time of the Distribution, to the extent included in the calculation of final net indebtedness;</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that primarily relates to or is primarily used in connection with the Octave Business;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prepaid expenses, credits, deposits and advance payments, in each case, to the extent relating to any other Octave Asset;</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owned by Hexagon or its wholly owned or controlled subsidiaries that primarily relates to or is primarily used in connection with or held for the benefit of the Octave Business (referred to herein as “Octave Owned Real Property”) and all real property leased, subleased, licensed or similarly occupied by Hexagon or its subsidiaries, in each case that primarily relates to or is primarily occupied or used in connection with the Octave Business (referred to herein as “Octave Leased Real Property”); and</w:t>
      </w:r>
    </w:p>
    <w:p>
      <w:pPr>
        <w:spacing w:after="0" w:line="125"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assets of Hexagon and its wholly owned or controlled subsidiaries as of immediately prior to the effective time of the Distribution that are primarily related to or primarily used in connection with or held for the benefit of the Octave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908"/>
          </w:cols>
          <w:pgMar w:left="652" w:top="1440" w:right="339" w:bottom="1440" w:gutter="0" w:footer="0" w:header="0"/>
        </w:sectPr>
      </w:pPr>
    </w:p>
    <w:bookmarkStart w:id="148" w:name="page149"/>
    <w:bookmarkEnd w:id="148"/>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Excluded Assets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the Distribution Agreement, Octave and its subsidiaries will transfer to Hexagon or one of its designated subsidiaries (other than Octave and its subsidiaries) all right, title and interest in and to all the Excluded Assets, which are to be designated by Hexagon prior to signing the Distribution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 of Octave Liabilities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Distribution Agreement provides that Octave or one or more of its subsidiaries will assume certain liabilities that include, among other things and subject to certain exceptions, the liabilities described below, referred to herein as the “Octave Liabilities,” and the vast majority of these liabilities will be assumed via entity encapsulation:</w:t>
      </w:r>
    </w:p>
    <w:p>
      <w:pPr>
        <w:spacing w:after="0" w:line="122" w:lineRule="exact"/>
        <w:rPr>
          <w:sz w:val="20"/>
          <w:szCs w:val="20"/>
          <w:color w:val="auto"/>
        </w:rPr>
      </w:pPr>
    </w:p>
    <w:p>
      <w:pPr>
        <w:jc w:val="both"/>
        <w:ind w:left="660" w:hanging="328"/>
        <w:spacing w:after="0" w:line="266" w:lineRule="auto"/>
        <w:tabs>
          <w:tab w:leader="none" w:pos="6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to the extent relating to, arising out of or resulting from the ownership, operation or conduct of the Octave Business, the Octave Assets, whether known or unknown, fixed or contingent, asserted or unasserted, and not satisfied or extinguished as of the Distribution Date, including any and all liabilities in respect of any actions related thereto;</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or relating to any Octave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under or relating to any Octave Intellectual Property, including the use thereof;</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assumed by, retained by or agreed to be performed by Octave or any of its subsidiaries and affiliates pursuant to any agreement entered into in connection with the Distribution;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(including under applicable federal and state securities laws) relating to, arising out of or resulting from the registration statement of which this information statement forms a part, other than information relating to Hexagon and its subsidiaries with respect to the Hexagon business, whenever arising;</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arising out of or resulting from the Octave financing agreements, whenever arising;</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environmental liabilities (as defined in the Distribution Agreement) to the extent relating to, arising out of or resulting from (i) the Octave Owned Real Property or the Octave Leased Real Property, except to the extent such liabilities are attributable to any Hexagon business conducted at, or any Excluded Asset used, operated or stored at, or removed from, such real property, or (ii) the ownership or operation of the Octave Business, the Octave Assets (other than the Octave Owned Real Property or the Octave Leased Real Property), or the conduct of the Octave Business; and</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arising out of or resulting from any action with respect to the Octave Business and the Octave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Excluded Liabilities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Distribution Agreement provides that Hexagon or one or more of its subsidiaries will be responsible for, and not transfer to Octave or its subsidiaries, certain liabilities. The “Excluded Liabilities” are to be designated by Hexagon prior to signing the Distribution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Contracts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Hexagon and Octave will use commercially reasonable efforts for 36 months after the Distribution Date to separate any contracts with third parties that benefit both the Octave Business and the Hexagon business, other than enterprise-wide contracts, contracts with respect to off-the-shelf software, any contract that provides for certain overhead and shared services or processes that are provided to, or used in, both the Octave Business and Hexagon business or any contract that is subject to the Transition Services Agreement (collectively, the “Shared Contracts”), or take such other action as reasonably agreed between Hexagon and Octave, subject to certain limitations described in the Distribution Agreement. If such Shared Contracts cannot be separated, then the parties will use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reasonable efforts to develop and implement arrangements (including subcontracting under the Transition Services Agreement) to pass along to the Hexagon group or the Octave group, as applicable, the benefits and liabilities of the portion of any such shared contract related to the Hexagon business or the Octave Business,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Hexagon and Octave has agreed, from and after the Distribution, to indemnify members of the other party’s group against any liabilities incurred by reason of or arising out of or in consequence of:</w:t>
      </w:r>
    </w:p>
    <w:p>
      <w:pPr>
        <w:spacing w:after="0" w:line="108" w:lineRule="exact"/>
        <w:rPr>
          <w:sz w:val="20"/>
          <w:szCs w:val="20"/>
          <w:color w:val="auto"/>
        </w:rPr>
      </w:pPr>
    </w:p>
    <w:p>
      <w:pPr>
        <w:jc w:val="both"/>
        <w:ind w:left="660" w:hanging="328"/>
        <w:spacing w:after="0" w:line="266"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other party’s group issuing, making payment under, being required to pay or reimburse the issuer of, or being a party to, any guarantee, indemnity, surety bond, letter of credit, letter of comfort, commitments or other similar obligation to the extent relating to the other party’s business (and in the case of Octave, the Octave entities);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demand for payment made on a member of the other party’s group with respect to any such guarantees;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action or other proceeding by any person who is or claims to be entitled to the benefit of or claims to be entitled to payment, reimbursement or indemnity with respect to any such guarantees;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or expenses reasonably incurred in connection with any of the liabilities described in the preceding three bullets.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of Claims and Indemnification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as otherwise provided in any agreement entered into in connection with the Distribution and subject to certain exceptions set forth in the Distribution Agreement, each of Hexagon and Octave will release and forever discharge the other party and its affiliates and holders of equity interests from all liabilities existing or arising from any acts or events occurring or failing to occur or alleged to have occurred or to have failed to occur or any conditions existing or alleged to have existed on or before the effective time of the Distribution. The releases will not extend to obligations or liabilities under any agreements between the parties that remain in effect following the effective time of the Distribution pursuant to the Distribution Agreement or any ancillary agreement. The Distribution Agreement contains certain cross-indemnities that, except as otherwise provided in the Distribution Agreement, are principally designed to place financial responsibility for the obligations and liabilities allocated to Octave under the Distribution Agreement with Octave and financial responsibility for the obligations and liabilities allocated to Hexagon under the Distribution Agreement with Hexagon. Specifically, Hexagon and Octave will indemnify, defend and hold harmless each member of the other party’s group and each of its directors, officers and employees, and each of the heirs, executors, successors and assigns of any of the foregoing, from any liabilities arising out of or due to:</w:t>
      </w:r>
    </w:p>
    <w:p>
      <w:pPr>
        <w:spacing w:after="0" w:line="140" w:lineRule="exact"/>
        <w:rPr>
          <w:sz w:val="20"/>
          <w:szCs w:val="20"/>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liabilities or alleged liabilities each party assumed or retained pursuant to the Distribution Agreement;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each party, any other member of its group or any other person to pay, perform or otherwise promptly discharge any liabilities assumed or retained pursuant to the Distribution Agreement;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any member of each party’s group of any agreement entered into in connection with the Distribution after the effective time of the Distribution (other than any agreement entered into in connection with the Distribution that expressly contains indemnification provisions).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party’s aforementioned indemnification obligations will be uncapped, provided that the amount of each party’s indemnification obligations will be subject to reduction by any insurance proceeds (net of premium adjustments) received by the party being indemnified. The Distribution Agreement also specifies procedures with respect to claims subject to indemnification and related matters. Indemnification with respect to taxes will be governed by the Tax Disaffiliation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and Termination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until the Distribution occurs, Hexagon will effectively have the sole and absolute discretion to determine and change the terms of the separation and Distribution, including the terms of any agreements between Hexagon and us and the establishment of the record date and Distribution Date. After the effective time of the Distribution, the Distribution Agreement may be modified only by written agreement between Octave and Hexagon.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Octave and Hexagon intend to enter into a Transition Services Agreement in connection with the separation pursuant to which Octave and Hexagon will provide to the other, on an interim, transitional basis, various services, including information technologies and software support, administrative and other similar services. The charges for the transition services are expected to allow the providing company to fully recover all out-of-pocket costs and expenses it actually incurs in connection with providing the service. The Transition Service Agreement may also provide for certain other commercial agreements among Octave and Hexagon, such as distribution and licensing arrangements, as is more particularly described in the text of those agreements.</w:t>
      </w:r>
    </w:p>
    <w:p>
      <w:pPr>
        <w:spacing w:after="0" w:line="129" w:lineRule="exact"/>
        <w:rPr>
          <w:sz w:val="20"/>
          <w:szCs w:val="20"/>
          <w:color w:val="auto"/>
        </w:rPr>
      </w:pPr>
    </w:p>
    <w:p>
      <w:pPr>
        <w:spacing w:after="0" w:line="438" w:lineRule="auto"/>
        <w:rPr>
          <w:sz w:val="20"/>
          <w:szCs w:val="20"/>
          <w:color w:val="auto"/>
        </w:rPr>
      </w:pPr>
      <w:r>
        <w:rPr>
          <w:rFonts w:ascii="Times New Roman" w:cs="Times New Roman" w:eastAsia="Times New Roman" w:hAnsi="Times New Roman"/>
          <w:sz w:val="18"/>
          <w:szCs w:val="18"/>
          <w:color w:val="auto"/>
        </w:rPr>
        <w:t xml:space="preserve">The Transition Services Agreement will terminate on the expiration of the term of the last service provided under it, unless earlier terminated by the parties. </w:t>
      </w:r>
      <w:r>
        <w:rPr>
          <w:rFonts w:ascii="Times New Roman" w:cs="Times New Roman" w:eastAsia="Times New Roman" w:hAnsi="Times New Roman"/>
          <w:sz w:val="18"/>
          <w:szCs w:val="18"/>
          <w:b w:val="1"/>
          <w:bCs w:val="1"/>
          <w:i w:val="1"/>
          <w:iCs w:val="1"/>
          <w:color w:val="auto"/>
        </w:rPr>
        <w:t>Tax Disaffiliation Agreement</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and Hexagon intend to enter into a Tax Disaffiliation Agreement to govern the relationship between the parties after the Distribution in relation to tax matters. The information statement will be updated prior to effectiveness of the registration statement of which this information statement forms a part to include a description of the Tax Disaffiliation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and Hexagon intend to enter into an Employee Matters Agreement to govern the relationship between the parties after the Distribution in relation to employee matters. The information statement will be updated prior to effectiveness of the registration statement of which this information statement forms a part to include a description of the Employee Matters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and Melker Schörling AB, a significant shareholder of Hexagon, intend to enter into a Registration Rights Agreement to govern the relationship between the parties after the Distribution in relation to certain registration rights. The information statement will be updated prior to effectiveness of the registration statement of which this information statement forms a part to include a description of the Registration Rights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Before completion of the Distribution, our Board of Directors will adopt a written statement of policy regarding transactions with related parties, which we refer to as our “related party policy.” Although Octave will, as a general matter, prefer to avoid related party transactions, it recognizes that certain related party transactions may not be inconsistent with the best interests of Octave and its shareholders. Our related party policy will provide that a “related party transaction” is a transaction, arrangement or relationship, or any series of similar transactions, arrangements, or relationships in which (i) Octave or any of its consolidated subsidiaries was, is, or will be a participant, (ii) the aggregate amount involved will or may reasonably be expected to exceed $120,000, and (iii) any related party has or will have a direct or indirect material interest.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“related party” means:</w:t>
      </w:r>
    </w:p>
    <w:p>
      <w:pPr>
        <w:spacing w:after="0" w:line="171" w:lineRule="exact"/>
        <w:rPr>
          <w:sz w:val="20"/>
          <w:szCs w:val="20"/>
          <w:color w:val="auto"/>
        </w:rPr>
      </w:pPr>
    </w:p>
    <w:p>
      <w:pPr>
        <w:ind w:left="660" w:hanging="328"/>
        <w:spacing w:after="0" w:line="282"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Octave’s executive officers or a member of or nominee for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0" w:lineRule="exact"/>
        <w:rPr>
          <w:sz w:val="20"/>
          <w:szCs w:val="20"/>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Octave to be the beneficial owner of more than 5% of any class of our voting shares;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5% of our voting shares, and any person (other than a tenant or employee) sharing the household of such director, executive officer or beneficial owner of more than 5% of our voting shares; and</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who may be a “related person” pursuant to Item 404 of Regulation S-K under the Exchange Act or otherwise under any other applicable laws.</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we have in place policies and procedures designed to minimize potential conflicts of interest arising from any dealings any person or entity may have with its affiliates and to provide appropriate procedures for the disclosure of any real or potential conflicts of interest that may exist from time to time. Specifically, pursuant to the Related Party Transaction Policy and the Nominating and Governance Committee charter, the Nominating and Governance Committee has the responsibility to review related party transactions.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agreements between us and our subsidiaries and Hexagon, its affiliates and its subsidiaries that have been entered into prior to or concurrently with the completion of the separation, and any transactions contemplated thereby, will be deemed to be approved and not subject to the terms of such policy. In addition, the Nominating and Governance Committee expects to adopt certain pre-approvals under the Related Party Transaction Policy in connection with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material U.S. federal income tax consequences of the Distribution to “U.S. Holders” (as defined below) of Hexagon Shares who receive Octave Shares or Octave SDRs in the Distribution and of holding such Octave Shares or Octave SDRs. This discussion is based on the Code, U.S. Treasury Regulations promulgated thereunder, rulings and other administrative pronouncements issued by the IRS, and judicial decisions, in each case as in effect and available as of the date of this information statement and all of which are subject to differing interpretations and change at any time, possibly with retroactive effect. Any such interpretation or change could affect the accuracy of the statements and conclusions set forth in this document. No assurance can be given that the IRS would not assert, or that a court would not sustain, a position contrary to any of the tax consequences described below.</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applies only to persons who hold such shares or SDRs as capital assets within the meaning of Section 1221 of the Code (generally, property held for investment). This discussion is based upon the assumption that the Distribution was or will be consummated in accordance with the agreements related to the Distribution and as described in the registration statement of which this information statement forms a part. Holders of Hexagon Shares that are not U.S. Holders should consult their tax advisors as to the tax consequences of the Distribution and of holding the Octave Shares or Octave SDRs.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any tax consequences arising under the alternative minimum tax (including the corporate alternative minimum tax on financial statement income), the Medicare contribution tax (including net investment income tax) or the Foreign Account Tax Compliance Act of 2010 (including the Treasury Regulations promulgated thereunder and intergovernmental agreements entered into pursuant thereto or in connection therewith, and any laws, regulations or practices adopted in connection with any such agreement). This discussion does not address all aspects of U.S. federal income taxation that may be relevant to particular holders of Hexagon Shares in light of their particular circumstances, nor does it address tax consequences applicable to holders that are or may be subject to special treatment under the U.S. federal income tax laws, including, without limitation:</w:t>
      </w:r>
    </w:p>
    <w:p>
      <w:pPr>
        <w:spacing w:after="0" w:line="133" w:lineRule="exact"/>
        <w:rPr>
          <w:sz w:val="20"/>
          <w:szCs w:val="20"/>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 or government organization;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mutual fund;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bank or other institution in stocks and securities, or currencies;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mark-to-market treatment;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accrual method taxpayer subject to special accounting rules under Section 451(b) of the Code;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receives Hexagon Shares through the exercise of an employee stock option, through a tax qualified retirement plan or otherwise as compensation;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has a functional currency for tax purposes other than the U.S.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actually or constructively owns 5% or more (by vote or value) of Hexagon Shares, Octave Shares, or Octave SDRs;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entities all of the interests of which are held by qualified foreign pension fund and tax-qualified 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0" w:lineRule="exact"/>
        <w:rPr>
          <w:sz w:val="20"/>
          <w:szCs w:val="20"/>
          <w:color w:val="auto"/>
        </w:rPr>
      </w:pPr>
    </w:p>
    <w:p>
      <w:pPr>
        <w:ind w:left="660" w:hanging="328"/>
        <w:spacing w:after="0"/>
        <w:tabs>
          <w:tab w:leader="none" w:pos="6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passive foreign investment companies and corporations that accumulate earnings to avoid U.S. federal income tax;</w:t>
      </w:r>
    </w:p>
    <w:p>
      <w:pPr>
        <w:spacing w:after="0" w:line="182"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holds Hexagon Shares, Octave Shares, or Octave SDRs as part of a hedge, straddle, constructive sale, wash sale, conversion or other integrated transaction;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former citizen or resident of the U.S. subject to U.S. tax as an expatriate.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Hexagon Shares that is, for U.S. federal income tax purposes:</w:t>
      </w:r>
    </w:p>
    <w:p>
      <w:pPr>
        <w:spacing w:after="0" w:line="171" w:lineRule="exact"/>
        <w:rPr>
          <w:sz w:val="20"/>
          <w:szCs w:val="20"/>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 or</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 or an estate that is subject to U.S. federal income tax on its income regardless of its source.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partnership (or any other entity or arrangement treated as a partnership for U.S. federal income tax purposes) holds Hexagon Shares, the tax treatment of a partner in such partnership will generally depend upon the status of the partner and the activities of the partnership. Holders of Hexagon Shares that are partnerships and partners in such partnerships should consult their tax advisors as to the tax consequences of the Distribution to them.</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DISCUSSION SETS FORTH THE MATERIAL U.S. FEDERAL INCOME TAX CONSEQUENCES OF THE DISTRIBUTION UNDER CURRENT LAW. ALL HOLDERS SHOULD CONSULT THEIR TAX ADVISORS WITH RESPECT TO THE PARTICULAR TAX CONSEQUENCES TO THEM OF THE DISTRIBUTION, INCLUDING THE APPLICABILITY AND EFFECT OF U.S. FEDERAL, STATE, LOCAL AND NON-U.S. AND OTHER TAX LAWS IN LIGHT OF THEIR PARTICULAR CIRCUMSTANCES AND THE EFFECT OF POSSIBLE CHANGES IN LAW THAT MIGHT AFFECT THE TAX CONSEQUENCES DESCRIBED IN THIS INFORMATION STATEMENT.</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Distribution is intended to qualify as a transaction that is generally tax-free for U.S. federal income tax purposes under Section 355 of the Code, and Hexagon intends to receive an opinion from its outside tax advisor in support of such treatment. The opinion will be based upon and rely on, among other things, various facts and assumptions, as well as certain representations, statements and undertakings of Hexagon and Octave (including those relating to the past and future conduct of Hexagon and Octave). If any of these facts, assumptions, representations, statements or undertakings is, or becomes, inaccurate or incomplete, or if any representations or covenants contained in any of the agreements and documents relating to the Distribution or in any documents relating to the opinion are inaccurate or not complied with by Hexagon, Octave or any of their respective subsidiaries, such opinion may be invalid and the conclusions reached therein could be jeopardized.</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receipt by Hexagon of the opinion of its outside tax advisor, such opinion will not be binding on the IRS or any court. The IRS could determine that the Distribution should be treated as a taxable transaction for U.S. federal income tax purposes if it determines that any of the facts, representations, assumptions, statements or undertakings upon which the opinion was based are inaccurate or have not been complied with, or that the Distribution should be taxable for other reasons, including as a result of certain events that may or may not be within the control of Hexagon or Octave. In the event the IRS were to prevail with such challenge, Hexagon’s existing shareholders that are subject to U.S. federal income tax could incur significant liabilities. Please refer to “—Material U.S. Federal Income Tax Consequences if the Distribution is Taxable”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Tax Consequences if the Distribution Qualifies as a Transaction that is Generally Tax-Free under Section 355 of the Code</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Distribution qualifies as a transaction that is generally tax-free for U.S. federal income tax purposes under Section 355 of the Code, the U.S. federal income tax consequences of the Distribution generally are as follows: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includible in the income of) U.S. Holders of Hexagon Shares upon the receipt of Octave Shares or Octave SDRs in the Distribution for U.S. federal income tax purposes, except with respect to any cash received in lieu of any fractional Octave Shares or Octave SDRs (as described below);</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Hexagon shareholder’s tax basis in Octave Shares or Octave SDRs received (including any fractional shares or SDRs deemed received, as described below) in the Distribution will be determined by allocating to those Octave Shares or Octave SDRs (as applicable), on the basis of the relative fair market values of Hexagon Shares and Octave Shares or Octave SDRs (as applicable) at the time of the Distribution, a portion of the Hexagon shareholder’s tax basis in its Hexagon Shares. A Hexagon shareholder’s tax basis in its Hexagon Shares will be decreased by the portion allocated to its Octave Shares and Octave SDRs received in the Distribution. Within a reasonable period of time after the Distribution, Hexagon will make available to its stockholders who receive Octave Shares or Octave SDRs pursuant to the Distribution with a worksheet for calculating their tax bases in their Octave Shares or Octave SDRs (as applicable) and their Hexagon Shares;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Octave Shares and Octave SDRs received by each U.S. Holder of Hexagon Shares in the Distribution (including any fractional Octave Shares or Octave SDRs deemed received, as described below) will generally include the holding period at the time of the distribution of the Hexagon Shares with respect to which the Octave Shares or Octave SDRs are received in the completion of the Distribution.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U.S. Holder who receives cash in lieu of fractional Octave Share or Octave SDR in the Distribution will be treated as first receiving such fractional share or SDR and then receiving cash in exchange for such fractional share or SDR. A U.S. Holder generally should recognize capital gain or loss on such deemed exchange in an amount equal to the difference between the amount of cash received and the portion of the U.S. Holder’s aggregate adjusted tax basis in the shares of Hexagon Shares surrendered that is allocated to such fractional share or SDR (as described above). Such capital gain or loss generally will be treated as long-term capital gain or loss if the Hexagon Shares were held by the U.S. Holder for more than one year at the time of the Distribution.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U.S. Holder of Hexagon Shares holds different blocks of Hexagon Shares (generally Hexagon Shares purchased or acquired on different dates or at different prices), such U.S. Holder should consult its tax advisor regarding the determination of the basis and holding period of Octave Shares or Octave SDRs received in the Distribution in respect of particular blocks of Hexagon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if the Distribution is Taxable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notwithstanding receipt by Hexagon of the opinion of its outside tax advisor, the IRS could assert that the Distribution does not qualify for tax-free treatment. If the IRS were successful in taking this position, some or all of the consequences described above would not apply, and Hexagon and Octave shareholders could be subject to significant U.S. federal income tax liability. In addition, certain events that may or may not be within the control of Hexagon or Octave could cause the Distribution and/or certain related transactions not to qualify for tax-free treatment for U.S. federal income tax purposes.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Distribution were to fail to qualify as tax-free for U.S. federal income tax purposes, U.S. Holders would be subject to tax as if they had received a taxable distribution equal to the fair market value of the Octave Shares or Octave SDRs received by them in the Distribution, which generally would be treated as a dividend for such purposes to the extent of such U.S. Holder’s pro rata share of Hexagon’s current and accumulated earnings and profits (including any earnings and profits resulting from any taxable gain on the Distribution), as determined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Payments of cash to U.S. Holders of Hexagon Shares in lieu of fractional Octave Shares or Octave SDRs may be subject to information reporting and backup withholding (currently, at a rate of 24%), unless such U.S. Holder delivers a properly completed IRS Form W-9 certifying such U.S. Holder’s correct taxpayer identification number and certain other information, or otherwise establishes an exemption from backup withholding. Backup withholding is not an additional tax. Any amounts withheld under the backup withholding rules may be refunded or credited against a U.S. Holder’s U.S. federal income tax liability provided that the required information is timely furnished to the IRS.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FOREGOING IS INTENDED ONLY AS A SUMMARY OF MATERIAL U.S. FEDERAL INCOME TAX CONSEQUENCES OF THE DISTRIBUTION UNDER CURRENT LAW. IT IS NOT A COMPLETE ANALYSIS OR DISCUSSION OF ALL POTENTIAL TAX CONSEQUENCES THAT MAY BE IMPORTANT TO PARTICULAR HOLDERS. ALL HOLDERS OF HEXAGON SHARES SHOULD CONSULT THEIR TAX ADVISORS AS TO THE PARTICULAR TAX CONSEQUENCES TO THEM OF THE TRANSACTIONS, INCLUDING THE APPLICATION AND EFFECT OF U.S. FEDERAL, STATE, LOCAL, NON-U.S. AND OTHER TAX LAWS.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Tax Consequences of Owning Octave Shares Following the Distribution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a holder of Octave SDRs will generally be treated as the beneficial owner of the underlying Octave Shares represented by those Octave SDRs. References in the following discussion to “Octave Shares” will include the underlying Octave Shares and Octave SDRs, unless the context otherwise requires.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consequences of owning Octave Shares will depend in part on whether or not we are classified as a passive foreign investment company, or PFIC, for U.S. federal income tax purposes. Except as discussed below under “—PFIC Considerations”, this discussion assumes that we are not classified as a PFIC for U.S. federal income tax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U.S. federal income tax laws, and subject to the discussion of PFIC taxation below, a U.S. Holder must include in its gross income the gross amount of any dividend paid by Octave to the extent of its current or accumulated earnings and profits (as determined for U.S. federal income tax purposes). Dividends will be taxed as ordinary income to the extent that they are paid out of Octave’s current or accumulated earnings and profits. Dividends paid to a non-corporate U.S. Holder by certain “qualified foreign corporations” that constitute qualified dividend income are taxable to the holder at the preferential rates applicable to long-term capital gains provided that the holder holds the shares for more than 60 days during the 121-day period beginning 60 days before the ex- dividend date and meets other holding period requirements. For this purpose, Octave Shares are treated as stock of a “qualified foreign corporation” if Octave is eligible for the benefits of an applicable comprehensive income tax treaty with the U.S. or if such stock is readily tradable on an established securities market in the United States. The Octave Shares are expected to be readily tradable on the Nasdaq New York and Octave is expected to be eligible for the benefits of such a treaty. Accordingly, subject to the discussion of PFIC taxation below, dividends that Octave pays with respect to the Octave Shares are expected to constitute qualified dividend income, assuming the holding period requirements are met. However, no assurance can be given that the Octave Shares will be treated as readily tradable on an established securities market in the United States or that Octave or will qualify for the benefits of a comprehensive income tax treaty with the United States.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U.S. Holder must include any foreign tax withheld from the dividend payment in this gross amount even though the holder does not in fact receive the amount withheld. The dividend is taxable to a U.S. Holder when the U.S. Holder receives the dividend, actually or constructively.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will not be eligible for the dividends-received deduction allowed to U.S. corporations in respect of dividends received from other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Distributions in excess of current and accumulated earnings and profits, as determined for U.S. federal income tax purposes, will be treated as a non-taxable return of capital to the extent of the U.S. Holder’s basis in Octave Shares, causing a reduction in the U.S. Holder’s adjusted basis in Octave Shares, and thereafter as capital gain.</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certain limitations, any non-U.S. tax withheld and paid over to a non-U.S. taxing authority is eligible for credit against a U.S. Holder’s U.S. federal income tax liability except to the extent a refund of the tax withheld is available to the U.S. Holder under non-U.S. tax law or under an applicable tax treaty. The amount allowed to a U.S. Holder as a credit is limited to the amount of the U.S. Holder’s U.S. federal income tax liability that is attributable to income from sources outside the United States and is computed separately with respect to different types of income that the U.S. Holder receives from non-U.S. sources. Subject to the discussion below regarding Section 904(h) of the Code, dividends paid by Octave will be foreign source income and will, depending on the circumstances of the U.S. Holder, be either “passive” or “general” income for purposes of computing the foreign tax credit allowable to a U.S. Holder.</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Section 904(h) of the Code, dividends paid by a foreign corporation that is treated as 50% or more owned, by vote or value, by U.S. persons may be treated as U.S. source income (rather than foreign source income) for foreign tax credit purposes, to the extent the foreign corporation earns U.S. source income, unless such corporation has less than 10% of applicable earnings and profits attributable to sources within the United States. In certain circumstances, U.S. Holders may be able to choose the benefits of Section 904(h)(10) of the Code and elect to treat dividends that would otherwise be U.S. source dividends as foreign source dividends, but in such a case the foreign tax credit limitations would be separately determined with respect to such “resourced” income. In general, therefore, the application of Section 904(h) of the Code may adversely affect a U.S. Holder’s ability to use foreign tax credits. Hexagon and Octave do not believe that, immediately after the Distribution, Octave will be 50% or more owned by U.S. persons. However, this conclusion is a factual determinations and is subject to change; no assurance can therefore be given that Octave would not be treated as 50% or more owned by U.S. persons for purposes of Section 904(h) of the Code.</w:t>
      </w:r>
    </w:p>
    <w:p>
      <w:pPr>
        <w:spacing w:after="0" w:line="134" w:lineRule="exact"/>
        <w:rPr>
          <w:sz w:val="20"/>
          <w:szCs w:val="20"/>
          <w:color w:val="auto"/>
        </w:rPr>
      </w:pPr>
    </w:p>
    <w:p>
      <w:pPr>
        <w:ind w:right="1240"/>
        <w:spacing w:after="0" w:line="438" w:lineRule="auto"/>
        <w:rPr>
          <w:sz w:val="20"/>
          <w:szCs w:val="20"/>
          <w:color w:val="auto"/>
        </w:rPr>
      </w:pPr>
      <w:r>
        <w:rPr>
          <w:rFonts w:ascii="Times New Roman" w:cs="Times New Roman" w:eastAsia="Times New Roman" w:hAnsi="Times New Roman"/>
          <w:sz w:val="18"/>
          <w:szCs w:val="18"/>
          <w:color w:val="auto"/>
        </w:rPr>
        <w:t xml:space="preserve">U.S. Holders are strongly urged to consult their own tax advisors regarding the possible impact if Section 904(h) of the Code should apply. </w:t>
      </w:r>
      <w:r>
        <w:rPr>
          <w:rFonts w:ascii="Times New Roman" w:cs="Times New Roman" w:eastAsia="Times New Roman" w:hAnsi="Times New Roman"/>
          <w:sz w:val="18"/>
          <w:szCs w:val="18"/>
          <w:i w:val="1"/>
          <w:iCs w:val="1"/>
          <w:color w:val="auto"/>
        </w:rPr>
        <w:t>Taxation of Capital Gains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discussion of PFIC taxation below, a U.S. Holder that sells or otherwise disposes of its Octave Shares will recognize capital gain or loss for U.S. federal income tax purposes equal to the difference between the U.S. dollar value of the amount that the U.S. Holder realizes and the U.S. Holder’s tax basis in those shares. Capital gain of a noncorporate U.S. Holder is generally taxed at preferential rates where the property is held for more than one year. The gain or loss will be U.S. source income or loss for foreign tax credit limitation purposes. The deduction of capital losses is subject to limitations.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Considerations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Hexagon and Octave believe that the Octave Shares will not be stock of a PFIC for U.S. federal income tax purposes, but this conclusion is based on a factual determination made annually and thus is subject to change.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would be a PFIC with respect to a U.S. Holder if for any taxable year in which the U.S. Holder held Octave Shares, after the application of applicable “look-through rules”: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Octave’s gross income for the taxable year consists of “passive income” (including dividends, interest, gains from the sale or exchange of investment property and rents and royalties other than rents and royalties that are received from unrelated parties in connection with the active conduct of a trade or business, as defined in applicable Treasury Regulations); or</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Octave’s assets for the taxable year (averaged over the year and determined based upon value) produce or are held for the production of passive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Octave were to be treated as a PFIC for any taxable year included in whole or in part in a U.S. Holder’s holding period of Octave and such U.S. Holder is treated as owning Octave Shares for purposes of the PFIC rules (and regardless of whether Octave remains a PFIC for subsequent taxable years), the U.S. Holder (i) would be liable to pay U.S. federal income tax at the highest applicable income tax rates on (a) ordinary income upon the receipt of excess distributions (the portion of any distributions received by the U.S. Holder on Octave Shares in a taxable year in excess of 125% of the average annual distributions received by the U.S. Holder in the three preceding taxable years or, if shorter, the U.S. Holder’s holding period for the Octave Shares) and (b) on any gain from the disposition of Octave Shares, plus interest on such amounts, as if such excess distributions or gain had been recognized ratably over the U.S. Holder’s holding period of the Octave Shares, and (ii) may be required to annually file Form 8621 with the IRS reporting information concerning Octave.</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 Holders are strongly urged to consult their tax advisors regarding the PFIC rules, and the potential tax consequences to them if Octave were determined to be a PFIC.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with Respect to Foreign Financial Assets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Owners of “specified foreign financial assets” with an aggregate value in excess of $50,000, (and in some cases, a higher threshold) may be required to file an information report with respect to such assets with their tax returns. “Specified foreign financial assets” include any financial accounts maintained by foreign financial institutions, as well as any of the following, but only if they are held for investment and not held in accounts maintained by financial institutions: (i) stocks and securities issued by non-U.S. persons, (ii) financial instruments and contracts that have non-U.S. issuers or counterparties and</w:t>
      </w:r>
    </w:p>
    <w:p>
      <w:pPr>
        <w:spacing w:after="0" w:line="3" w:lineRule="exact"/>
        <w:rPr>
          <w:sz w:val="20"/>
          <w:szCs w:val="20"/>
          <w:color w:val="auto"/>
        </w:rPr>
      </w:pPr>
    </w:p>
    <w:p>
      <w:pPr>
        <w:ind w:firstLine="8"/>
        <w:spacing w:after="0" w:line="260" w:lineRule="auto"/>
        <w:tabs>
          <w:tab w:leader="none" w:pos="33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foreign entities. U.S. Holders are urged to consult their tax advisors regarding the application of this legislation to their ownership of Octave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reporting requirements for a noncorporate U.S. Holder, on IRS Form 1099, will apply to:</w:t>
      </w:r>
    </w:p>
    <w:p>
      <w:pPr>
        <w:spacing w:after="0" w:line="171" w:lineRule="exact"/>
        <w:rPr>
          <w:sz w:val="20"/>
          <w:szCs w:val="20"/>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or other taxable distributions made to such U.S. Holder within the United States, and</w:t>
      </w:r>
    </w:p>
    <w:p>
      <w:pPr>
        <w:spacing w:after="0" w:line="171" w:lineRule="exact"/>
        <w:rPr>
          <w:rFonts w:ascii="Times New Roman" w:cs="Times New Roman" w:eastAsia="Times New Roman" w:hAnsi="Times New Roman"/>
          <w:sz w:val="18"/>
          <w:szCs w:val="18"/>
          <w:color w:val="auto"/>
        </w:rPr>
      </w:pPr>
    </w:p>
    <w:p>
      <w:pPr>
        <w:ind w:right="2340" w:firstLine="332"/>
        <w:spacing w:after="0" w:line="464" w:lineRule="auto"/>
        <w:tabs>
          <w:tab w:leader="none" w:pos="643"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proceeds to such U.S. Holder from the sale of Octave Shares effected at a U.S. office of a broker. Additionally, backup withholding (currently at a 24% rate) may apply to such payments to a noncorporate U.S. Holder that:</w:t>
      </w: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provide an accurate taxpayer identification number,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notified by the IRS that such U.S. Holder has failed to report all interest and dividends required to be shown on such U.S. Holder’s federal income tax returns,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fails to comply with applicable certification requirements.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person may obtain a refund of any amounts withheld under the backup withholding rules that exceed the person’s income tax liability by properly filing a refund claim with the IRS.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purposes of this discussion, a “non-U.S. Holder” is a beneficial owner of Octave Shares that is not a U.S. person for U.S. federal income tax purposes.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paid to a non-U.S. Holder in respect of Octave Shares will not be subject to U.S. federal income tax unless the dividends are “effectively connected” with the non-U.S. Holder’s conduct of a trade or business within the Untied States, and, if required by an applicable income tax treaty as a condition for subjecting the non-U.S. Holder to U.S. taxation on a net income basis, the dividends are attributable to a permanent establishment that the non-U.S. Holder maintains in the United States. In such cases a non-U.S. Holder will be taxed in the same manner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U.S. Holder. If a non-U.S. Holder is a corporate non-U.S. Holder, “effectively connected” dividends may, under certain circumstances, be subject to an additional “branch profits tax” at a 30% rate or at a lower rate if it is eligible for the benefits of an income tax treaty that provides for a lower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Capital Gains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gain recognized on the sale or other disposition of the non-U.S. Holder’s Octave Shares unless: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income tax treaty as a condition for subjecting the holder to U.S. taxation on a net income basis, the gain is attributable to a permanent establishment that the non-U.S. Holder maintains in the United States, or</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is present in the United States for 183 or more days in the taxable year of the sale and certain other conditions exist.</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non-U.S. Holder is a corporate non-U.S. Holder, “effectively connected” gains it recognizes may, under certain circumstances, be subject to an additional “branch profits tax” at a 30% rate or at a lower rate if it is eligible for the benefits of an income tax treaty that provides for a lower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non-U.S. Holder is generally exempt from backup withholding and information reporting requirements with respect to dividend payments made to you outside the United States by us or another non-U.S. payor. You are also generally exempt from backup withholding and information reporting requirements in respect of dividend payments made within the United States and the payment of the proceeds from the sale of Octave Shares effected at a U.S. office of a broker, as long as either (i) you have furnished a valid IRS Form W-8 or other documentation upon which the payor or broker may rely to treat the payments as made to a non-U.S. person, or (ii) you otherwise establish an exemption.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of the proceeds from the sale of Octave Shares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generally may obtain a refund of any amounts withheld under the backup withholding rules that exceed your income tax liability by filing a refund claim with the IRS.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U.S. FEDERAL INCOME TAX CONSIDERATIONS SUMMARIZED ABOVE ARE FOR GENERAL INFORMATION ONLY. EACH OCTAVE SHAREHOLDER SHOULD CONSULT HIS OR HER TAX ADVISOR AS TO THE PARTICULAR CONSEQUENCES THAT MAY APPLY TO SUCH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MATERIAL IRISH TAX CONSEQUENCES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high-level summary of the material Irish tax considerations applicable to the purchase, ownership and disposition of our shares.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is based upon current Irish tax laws and the published practice of the Revenue Commissioners of Ireland (“Irish Revenue”) in effect on the date of this information statement, and correspondence with the Irish Revenue. Changes in law and/or administrative practice may result in a change in the Irish tax considerations described below, possibly with retrospective effect.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does not constitute legal or tax advice and is intended only as a general guide. The summary is not exhaustive, and shareholders should consult their tax advisors about the Irish tax consequences (and tax consequences under the laws of other relevant jurisdictions) of the acquisition, ownership and disposal of our shares.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applies only to certain categories of person and, in particular, may not apply to such persons as dealers in securities, trustees, insurance companies, collective investment schemes, persons who acquired their shares, or who are deemed to have acquired their shares, by virtue of an office or employment (performed or carried on to any extent in Ireland).</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received a determination from the competent authority in Ireland, the Irish Revenue Commissioners, and the competent authority in the United Kingdom, HM Revenue &amp; Customs, which states that the Company is resident for tax purposes only in the United Kingdom. We are currently applying to HM Revenue &amp; Customs for consent to cease to be tax resident in the United Kingdom and will, in parallel, obtain confirmation from the Irish Revenue Commissioners that the existing determination has been withdrawn, following which we expect to be regarded as tax resident solely in Ireland. The summary assumes this consent has been received and will apply as at the date of this information statement.</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SHAREHOLDERS WHO ARE IN ANY DOUBT ABOUT THEIR TAX POSITION AND / OR MAY BE SUBJECT TO TAXATION IN ANY JURISDICTION OTHER THAN IRELAND ARE STRONGLY RECOMMENDED TO CONSULT AN APPROPRIATELY QUALIFIED INDEPENDENT PROFESSIONAL ADVISER.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Gains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rate of tax on chargeable gains (where applicable) in Ireland is 33%.</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Non-resident Shareholders: </w:t>
      </w:r>
      <w:r>
        <w:rPr>
          <w:rFonts w:ascii="Times New Roman" w:cs="Times New Roman" w:eastAsia="Times New Roman" w:hAnsi="Times New Roman"/>
          <w:sz w:val="18"/>
          <w:szCs w:val="18"/>
          <w:color w:val="auto"/>
        </w:rPr>
        <w:t>Shareholders that are not resident or ordinarily resident in Ireland for Irish tax purposes and do not hold their shares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a trade or business carried on by such shareholders through an Irish branch or agency will not be within the charge to Irish tax on chargeable gains on the receipt or any subsequent disposal of shares in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Stamp duty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rate of stamp duty (where applicable) on transfers of shares of Irish incorporated companies (including Octave Class A Ordinary Shares and Octave Class B Ordinary Shares) is generally the greater of 1% of the price paid or the market value of the shares acquired.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Irish stamp duty arises, it is generally a liability of the transferee. However, in the case of a gift or transfer at less than fair market value, all parties to the transfer are jointly and severally liable.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intends to enter into arrangements with DTC to allow Octave Class B Ordinary Shares to be settled through the facilities of DTC. The discussion below discusses separately the security holders who hold their Octave Shares through DTC and those who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Held Through DTC</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transfer of shares effected by means of the debit and credit of book-entry interests representing the shares through DTC is not generally subject to Irish stamp duty.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Held Outside of DTC or Transferred Into or Out of DTC</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transfer of Octave Shares where any party to the transfer holds such shares outside of DTC may be subject to Irish stamp duty. In such circumstances, while the payment of Irish stamp duty is primarily a legal obligation of the transferee, when shares are purchased on Nasdaq New York, the purchaser will require the stamp duty to be borne by the transferor.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Octave Shares wishing to transfer their Octave Shares into (or out of) DTC may do so without giving rise to Irish stamp duty, provided that:</w:t>
      </w:r>
    </w:p>
    <w:p>
      <w:pPr>
        <w:spacing w:after="0" w:line="171" w:lineRule="exact"/>
        <w:rPr>
          <w:sz w:val="20"/>
          <w:szCs w:val="20"/>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change in the beneficial ownership of such shares as a result of the transfer;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into (or out of) DTC is not effected in contemplation of a sale of such shares by a beneficial owner to a third party.</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potential Irish stamp duty charge on transfers of Octave Shares held outside of DTC, it is strongly recommended that shareholders hold Octave Shares through DTC.</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shareholder transfers Octave Shares outside of DTC, this will generally be subject to Irish stamp duty at a rate of 1% of market value or consideration paid, whichever is greater, and the transfer will not be registered until duly stamped.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transfer of Octave SDRs may be subject to the 1% Irish stamp duty. However, Irish Revenue in the past have not sought to collect stamp duty on electronic transfers of similar securities through an electronic system such as the Nasdaq Stockholm system.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Tax on Dividends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Withholding Tax (“DWT”) at the standard rate of income tax (currently 25%) must be deducted from dividends paid by a company that is tax resident in Ireland unless the holders of the shares are entitled to an exemption and have submitted a properly completed declaration providing for exemption to the Company.</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Exemptions. </w:t>
      </w:r>
      <w:r>
        <w:rPr>
          <w:rFonts w:ascii="Times New Roman" w:cs="Times New Roman" w:eastAsia="Times New Roman" w:hAnsi="Times New Roman"/>
          <w:sz w:val="18"/>
          <w:szCs w:val="18"/>
          <w:color w:val="auto"/>
        </w:rPr>
        <w:t>Certain classes of non-Irish tax resident holders of our shares may also be entitled to claim exemption from DWT where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a properly completed declaration providing for exemption. Such holders would include:</w:t>
      </w:r>
    </w:p>
    <w:p>
      <w:pPr>
        <w:spacing w:after="0" w:line="106" w:lineRule="exact"/>
        <w:rPr>
          <w:sz w:val="20"/>
          <w:szCs w:val="20"/>
          <w:color w:val="auto"/>
        </w:rPr>
      </w:pPr>
    </w:p>
    <w:p>
      <w:pPr>
        <w:jc w:val="both"/>
        <w:ind w:left="660" w:hanging="328"/>
        <w:spacing w:after="0" w:line="281" w:lineRule="auto"/>
        <w:tabs>
          <w:tab w:leader="none" w:pos="655"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shareholder (not being a company) who is neither resident nor ordinarily resident in Ireland and who is resident for tax purposes in a Relevant Territory (In this context, Relevant Territory means (i) a Member State of the European Union (other than Ireland) or (ii) a country with which Ireland has a tax treaty in force by virtue of section 826(1) of the Taxes Consolidation Act (“TCA”) or (iii) a country with which Ireland has a tax treaty that is signed and which will come into force once all the ratification procedures set out in section 826(1) TCA have been completed);</w:t>
      </w:r>
    </w:p>
    <w:p>
      <w:pPr>
        <w:spacing w:after="0" w:line="110"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which is not resident for tax purposes in Ireland and which is resident for tax purposes in a Relevant Territory provided that the body corporate is not under the control, whether directly or indirectly, of a person or persons who is or are resident in Ireland;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which is not resident for tax purposes in Ireland and which is ultimately controlled, directly or indirectly, by persons resident in a Relevant Territory;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which is not resident for tax purposes in Ireland and whose principal class of Offer Shares (or those of its 75% parent) is substantially and regularly traded on a recognised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either in a Relevant Territory, Ireland or on such other stock exchange approved by the Minister for Finance; or</w:t>
      </w:r>
    </w:p>
    <w:p>
      <w:pPr>
        <w:spacing w:after="0" w:line="171" w:lineRule="exact"/>
        <w:rPr>
          <w:sz w:val="20"/>
          <w:szCs w:val="20"/>
          <w:color w:val="auto"/>
        </w:rPr>
      </w:pPr>
    </w:p>
    <w:p>
      <w:pPr>
        <w:jc w:val="both"/>
        <w:ind w:left="660" w:hanging="328"/>
        <w:spacing w:after="0" w:line="266" w:lineRule="auto"/>
        <w:tabs>
          <w:tab w:leader="none" w:pos="65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which is not resident for tax purposes in Ireland and is wholly-owned, directly or indirectly, by two or more companies where the principal class of shares of each of such companies is substantially and regularly traded on a recognised stock exchange in a Relevant Territory, Ireland or on such other stock exchange approved by the Minister for Finance;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 provided, in all cases noted above, the shareholder has furnished the relevant Irish Revenue Commissioners’ DWT forms (the “DWT Forms”) to:</w:t>
      </w:r>
    </w:p>
    <w:p>
      <w:pPr>
        <w:spacing w:after="0" w:line="171" w:lineRule="exact"/>
        <w:rPr>
          <w:sz w:val="20"/>
          <w:szCs w:val="20"/>
          <w:color w:val="auto"/>
        </w:rPr>
      </w:pPr>
    </w:p>
    <w:p>
      <w:pPr>
        <w:ind w:left="660" w:hanging="328"/>
        <w:spacing w:after="0" w:line="282" w:lineRule="auto"/>
        <w:tabs>
          <w:tab w:leader="none" w:pos="65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broker (and the relevant information is further transmitted to us or any qualifying intermediary appointed by us) before the record date for the dividend if its shares are held through DTC;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transfer agent at least seven business days before such record date if its shares are held outside of DTC.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Links to the various DWT Forms are available at: http://www.revenue.ie/en/tax/dwt/forms/index.html.</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shareholders that cannot avail themselves of one of Ireland’s domestic law exemptions from DWT, it may be possible for such shareholders to rely on the provisions of a double tax treaty to which Ireland is party to reduce the rate of DWT.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Shares Held by U.S. Resident Shareholders. </w:t>
      </w:r>
      <w:r>
        <w:rPr>
          <w:rFonts w:ascii="Times New Roman" w:cs="Times New Roman" w:eastAsia="Times New Roman" w:hAnsi="Times New Roman"/>
          <w:sz w:val="18"/>
          <w:szCs w:val="18"/>
          <w:color w:val="auto"/>
        </w:rPr>
        <w:t>Dividends paid in respect of our ordinary shares that are owned by U.S. residents and held through DTC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subject to DWT provided the addresses of the beneficial owners of such shares in the records of the broker holding such shares are in the U.S. It is strongly recommended that such shareholders ensure that their information is properly recorded by their brokers (so that such brokers can further transmit the relevant information to a qualifying intermediary appointed by us).</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paid in respect of our ordinary shares that are owned by residents of the U.S. and held outside of DTC will not be subject to DWT if such shareholders provide a completed W-9 form to Computershare, our transfer agent, to confirm their U.S. residence at least seven business days before the record date for the first dividend payment to which they are entitled. It is strongly recommended that such shareholders complete a W-9 form and provide it to our transfer agent as soon as possible after acquiring their shares.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shareholder that is resident in the U.S. receives a dividend from which DWT has been withheld, the shareholder may be entitled to apply for a refund of such DWT from the Irish Revenue Commissioners.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Shares Held by Residents of “Relevant Territories” Other than the U.S</w:t>
      </w:r>
      <w:r>
        <w:rPr>
          <w:rFonts w:ascii="Times New Roman" w:cs="Times New Roman" w:eastAsia="Times New Roman" w:hAnsi="Times New Roman"/>
          <w:sz w:val="18"/>
          <w:szCs w:val="18"/>
          <w:color w:val="auto"/>
        </w:rPr>
        <w:t>. Shareholders that are residents of “Relevant Territories,” other than the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regardless of when such shareholders acquired their shares, must satisfy the conditions of one of the exemptions referred to above under the heading “— General Exemptions,” including the requirement to furnish completed DWT Forms, in order to receive dividends without them being subject to DWT. If such shareholders hold their shares through DTC, they must provide the appropriate DWT Forms to their brokers (so that such brokers can further transmit the relevant information to a qualifying intermediary appointed by us) before the record date for the first dividend to which they are entitled. If such shareholders hold their shares outside of DTC, they must provide the appropriate DWT Forms to our transfer agent at least seven business days before such record date. It is strongly recommended that such shareholders complete the appropriate DWT Forms and provide them to their brokers or our transfer agent, Computershare, as the case may be, as soon as possible.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shareholder who is resident in a “Relevant Territory” receives a dividend from which DWT has been withheld, the shareholder may be entitled to a refund of DWT from the Irish Revenue Commissioners.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Shares Held by Residents of Ireland</w:t>
      </w:r>
      <w:r>
        <w:rPr>
          <w:rFonts w:ascii="Times New Roman" w:cs="Times New Roman" w:eastAsia="Times New Roman" w:hAnsi="Times New Roman"/>
          <w:sz w:val="18"/>
          <w:szCs w:val="18"/>
          <w:color w:val="auto"/>
        </w:rPr>
        <w:t>. Most Irish tax resident or ordinarily resident shareholders will be subject to DWT in respect of dividends paid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that are residents of Ireland, but are entitled to receive dividends without DWT, must complete the appropriate DWT Forms and provide them to their brokers (so that such brokers can further transmit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to a qualifying intermediary appointed by us) before the record date for the first dividend to which they are entitled (in the case of shares held through DTC), or to our transfer agent Computershare at least seven business days before such record date (in the case of shares held outside of DTC).</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Qualifying Intermediary. </w:t>
      </w:r>
      <w:r>
        <w:rPr>
          <w:rFonts w:ascii="Times New Roman" w:cs="Times New Roman" w:eastAsia="Times New Roman" w:hAnsi="Times New Roman"/>
          <w:sz w:val="18"/>
          <w:szCs w:val="18"/>
          <w:color w:val="auto"/>
        </w:rPr>
        <w:t>Prior to paying any dividend, we will put in place an agreement with an entity that is recognized by the Irish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Commissioners as a “qualifying intermediary,” which will provide for certain arrangements relating to distributions in respect of our ordinary shares that are held through DTC (the “Deposited Securities”). The agreement will provide that the qualifying intermediary shall distribute or otherwise make available to Cede &amp; Co., as nominee for DTC, any cash dividend or other cash distribution with respect to the Deposited Securities after we deliver or cause to be delivered to the qualifying intermediary the cash to be distributed.</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rely on information received directly or indirectly from our qualifying intermediary, brokers and our transfer agent in determining where shareholders reside, whether they have provided the required U.S. tax information and whether they have provided the required DWT Forms.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that are required to file DWT Forms in order to receive dividends free of DWT should note that such forms are generally valid, subject to a change in circumstances, until December 31 of the fifth full year after the year of issue of the forms.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Acquisitions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Irish capital acquisitions tax (“CAT”) is comprised principally of gift tax and inheritance tax.</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CAT could apply to a gift or inheritance of our shares irrespective of the place of residence, ordinary residence or domicile of the parties. This is because our shares are regarded as property situated in Ireland as our share register is held in Ireland. The person who receives the gift or inheritance has primary liability for CAT.</w:t>
      </w:r>
    </w:p>
    <w:p>
      <w:pPr>
        <w:spacing w:after="0" w:line="8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CAT is levied at a rate of 33% above certain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thresholds.</w:t>
      </w:r>
    </w:p>
    <w:p>
      <w:pPr>
        <w:spacing w:after="0" w:line="171"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The appropriate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threshold is dependent upon (i) the relationship between the donor and the recipient; and (ii) the aggregation of the values of previous taxable gifts and inheritances received by the recipient from persons within the same category of relationship for CAT purposes. Gifts and inheritances passing between spouses of the same marriage or civil partners of the same civil partnership are exempt from CAT. Children have a tax-free threshold of €400,000 in respect of taxable gifts or inheritances received from their parents.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also a “small gift exemption” from CAT whereby the first €3,000 of the taxable value of all taxable gifts taken by a donee from any one donor, in each calendar year, is exempt from CAT and is also excluded from any future aggregation. This small gift exemption does not apply to an inheritance.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should consult their own tax advisors as to whether CAT is creditable or deductible in computing any domestic tax liabilities.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Irish tax considerations summarized above are for general information only. Holders of shares should consult with their tax advisors regarding the Irish tax consequences relating to the acquisition, ownership and disposal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SWEDISH TAX CONSEQUENCES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following is a discussion of material Swedish income tax consequences of the distribution of Octave Class A Ordinary Shares, Octave Class B Ordinary Shares and Octave SDRs representing the Octave Class B Ordinary Shares to “Swedish Holders” (as defined below) of Hexagon Class A Shares or Hexagon Class B Shares. This summary is based on the Swedish Income Tax Act (Sw. </w:t>
      </w:r>
      <w:r>
        <w:rPr>
          <w:rFonts w:ascii="Times New Roman" w:cs="Times New Roman" w:eastAsia="Times New Roman" w:hAnsi="Times New Roman"/>
          <w:sz w:val="18"/>
          <w:szCs w:val="18"/>
          <w:i w:val="1"/>
          <w:iCs w:val="1"/>
          <w:color w:val="auto"/>
        </w:rPr>
        <w:t>inkomstskattelagen</w:t>
      </w:r>
      <w:r>
        <w:rPr>
          <w:rFonts w:ascii="Times New Roman" w:cs="Times New Roman" w:eastAsia="Times New Roman" w:hAnsi="Times New Roman"/>
          <w:sz w:val="18"/>
          <w:szCs w:val="18"/>
          <w:color w:val="auto"/>
        </w:rPr>
        <w:t xml:space="preserve"> (1999:1229)), rulings and other administrative pronouncements issued by the Swedish Tax Agency (Sw. </w:t>
      </w:r>
      <w:r>
        <w:rPr>
          <w:rFonts w:ascii="Times New Roman" w:cs="Times New Roman" w:eastAsia="Times New Roman" w:hAnsi="Times New Roman"/>
          <w:sz w:val="18"/>
          <w:szCs w:val="18"/>
          <w:i w:val="1"/>
          <w:iCs w:val="1"/>
          <w:color w:val="auto"/>
        </w:rPr>
        <w:t>Skatteverket</w:t>
      </w:r>
      <w:r>
        <w:rPr>
          <w:rFonts w:ascii="Times New Roman" w:cs="Times New Roman" w:eastAsia="Times New Roman" w:hAnsi="Times New Roman"/>
          <w:sz w:val="18"/>
          <w:szCs w:val="18"/>
          <w:color w:val="auto"/>
        </w:rPr>
        <w:t>), and Swedish case law, all as in effect on the date of this information statement, and all of which are subject to differing interpretation and change at any time, possibly with retroactive effect. No assurance can be given that the Swedish Tax Agency would not assert, or that a court would not sustain, a position contrary to any of the tax consequences described below. This discussion applies to Swedish Holders of Hexagon Class A Shares or Hexagon Class B Shares, who hold such shares as capital assets within the meaning of the Swedish Income Tax Act. This discussion is based upon the assumption that the Distribution, together with certain related transactions, will be consummated in accordance with the Distribution Agreement and the other transaction agreements described in this information statement.</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summary is for general information only and is not tax advice. It does not discuss all aspects of Swedish income taxation that may be relevant to particular holders in light of their particular circumstances or to holders subject to special rules under the Swedish Income Tax Act. Furthermore, this summary does not cover all potential tax consequences in relation to the Lex-ASEA distribution and the future tax treatment of Octave Class A Ordinary Shares, Octave Class B Ordinary Shares or Octave SDRs representing the Octave Class B Ordinary Shares. More specifically, it does not cover: shares or SDRs that are held by a partnership or that are held as current assets in a business; taxation of dividends and capital gains on shares or SDRs which are held by other investors than Swedish individuals or Swedish limited liability companies; tax impacts following the participation exemption regime (Sw. </w:t>
      </w:r>
      <w:r>
        <w:rPr>
          <w:rFonts w:ascii="Times New Roman" w:cs="Times New Roman" w:eastAsia="Times New Roman" w:hAnsi="Times New Roman"/>
          <w:sz w:val="18"/>
          <w:szCs w:val="18"/>
          <w:i w:val="1"/>
          <w:iCs w:val="1"/>
          <w:color w:val="auto"/>
        </w:rPr>
        <w:t>näringsbetingade andelar</w:t>
      </w:r>
      <w:r>
        <w:rPr>
          <w:rFonts w:ascii="Times New Roman" w:cs="Times New Roman" w:eastAsia="Times New Roman" w:hAnsi="Times New Roman"/>
          <w:sz w:val="18"/>
          <w:szCs w:val="18"/>
          <w:color w:val="auto"/>
        </w:rPr>
        <w:t>) including potential investor deductions; tax consequences on foreign companies taxable in Sweden due to a permanent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establishment; or tax consequences on shares or SDRs that are held in an endowment insurance (Sw. </w:t>
      </w:r>
      <w:r>
        <w:rPr>
          <w:rFonts w:ascii="Times New Roman" w:cs="Times New Roman" w:eastAsia="Times New Roman" w:hAnsi="Times New Roman"/>
          <w:sz w:val="18"/>
          <w:szCs w:val="18"/>
          <w:i w:val="1"/>
          <w:iCs w:val="1"/>
          <w:color w:val="auto"/>
        </w:rPr>
        <w:t>kapitalförsäkring</w:t>
      </w:r>
      <w:r>
        <w:rPr>
          <w:rFonts w:ascii="Times New Roman" w:cs="Times New Roman" w:eastAsia="Times New Roman" w:hAnsi="Times New Roman"/>
          <w:sz w:val="18"/>
          <w:szCs w:val="18"/>
          <w:color w:val="auto"/>
        </w:rPr>
        <w:t xml:space="preserve">) or an investment savings account (Sw. </w:t>
      </w:r>
      <w:r>
        <w:rPr>
          <w:rFonts w:ascii="Times New Roman" w:cs="Times New Roman" w:eastAsia="Times New Roman" w:hAnsi="Times New Roman"/>
          <w:sz w:val="18"/>
          <w:szCs w:val="18"/>
          <w:i w:val="1"/>
          <w:iCs w:val="1"/>
          <w:color w:val="auto"/>
        </w:rPr>
        <w:t>investeringssparkonto</w:t>
      </w:r>
      <w:r>
        <w:rPr>
          <w:rFonts w:ascii="Times New Roman" w:cs="Times New Roman" w:eastAsia="Times New Roman" w:hAnsi="Times New Roman"/>
          <w:sz w:val="18"/>
          <w:szCs w:val="18"/>
          <w:color w:val="auto"/>
        </w:rPr>
        <w:t>) that are applicable for private individuals. This discussion does not address any tax considerations other than those pertaining to the Swedish income tax.</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Distribution may be taxable under such other tax laws, and all holders should consult their own tax advisors with respect to the applicability and effect of any such tax laws.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“Swedish Holder” is any beneficial owner of Hexagon Class A Shares or Hexagon Class B Shares that is, for Swedish income tax purposes:</w:t>
      </w:r>
    </w:p>
    <w:p>
      <w:pPr>
        <w:spacing w:after="0" w:line="108" w:lineRule="exact"/>
        <w:rPr>
          <w:sz w:val="20"/>
          <w:szCs w:val="20"/>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resident of Sweden for tax purposes;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organized under the laws of Sweden.</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Hexagon has applied for a written confirmation from the Swedish Tax Agency regarding the qualification of the Distribution, together with certain related transactions, as a transaction that is generally tax exempt for Swedish income tax purposes under the Lex-ASEA rule, as discussed below. Although a written confirmation from the Swedish Tax Agency is not legally binding, it is generally upheld by the Swedish Tax Agency provided that all the stated facts and circumstances apply at the time of the distribution.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written confirmation will be based and will rely on, among other things, certain facts and assumptions, as well as certain representations, statements, and undertakings of Hexagon, Octave and other companies in the Hexagon group, where relevant (including those relating to the aforementioned companies’ past and future conduct). If any of these representations, statements, or undertakings are, or become, inaccurate or incomplete, or if Hexagon or Octave breach any of their respective covenants in any agreement entered into in connection with the Distribution, the Swedish Tax Agency could argue that the written confirmation is invalid, and the conclusions reached therein could be jeopardized.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Thus, the Swedish Tax Agency could assert that the distribution does not qualify as tax exempt under the Lex-ASEA rule. If the Swedish Tax Agency were successful in taking this position, Hexagon shareholders could be subject to significant Swedish income tax liability as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Material Swedish Income Tax Consequences to Swedish Holders if the Distribution Qualifies as a Transaction that is Tax Exempt Under the Lex-ASEA Rule</w:t>
      </w:r>
    </w:p>
    <w:p>
      <w:pPr>
        <w:spacing w:after="0" w:line="1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Hexagon currently believes that the distribution of shares and SDRs to Swedish Holders of Hexagon is tax exempt. This exemption is conditioned on the following requirements: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distribution is made by a parent company which is a Swedish limited liability company or by a non-Swedish corporation, which is similar to a Swedish limited liability company, provided that the non-Swedish corporation is located within the European Economic Area (“EEA”) or in a state with which Sweden has entered into a tax treaty that includes an exchange of information clause;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is made in proportion to the shares held in the parent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in the parent company are listed/publicly traded;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company distributes all its shares in the subsidiary;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company belonging to the same group as the parent company may hold any shares in the distributed subsidiary after the distribution;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subsidiary’s business activities, directly or indirectly, primarily consist of a business (pure shareholding activities are not covered by this term), or direct and indirect holding of shares in companies which predominantly conduct business, and in which the subsidiary owns shares which on an aggregate represent more than 50% of the votes. The concept of “predominantly” is to be understood as “to at least 75%”;</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is a Swedish limited liability company or a foreign corporation. The latter means that it must be a foreign legal person and either be subject to taxation that is similar to the taxation of a Swedish limited liability company, or be tax resident and subject to income tax in a state with which Sweden has entered into a tax treaty that is not limited to certain income. The corporation must be covered by the treaty and be considered a resident of the other state; and</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in Section 42, Paragraph 16 b of the Swedish Income Tax Act regarding exemption from immediate taxation upon partial demerger are not applicable.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Assuming the Distribution, together with certain related transactions, qualifies as a transaction that is generally tax exempt for Swedish income tax purposes the Swedish income tax consequences of the distribution generally are as follows:</w:t>
      </w:r>
    </w:p>
    <w:p>
      <w:pPr>
        <w:spacing w:after="0" w:line="108" w:lineRule="exact"/>
        <w:rPr>
          <w:sz w:val="20"/>
          <w:szCs w:val="20"/>
          <w:color w:val="auto"/>
        </w:rPr>
      </w:pPr>
    </w:p>
    <w:p>
      <w:pPr>
        <w:ind w:left="660" w:right="20" w:hanging="328"/>
        <w:spacing w:after="0" w:line="282" w:lineRule="auto"/>
        <w:tabs>
          <w:tab w:leader="none" w:pos="65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includible in the income of Hexagon as a result of the Distribution, other than gain or income arising in connection with certain internal restructurings completed in connection with the Distribution;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included in the income of) Swedish holders of Hexagon Class A Shares or Hexagon Class B Shares upon the receipt of Octave Class A Ordinary Shares, Octave Class B Ordinary Shares or Octave SDRs representing the Octave Class B Ordinary Shares in the distribution, except with respect to any cash received in lieu of fractional shares of Octave Class A Ordinary Shares, Octave Class B Ordinary Shares or Octave SDRs representing the Octave Class B Ordinary Shares (as described below); and</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7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Hexagon Class A Shares and Hexagon Class B Shares and Octave Class A Ordinary Shares and Octave Class B Ordinary Shares and Octave SDRs representing the Octave Class B Ordinary Shares received in the distribution (including any fractional share interest in Octave Class A Ordinary Shares or Octave Class B Ordinary Shares or Octave SDRs representing the Octave Class B Ordinary Shares for which cash is received) in the hands of each Swedish holder of Hexagon Class A Shares or Hexagon Class B Shares immediately after the Distribution will equal the aggregate basis of Hexagon Class A Shares or Hexagon Class B Shares held by the Swedish holder immediately before the distribution, allocated between the Hexagon Class A Shares or Hexagon Class B Shares and the Octave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Class A Ordinary Shares or the Octave Class B Ordinary Shares or Octave SDRs representing the Octave Class B Ordinary Shares (including any fractional share interest in such Octave Class A Ordinary Shares or Octave Class B Ordinary Shares or Octave SDRs representing the Octave Class B Ordinary Shares for which cash is received) in proportion to the relative fair market value of each on the date of the distribution.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intends to apply for general advice from the Swedish Tax Agency concerning how the acquisition cost for the distributed Octave Class A Ordinary Shares, Octave Class B Ordinary Shares and Octave SDRs representing the Octave Class B Ordinary Shares should be calculated.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 Received in Lieu of Fractional Shares or SDRs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Swedish holder of Hexagon Class A Shares or Hexagon Class B Shares is entitled to receive a fraction of an Octave Class A Ordinary Share or Octave Class B Ordinary Share, Computershare, in its capacity as transfer and distribution agent, will aggregate such fractional shares into whole shares and then sell the whole shares on Nasdaq New York. SEB, in its capacity as Octave SDR depositary, will aggregate fractional Octave SDRs into whole Octave SDRs and sell the whole Octave SDRs on Nasdaq Stockholm. In each case, the whole Octave Shares and Octave SDRs will be sold at prevailing rates and Computershare and SEB, as applicable, will distribute the net cash proceeds pro rata to each holder who would otherwise have been entitled to fractional shares or SDRs in the Distribution. Cash compensation received in lieu of fractional Octave Class B Ordinary Shares or Octave SDRs is taxable as capital income for individuals and as income from business operations for limited liability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Swedish Income Tax Consequences to Swedish Holders if the Distribution is Taxable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above, the Swedish Tax Agency could assert that the Distribution does not qualify for tax-free treatment for Swedish income tax purposes. If the Swedish Tax Agency were successful in taking this position, the consequences described above with respect to Swedish Holders would not apply, and Swedish Holders could be subject to significant Swedish income tax liability as discussed below. If the distribution of shares and Octave SDRs fails to meet the above conditions, shareholders receiving the dividend should be subject to taxation.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Individuals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described above, the Distribution is expected to be classified as a tax neutral Lex-ASEA distribution. If the Distribution, however, is taxable, individuals would be subject to tax on the receipt of capital income, which generally includes dividends and capital gains, at a 30% tax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Liability Companies</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described above, the Distribution is expected to be classified as a tax neutral Lex-ASEA distribution. If the Distribution, however, is taxable, all income, including taxable capital gains and dividends, would generally be taxed as income from business operations at the corporate income tax rate in effect at the time of the Distribution. In May 2025, the Swedish Government announced a proposal to reduce the corporate income tax rate from 20.6% to 20.0%, effective from January 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Tax Withholding Applicable to Swedish Individuals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as a general rule, an obligation to withhold preliminary taxes on dividend distributions that are subject to tax under Swedish domestic law. A payment on a share or an SDR is considered a dividend distribution. The obligation to withhold preliminary taxes on a distribution is imposed on the entity that is making the payment.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Taxes shall be withheld on distributions to individuals. However, the rules do not apply to distributions to legal persons such as corporations and partnerships, or where the receiver of the funds is a limited taxable person (non-resident) in Sweden, the income is exempt from tax according to a double tax treaty, or the distributing entity is a foreign company with a bank business or securities business without a permanent establishment in Sweden.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general rule is to withhold preliminary taxes on distributed funds at 30%. However, withholding preliminary taxes on foreign securities, including SDRs, shall be made at an amount that combined with any foreign taxes equals 30%.</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entity obliged to withhold preliminary taxes on a distribution is also required to submit statements of income and expenses (Sw. </w:t>
      </w:r>
      <w:r>
        <w:rPr>
          <w:rFonts w:ascii="Times New Roman" w:cs="Times New Roman" w:eastAsia="Times New Roman" w:hAnsi="Times New Roman"/>
          <w:sz w:val="18"/>
          <w:szCs w:val="18"/>
          <w:i w:val="1"/>
          <w:iCs w:val="1"/>
          <w:color w:val="auto"/>
        </w:rPr>
        <w:t>kontrolluppgifter</w:t>
      </w:r>
      <w:r>
        <w:rPr>
          <w:rFonts w:ascii="Times New Roman" w:cs="Times New Roman" w:eastAsia="Times New Roman" w:hAnsi="Times New Roman"/>
          <w:sz w:val="18"/>
          <w:szCs w:val="18"/>
          <w:color w:val="auto"/>
        </w:rPr>
        <w:t>) concerning the recipient of the payment to the Swedish Tax Agency.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Following the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Individuals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 on received Octave Class B Ordinary Shares or Octave SDRs representing the Octave Class B Ordinary Shares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to individuals on publicly-listed shares or SDRs, which the Octave Class B Ordinary Shares and Octave SDRs representing the Octave Class B Ordinary Shares will be, are taxed as capital income at a 30% tax rate.</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Taxation of Capital Gains and Capital Losses upon Divestment by Swedish holders of Octave Class B Ordinary Shares or Octave SDRs representing the Octave Class B Ordinary Shares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Divestments of publicly-listed shares, including SDRs, may trigger a capital gain or a capital loss. Capital gains are subject to Swedish income tax at a 30% tax rate. The capital gain or capital loss is calculated as the difference between the remuneration, after deduction of expenses relating to the divestment, and the acquisition cost. The acquisition cost for shares or SDRs of the same sort and type is calculated by the application of the average method. The acquisition cost for the Octave Class B Ordinary Shares or Octave SDRs representing the Octave Class B Ordinary Shares received through the dividend from Hexagon will be calculated in accordance with the general advice that will be received from the Swedish Tax Agency. Information about the general advice will be published on the websites of Hexagon, Octave and the Swedish Tax Agency as soon as possible.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divestment of publicly-listed shares or SDRs, the so-called standard method could potentially be applied to calculate the acquisition cost, whereby the acquisition cost amounts to 20% of the remuneration received from the divestment after deduction of expenses relating to the divestment.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losses on publicly-listed shares and SDRs are generally tax deductible against taxable capital gains on both listed and not listed shares as well as from other publicly-traded securities that are divested during the same fiscal year. Note that this does not apply on participations in investment funds and special funds that only comprise Swedish receivables, i.e., interest funds.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losses that are not possible to be deducted following the above will be deducted up to 70% against other capital income. If that will result in a deficit, a tax deduction against municipal and public income tax and against property tax and municipal property fee is available. Tax deduction will be allowed by 30% of the part of the deficit not exceeding SEK 100,000 and by 21% of the remaining part of the deficit. The deficit cannot be carried forward for tax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Liability Companies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Taxation of Dividends on and Capital Gains and Capital Losses following Divestment of Octave Class A Ordinary Shares, Octave Class B Ordinary Shares or Octave SDRs representing the Octave Class B Ordinary Shares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limited liability companies, all income, including taxable capital gains and dividends, is generally taxed as income from business operations at the current corporate income tax rate. Capital gains and capital losses are calculated in accordance with the rules applicable for individuals as described above. Tax deductible capital losses on shares or SDRs and other securities may only be deducted against taxable capital gains on such shares or SDRs and securities. Such capital losses could also, under certain conditions, be deducted against capital gains incurred in other companies within the same group, if the companies can exchange group contributions for Swedish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purposes. A capital loss that cannot be utilized during a certain fiscal year can be carried forward and be deducted against taxable capital gain on shares and other securities following fiscal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Swedish Income Tax Consequences to other Swedish Associations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taxation of associations other than Swedish limited liability companies depends on, inter alia, the legal and tax characteristics of the association from a Swedish perspective. Depending on such circumstances, such associations could be exempt from income tax or covered by the rules governing Swedish limited liability companies. Consideration should be given to the specific legal features of the recipient when determining the tax implications associated with the distribution.</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DISCUSSION IS A SUMMARY OF MATERIAL SWEDISH INCOME TAX CONSEQUENCES OF THE DISTRIBUTION UNDER CURRENT LAW AND IS FOR GENERAL INFORMATION ONLY. ALL HOLDERS SHOULD CONSULT THEIR OWN TAX ADVISORS AS TO THE PARTICULAR TAX CONSEQUENCES OF THE DISTRIBUTION TO THEM, INCLUDING THE APPLICATION AND EFFECT OF U.S. FEDERAL, STATE, LOCAL, AND FOREIGN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MATERIAL INDEBTEDNESS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Octave intends to incur certain indebtedness prior to or concurrent with the separation. If Octave enters into arrangements for such indebtedness prior to the effectiveness of the registration statement of which this information statement forms a part, a description of such arrangements will be included in an amendment to this information statement. If Octave enters into arrangements for such indebtedness after the effectiveness of the registration statement of which this information statement forms a part, then Octave will file a current report on Form 8-K to disclose such level of indebtedness and capital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SHARE CAPITAL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memorandum and articles of association will be amended and restated in connection with the Distribution. The rights and restrictions to which our shares will be subject will be prescribed by our memorandum and articles of association. This section summarizes the material terms of our share capital, including certain provisions that will be contained in our memorandum and articles of association and applicable Irish law. Our Articles are included as an exhibit to the registration statement of which this information statement forms a part. The summaries and descriptions below do not purport to be complete statements of the relevant provisions of our Articles or of the relevant applicable Irish law, including the Irish Companies Act. This section is qualified in its entirety by reference to our Articles and the Irish Companies 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Name; Formation; Fiscal Year; Registered Office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legal name of Octave is Octave Intelligence Limited. Octave was incorporated in Ireland on July 5, 2017 as a private limited company, but will be re-registered as a public limited company before the Distribution and be renamed Octave Intelligence plc. Octave’s fiscal year ends on December 31. Octave’s registered office address is 10 Earlsfort Terrace, Dublin 2, D02 T380, Ireland.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authorized share capital of Octave will be $ , divided into Octave Class A Ordinary Shares of $ each, Octave Class B Ordinary Shares of $ each, preferred shares of $ each and deferred shares of € each. The Octave Class A</w:t>
      </w: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Ordinary Shares and Octave Class B Ordinary Shares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save for voting rights and conversion rights. For additional information on voting rights, see “—Voting” below. Each Octave Class A Ordinary Share may be converted into or exchanged for one Octave Class B Ordinary Share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option of the holder of the Octave Class A Ordinary Share. The deferred shares with a nominal value of $ per share are included in the authorized share capital in order to satisfy minimum statutory requirements for Irish public limited companies. These deferred shares will carry no voting or dividend rights. All outstanding deferred shares will be acquired and cancelled by Octave for no consideration contemporaneously with the Distribution being effected.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may issue shares subject to the maximum authorized share capital contained in our Articles. The authorized share capital may be increased or reduced by a resolution approved by a simple majority of the votes cast by shareholders at a general meeting, in person or by proxy (referred to under Irish law as an “ordinary resolution”). The shares comprising the authorized share capital of Octave may be divided into shares of such nominal value as the resolution shall prescribe.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matter of Irish law, the directors of a company (or a duly authorized committee thereof) may cause the company to issue new shares without shareholder approval once authorized to do so by the articles of association of the company or by an ordinary resolution adopted by the shareholders at a general meeting. The authority conferred can be granted for a maximum period of five years, at which point it must be renewed by the shareholders of the company by an ordinary resolution. However, our Articles will permit such authority to be conferred for a maximum period of 15 months, or until the date of the next-following annual general meeting, whichever is earlier.</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rights and restrictions to which Octave Shares will be subject will be prescribed in our Articles. Our Articles will permit our Board of Directors, without shareholder approval, to determine the terms of preferred shares issued by Octave. Preferred shares may, among other things, be preferred as to dividends, rights on a winding up or voting in such manner as the directors of Octave may resolve, except that the holders of any series of preferred shares will not be entitled to exercise more than one vote per preferred share without the consent of the majority of the holders of the Octave Class A Ordinary Shares. The preferred shares may also be redeemable at the option of the holder of the preferred shares or at the option of Octave and may be convertible into or exchangeable for shares of any other class or classes of Octave, depending on the terms of such preferred shares and provided that preferred shares may not be convertible into or exchangeable for Octave Class A Ordinary Shares without the consent of the majority of the holders of Octave Class A Ordinary Shares. The issuance of preferred shares is subject to applicable law, including as appropriate the Irish Takeover Rules and the Swedish Takeover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Irish law does not recognize fractional shares held of record. Accordingly, our Articles will not provide for the issuance of fractional Octave Shares, and the official Irish share register of Octave will not reflect any fractional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Pre-emption Rights and Share Options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Irish law certain statutory pre-emption rights apply automatically in favor of shareholders where shares are to be issued for cash. However, Octave will opt out of these pre-emption rights in our Articles as permitted under Irish company law. Irish law requires this opt-out to be renewed at least every five years by a resolution approved by not less than 75% of the votes cast by shareholders at a general meeting, in person or by proxy (referred to under Irish law as a “special resolution”). If the opt-out is not renewed, shares issued for cash must be offered to existing Octave shareholders on a pro rata basis to their existing shareholding before the shares can be issued to any new shareholders. The statutory pre-emption rights do not apply where shares are issued for non-cash consideration (such as in a share-for-share acquisition) and do not apply to the issue of non-equity shares (that is, shares that have the right to participate only up to a specified amount in any income or capital distribution) or where shares are issued pursuant to an employee option or similar equity compensation plan.</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will provide that, subject to any shareholder approval requirement under any laws, regulations or the rules of any stock exchange to which Octave is subject, our Board of Directors will be authorized, from time to time, in its discretion, to grant such persons, for such periods and upon such terms as our Board of Directors deems advisable, options to purchase such number of shares of any class or classes or of any series of any class as our Board of Directors may deem advisable, and to cause appropriate instruments evidencing such options to be issued. The Irish Companies Act provides that directors may issue share options without shareholder approval once authorized to do so by the articles of association or an ordinary resolution of shareholders. Our Board of Directors may issue shares upon exercise of options without shareholder approval or authorization (up to the relevant authorized share capital limit).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Irish law, dividends and distributions may only be made from distributable reserves. Distributable reserves, broadly, means our accumulated realized profits less our accumulated realized losses and includes reserves created by way of capital reduction. In addition, no distribution or dividend may be made unless our net assets are equal to, or in excess of, the aggregate of our called-up share capital plus undistributable reserves and the distribution or dividend does not reduce our net assets below such aggregate. Undistributable reserves include the share premium account, the nominal value of shares acquired by us, any capital redemption reserve fund, the amount by which our accumulated unrealized profits, so far as not previously utilized by any capitalization, exceed our accumulated unrealized losses, so far as not previously written off in a reduction or reorganization of capital and any other reserve which we are prohibited from distributing.</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as to whether or not we have sufficient distributable reserves to fund a dividend must be made by reference to our “relevant financial statements.” The “relevant financial statements” will be either the last set of unconsolidated annual audited financial statements laid before a general meeting of shareholders or other financial statements properly prepared in accordance with the Irish Companies Act; that is initial financial statements or interim financial statements, which give a “true and fair view” of Octave’s unconsolidated financial position and accord with accepted accounting practice. The relevant financial statements must be filed in the Companies Registration Office of Ireland (the official public registry for companies in Ireland).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following the Distribution, Octave will not have any distributable reserves. Octave will therefore not have the ability to pay dividends (or make other forms of distributions) immediately following the Distribution until it creates distributable reserves by way of a reduction of our capital (see “—Reduction of Share Capital” below) or as a result of the profitable operations of its business. For information about Octave’s intention to create distributable reserves, see “The Separation and the Distribution—Dividend Policy.”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Distribution, we expect to capitalize the reserves created pursuant to the Distribution and implement a court-approved reduction of that capital in order to create distributable reserves to support the payment of possible future dividends or future share repurchases. Hexagon, as the current pre-Distribution shareholder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 is expected to pass a resolution that would (subject to the approval of the High Court of Ireland) create distributable reserves following the Distribution by converting to distributable reserves an amount equal to the value of all of our share premium. To complete this process, we will seek the approval of the High Court of Ireland, which is required for the creation of distributable reserves to be effective, as soon as practicable following the Distribution. The approval of the High Court of Ireland is expected to be obtained within approximately two months of the consummation of the Distribution, but is dependent on a number of factors, such as the caseload of the High Court of Ireland at the time of our initial application, and court vacations.</w:t>
      </w:r>
    </w:p>
    <w:p>
      <w:pPr>
        <w:spacing w:after="0" w:line="1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Until the approval of the High Court of Ireland is obtained or distributable reserves are created as a result of the profitable operation of our business, we will not have sufficient distributable reserves to make distributions by way of dividends, share repurchases or otherwise. Although we are not aware of any reason why the High Court of Ireland would not approve the creation of distributable reserves, there is no guarantee that we will obtain such approval.</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mechanism as to who declares a dividend and when a dividend shall become payable is governed by our Articles, which authorize the directors to declare such dividends as appear justified from our profits without the approval of the shareholders at a general meeting. Our Board of Directors may also recommend a dividend to be approved and declared by shareholders at a general meeting. Although the shareholders may direct, upon the recommendation of our directors, that the payment of a dividend declared at a general meeting be made by distribution of assets, shares or cash, no dividend issued may exceed the amount recommended by the directors. The directors may also direct payment or satisfaction of any dividend or other distribution wholly or in part by the distribution of assets.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of Octave are also entitled to issue shares with preferred rights to participate in dividends declared by Octave. The holders of such preferred shares may, depending on their terms, be entitled to claim arrears of a declared dividend out of subsequently declared dividends in priority to holders of Octave Class A Ordinary Shares or Octave Class B Ordinary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Irish tax issues relating to dividend payments, see “Material Irish Tax Consequences.”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 Redemptions and Conversions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will provide that any shares which Octave has agreed to acquire shall be deemed to be a redeemable share, unless our Board of Directors resolves otherwise. Accordingly, for Irish company law purposes, the repurchase of shares by Octave will technically be effected as a redemption of those shares as described below under “—Repurchases and Redemptions by Octave.” If our Articles did not contain such provision, all repurchases by Octave would be subject to many of the same rules that apply to purchases of Octave shares by subsidiaries described below under “—Purchases by Subsidiaries of Octave shares” including the shareholder approval requirements described below and the requirement that any on-market purchases be effected on a “recognized stock exchange.” Neither Irish law nor any constituent document of Octave places limitations on the right of non-resident or foreign owners to vote or hold Octave shares. Except where otherwise noted, references elsewhere in this information statement to repurchasing or buying back Octave shares refer to the redemption of shares by Octave or the purchase of Octave shares by a subsidiary of Octave, in each case in accordance with our Articles and Irish company law as described below.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and Redemptions by Octave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Irish law, a company may issue redeemable shares and redeem them out of distributable reserves or the proceeds of a fresh issue of shares for that purpose. Octave will not have any distributable reserves immediately following the Distribution. However, we intend to take steps to create such distributable reserves. Please also see “—Dividends” and “Risk Factors.” Octave may only issue redeemable shares if the nominal value of the issued share capital that is not redeemable is not less than 10% of the nominal value of the total issued share capital of Octave. All redeemable shares must also be fully paid and the terms of redemption of the shares must provide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 on redemption. Redeemable shares may, upon redemption, be cancelled or held in treasury. Shareholder approval will not be required to redeem Octave shares pursuant to our Articles.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may also be given an additional general authority by its shareholders to purchase its own shares on-market, which would take effect on the same terms and be subject to the same conditions as applicable to purchases by Octave’s subsidiaries as described below.</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will also be entitled to issue preferred shares, which may be redeemed at the option of either Octave or the shareholder, depending on the terms of such preferred shares. For additional information on preferred shares, see “—Share Capital” above.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Repurchased and redeemed shares may be cancelled or held as treasury shares. The nominal value of treasury shares held by us or a subsidiary of ours at any time must not exceed 10% of our company capital (consisting of the aggregate of the nominal value and share premium in respect of the allotment of our shares together with certain elements of our undenominated capital arising on the acquisition of shares by us). While we or a subsidiary of ours hold shares as treasury shares, we or such subsidiary may not exercise any voting rights in respect of those shares. We may cancel or re-issue treasury shares subject to certain conditions.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by Subsidiaries of Octave shares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Irish law, an Irish or non-Irish subsidiary may purchase Octave shares either as overseas market purchases or off-market purchases. For a subsidiary of Octave to make overseas market purchases of Octave shares, the Octave shareholders must provide general authorization for such purchase by way of ordinary resolution. However, as long as this general authority has been granted, no specific shareholder authority for a particular overseas market purchase by a subsidiary of Octave shares is required. For an off-market purchase by a subsidiary of Octave, the proposed purchase contract must be authorized by special resolution of the shareholders before the contract is entered into. The person whose Octave shares are to be bought back cannot vote in favor of the special resolution and, from the date of the notice of the meeting at which the resolution approving the contract is to be proposed, the purchase contract must be on display or must be available for inspection by shareholders at our registered office.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for a subsidiary of Octave to make an overseas market purchase of Octave shares, such shares must be purchased on a “securities market” (as defined in the Irish Companies Act) which has been recognized for the purposes of the Irish Companies Act. Nasdaq New York, on which we expect Octave Class B Ordinary Shares will be listed following the Distribution, is a recognized securities market for this purpose.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Octave shares acquired and held by the subsidiaries of Octave at any time will count as treasury shares and will be included in any calculation of the permitted treasury share threshold of 10% of our company capital. While a subsidiary holds Octave shares, it cannot exercise any voting rights in respect of those shares. The acquisition of Octave shares by a subsidiary must be funded out of distributable reserves of the subsidiary.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Shares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Articles, the Board of Directors may resolve to capitalize any amount credited to our undenominated capital, any profits available for distribution, any unrealized revaluation reserves, any merger reserve or any other capital reserve of Octave for issuance and distribution to shareholders as fully paid-up bonus shares on the same basis of entitlement as would apply in respect of a dividend distribution (and in the same proportions). Our Articles will also provide that bonus shares allotted and issued to shareholders shall be of the same class as shares already held by that shareholder (and in the same proportions).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Liens on Shares, Calls on Shares and Forfeiture of Shares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will provide that Octave will have a first and paramount lien on every share that is not a fully paid up share for all moneys payable, whether presently due or not in respect of such Octave shares. Such lien will extend to all dividends payable on the relevant share. Subject to the terms of their allotment, directors may call for any unpaid amounts in respect of any Octave shares to be paid, and if payment is not made, the shares may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0" w:lineRule="exact"/>
        <w:rPr>
          <w:sz w:val="20"/>
          <w:szCs w:val="20"/>
          <w:color w:val="auto"/>
        </w:rPr>
      </w:pPr>
    </w:p>
    <w:p>
      <w:pPr>
        <w:ind w:right="1080"/>
        <w:spacing w:after="0" w:line="438" w:lineRule="auto"/>
        <w:rPr>
          <w:sz w:val="20"/>
          <w:szCs w:val="20"/>
          <w:color w:val="auto"/>
        </w:rPr>
      </w:pPr>
      <w:r>
        <w:rPr>
          <w:rFonts w:ascii="Times New Roman" w:cs="Times New Roman" w:eastAsia="Times New Roman" w:hAnsi="Times New Roman"/>
          <w:sz w:val="18"/>
          <w:szCs w:val="18"/>
          <w:color w:val="auto"/>
        </w:rPr>
        <w:t xml:space="preserve">and ultimately sold. These provisions are standard inclusions in the articles of association of an Irish public limited company such as Octave. </w:t>
      </w:r>
      <w:r>
        <w:rPr>
          <w:rFonts w:ascii="Times New Roman" w:cs="Times New Roman" w:eastAsia="Times New Roman" w:hAnsi="Times New Roman"/>
          <w:sz w:val="18"/>
          <w:szCs w:val="18"/>
          <w:b w:val="1"/>
          <w:bCs w:val="1"/>
          <w:color w:val="auto"/>
        </w:rPr>
        <w:t>Consolidation and Division; Subdivision</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Articles will provide that Octave may, by ordinary resolution, consolidate and divide all or any of its share capital into shares of larger nominal value than its existing shares or subdivide its shares into smaller amounts than is fixed by our Articles.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 of Share Capital</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may, by ordinary resolution, reduce its authorized share capital in any way. Octave also may, by special resolution and subject to confirmation by the Irish High Court, reduce or cancel its issued share capital (which includes share premium) in any manner permitted by the Irish Companies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General Meetings of Shareholders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will be required to hold an annual general meeting each calendar year no more than nine months after our fiscal year end. Annual general meetings must be held at intervals of no more than 15 months. Our Articles will provide that the Octave directors may convene general meetings of the shareholders at any place they so designate including by way of virtual general meeting. It is expected that Octave’s first annual general meeting as a public company will occur in 2027.</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notice of the general meeting must state the time, date and place of the meeting and the general nature of the business to be dealt with and must be given to all Octave shareholders and to the auditors of Octave. Under Irish law, an annual general meeting must be called by at least 21 clear days’ notice in writing. The notice period can be shortened, but only with the consent of the auditors of Octave and all of the shareholders entitled to attend and vote at such meeting. A meeting other than the annual general meeting must be called by not less than 21 days’ notice in writing to approve a special resolution and 14 days’ notice in writing for any other extraordinary general meeting, but this notice period also can be shortened if the consent of the auditors and all of the shareholders entitled to attend and vote at such meeting is obtained.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only matters which must, as a matter of Irish company law, be transacted at an annual general meeting are the consideration of the statutory financial statements (including the balance sheet and reports of the directors and auditors), the appointment of auditors, the fixing of the auditor’s remuneration (or delegation of same) and review by the members of the affairs of Octave. If no resolution is made in respect of the reappointment of an existing auditor at an annual general meeting, the existing auditor will be deemed to have continued in office.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Meetings of Shareholders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Extraordinary general meetings of Octave may be convened: (i) by our Board of Directors; (ii) on requisition of the shareholders holding not less than 10% of the paid-up share capital of Octave carrying voting rights; or (iii) on requisition of Octave’s auditors in certain circumstances in accordance with the Irish Companies Act. Extraordinary general meetings are generally held for the purposes of approving shareholder resolutions as may be required from time to time. At any extraordinary general meeting only such business shall be conducted as is set forth in the notice thereof.</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Notice of an extraordinary general meeting must be given to all shareholders and to our statutory auditors, directors and company secretary. An extraordinary general meeting for the purpose of considering a special resolution must be convened on not less than 21 clear days’ notice. Any other extraordinary meeting must also be called by not less than 21 clear days’ notice, except that it may be called by 14 clear days’ notice where (i) all holders who hold shares that carry rights to vote at the general meeting are permitted to vote by electronic means either before and/or at the general meeting, and</w:t>
      </w:r>
    </w:p>
    <w:p>
      <w:pPr>
        <w:spacing w:after="0" w:line="3" w:lineRule="exact"/>
        <w:rPr>
          <w:sz w:val="20"/>
          <w:szCs w:val="20"/>
          <w:color w:val="auto"/>
        </w:rPr>
      </w:pPr>
    </w:p>
    <w:p>
      <w:pPr>
        <w:ind w:right="20" w:firstLine="8"/>
        <w:spacing w:after="0" w:line="260" w:lineRule="auto"/>
        <w:tabs>
          <w:tab w:leader="none" w:pos="26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reducing the period of notice to 14 clear days has been passed at the immediately preceding annual general meeting, or at a general meeting held since that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case of an extraordinary general meeting convened by Octave shareholders, the proposed purpose of the meeting must be set out in the requisition notice. Upon receipt of any such valid requisition notice, our Board of Directors has 21 days to convene a meeting of Octave shareholders to vote on the matters set out in the requisition notice. This meeting must be held within two months of the receipt of the requisition notice. If our Board of Directors does not convene the meeting within such 21-day period, the requisitioning shareholders, or any of them representing more than one half of the total voting rights of all of them, may themselves convene a meeting, which meeting must be held within three months of Octave’s receipt of the requisition notice.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Board of Directors becomes aware that the net assets of Octave are not greater than half of the amount of Octave’s called-up share capital, the directors of Octave must convene an extraordinary general meeting of Octave shareholders not later than 28 days from the date that they learn of this fact to consider how to address the situation.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will provide that all resolutions to be voted on at a general meeting of shareholders shall be decided on a poll. The chairperson of the meeting may determine the manner in which the poll is to be taken and he or she may appoint scrutineers (who need not be shareholders) and fix a time and place for declaring the result of the poll.</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our Articles, where a vote is decided on a poll, each shareholder of record present in person or by proxy is entitled to ten votes for each Octave Class A Ordinary Share that he or she holds and one vote for each Octave Class B Ordinary Share that he or she holds. Voting rights may be exercised by holders of record registered in our share register as of the record date for the meeting or by a duly appointed proxy, which proxy need not be a shareholder. Where shares are beneficially owned, meaning that they are held by a bank, broker or other nominee, such bank, broker or other nominee may exercise the rights of the beneficial owners on their behalf as their proxy. All proxies must be appointed in the manner prescribed by our Articles, which permit shareholders to notify us of their proxy appointments electronically in such manner as may be approved by our Board of Directors. Shareholders entitled to more than one vote in a poll do not need to cast all their votes or cast all votes in the same way.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will provide that a poll relating to the election of the chairperson or the adjournment of a general meeting shall be taken immediately. A poll in respect of any other question shall be taken either immediately or at such time and place as the chairperson of the meeting may direct. No notice is required in respect of a poll not taken immediately if the time and place at which it is to be taken are announced at the meeting at which it is demanded. In any other case at least seven clear days’ notice shall be given specifying the time and place at which the poll is to be taken.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our Articles, our Board of Directors may from time to time authorize us to issue preferred shares. These preferred shares may have such voting rights as may be specified in the terms of such preferred shares (e.g., they may carry more votes per share than Octave Class A Ordinary Shares and/or Octave Class B Ordinary Shares, or may entitle their holders to a class vote on such matters as may be specified in the terms of the preferred shares), except that the holders of any series of preferred shares will not be entitled to exercise more than one vote per preferred share without the consent of the majority of the holders of the Octave Class A Ordinary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shares or shares of the Company that are held by our subsidiaries will not be entitled to be voted at general meetings of shareholders.</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Irish company law requires special resolutions of the shareholders at a general meeting to approve certain matters. Examples of matters requiring special resolutions include:</w:t>
      </w:r>
    </w:p>
    <w:p>
      <w:pPr>
        <w:spacing w:after="0" w:line="108" w:lineRule="exact"/>
        <w:rPr>
          <w:sz w:val="20"/>
          <w:szCs w:val="20"/>
          <w:color w:val="auto"/>
        </w:rPr>
      </w:pPr>
    </w:p>
    <w:p>
      <w:pPr>
        <w:ind w:left="660" w:hanging="328"/>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our Articles;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 change of name of Octave;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entering into of a guarantee or provision of security in connection with a loan, quasi-loan or credit transaction to a director or a person connected with a director;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opting out of statutory pre-emption rights on the issuance of new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40" w:lineRule="exact"/>
        <w:rPr>
          <w:sz w:val="20"/>
          <w:szCs w:val="20"/>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re-registration of Octave from a public limited company to a private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of class rights attaching to classes of shares (where our Articles do not provide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Octave shares off-market;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issued share capital;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sanctioning a compromise/scheme of arrangement;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that Octave be wound up by the Irish courts;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in favor of a shareholders’ voluntary winding-up;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re-designation of shares into different share classes;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re-issue price of treasury shares.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also “—Anti-Takeover Provisions—Irish Takeover Rules and Substantial Acquisition Rules—Mandatory Bid” below for additional information on potential restrictions of voting rights in certain circumstances where a shareholder may be otherwise subject to mandatory offer obligations under the Irish Takeover Rules.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 Attaching to a Class or Series of Shares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Irish Companies Act and as will be provided in our Articles, any variation of class rights attaching to any issued class of Octave shares must be approved in writing by holders of three-quarters of the issued shares in that class or with the sanction of a special resolution passed at a separate general meeting of the holders of the shares of that class.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Articles will expressly provide that any issue of preferred shares (whatever the rights attaching to them) will be deemed not to be a variation of the rights of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for General Meetings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will provide that no business shall be transacted at any general meeting unless a quorum is present. The presence, in person or by proxy or as a duly authorized representative of a corporate shareholder, of two or more persons entitled to vote upon the business to be transacted and together holding shares representing more than 50% of the votes that may be cast by all such persons so entitled to vote at the relevant time, constitutes a quorum for the conduct of business at a general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Director Nominations and Proposals of Shareholders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Irish law and our Articles will establish advance notice procedures with respect to shareholder proposals, including nomination of candidates for election as directors other than nominations made by or at the direction of our Board of Directors or a committee of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Action by Written Consent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Irish Companies Act provides that shareholders may approve a resolution without a meeting if (i) all shareholders sign the written resolution and (ii) the company’s articles of association permit written resolutions of shareholders. Our Articles provide that no resolution of the members may be passed as a written resolution under the Irish Companies Act or otherwise.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Irish law, shareholders have the right to: (i) receive a copy of our Articles; (ii) inspect and obtain copies of the minutes of general meetings and resolutions of Octave; (iii) inspect and receive a copy of the register of shareholders, register of directors and secretaries, register of directors’ interests and other statutory registers maintained by Octave; (iv) receive copies of the statutory financial statements (including the balance sheets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directors’ and auditors’ reports) which have previously been sent to shareholders prior to an annual general meeting; and (v) receive balance sheets of any subsidiary of Octave which have previously been sent to shareholders prior to an annual general meeting for the preceding ten years. The auditors of Octave will also have the right of access to the accounting records of Octave. The auditors’ report must be circulated to the shareholders with Octave’s financial statements prepared in accordance with Irish law no later than 21 days before the annual general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Irish public limited company may be acquired in a number of ways, including:</w:t>
      </w:r>
    </w:p>
    <w:p>
      <w:pPr>
        <w:spacing w:after="0" w:line="171" w:lineRule="exact"/>
        <w:rPr>
          <w:sz w:val="20"/>
          <w:szCs w:val="20"/>
          <w:color w:val="auto"/>
        </w:rPr>
      </w:pPr>
    </w:p>
    <w:p>
      <w:pPr>
        <w:jc w:val="both"/>
        <w:ind w:left="660" w:hanging="328"/>
        <w:spacing w:after="0" w:line="266" w:lineRule="auto"/>
        <w:tabs>
          <w:tab w:leader="none" w:pos="6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court-approved scheme of arrangement under the Irish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tender or takeover offer by a third party for all of our shares. Where the holders of 80% or more of our shares have accepted an offer for their shares in Octave, the remaining shareholders may also be statutorily required to transfer their shares. If the bidder does not exercise its “squeeze out” right, then the non-accepting shareholders also have a statutory right to require the bidder to acquire their shares on the same terms. If our shares were to be listed on a regulated stock exchange in the EU, this threshold would be increased to 90%;</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a merger with a company incorporated in the EEA under the EU Cross-Border Mergers Directive (EU) 2017/1132 (as amended) and the European Union (Cross-Border Conversions, Mergers and Divisions) Regulations 2023 of Ireland (as amended) (the “2023 Regulations”). Both a court order from the Irish High Court and a special resolution of shareholders would be required to give effect to such a transaction;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merger with another Irish company under the Companies Act, which must be approved by a special resolution and by the Irish High Court.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European Union (Cross-Border Conversions, Mergers and Divisions) Regulations 2023 of Ireland (as amended) governing the merger of an Irish public company limited by shares, such as Octave, and a company incorporated in another member state of the European Economic Area, a shareholder (a) of the non-surviving company who voted against the special resolution approving the merger, or (b) of a non-surviving company in which 90% of the shares is held by a company that is the other party to the merger, has the right to request that the surviving company acquire its shares for cash at a price determined in accordance with the share exchange ratio set out in the merger agreement.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rights apply in the case of a merger of an Irish public limited company into another company to which the provisions of the Irish Companies Act apply.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as described above, shareholders of an Irish company generally do not have appraisal rights under Irish law. However, Irish company law does provide for dissenters’ rights in certain situations, as described below.</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 tender or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Irish High Court for relief.</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scheme of arrangement which has been approved by the requisite shareholder majority and approved by the Irish High Court will be binding on all shareholders. Dissenting shareholders have the right to appear at the Irish High Court hearing and make representations in objection to the scheme.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Interests in Shares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Irish Companies Act, Octave shareholders must notify Octave (but not the public at large) if, as a result of a transaction, the shareholder will become interested in 3% or more of any class of Octave shares carrying voting rights; or if as a result of a transaction a shareholder who was interested in more than 3% of any class of Octave shares carrying voting rights ceases to be so interested. Where a shareholder is interested in more than 3% of any class of Octave shares carrying voting rights, the shareholder must notify Octave (but not the public at large)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the issued share capital of Octave (or any such class of share capital in issue). Where the percentage level of the shareholder’s interest does not amount to a whole percentage this figure may be rounded down to the next whole number. Octave must be notified within five business days of the transaction or alteration of the shareholder’s interests that gave rise to the notification requirement. If a shareholder fails to comply with these notification requirements, the shareholder’s rights in respect of any Octave shares it holds will not be enforceable, either directly or indirectly, by action or legal proceeding. However, such person may apply to the court to have the rights attaching to such shares reinstated.</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these disclosure requirements, Octave may, under the Irish Companies Act, by notice in writing, require a person whom Octave knows or has reasonable cause to believe to be, or at any time during the three years immediately preceding the date on which such notice is issued to have been, interested in shares comprised in Octave’s relevant share capital to: (i) indicate whether or not it is the case; and (ii) where such person holds or has during that time held an interest in any class of Octave shares carrying voting rights, to provide additional information as may be required by Octave, including particulars of the person’s own past or present interests in such class of Octave shares. If the recipient of the notice fails to respond within the reasonable time period specified in the notice, Octave may apply to court for an order directing that the affected shares be subject to certain restrictions, as prescribed by the Irish Companies Act, as follows:</w:t>
      </w:r>
    </w:p>
    <w:p>
      <w:pPr>
        <w:spacing w:after="0" w:line="135" w:lineRule="exact"/>
        <w:rPr>
          <w:sz w:val="20"/>
          <w:szCs w:val="20"/>
          <w:color w:val="auto"/>
        </w:rPr>
      </w:pPr>
    </w:p>
    <w:p>
      <w:pPr>
        <w:ind w:left="660" w:hanging="328"/>
        <w:spacing w:after="0" w:line="282" w:lineRule="auto"/>
        <w:tabs>
          <w:tab w:leader="none" w:pos="6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those shares, or in the case of unissued shares any transfer of the right to be issued with shares and any issue of shares, shall be void;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rights shall be exercisable in respect of those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shares shall be issued in right of those shares or in pursuance of any offer made to the holder of those shares;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shall be made of any sums due from Octave on those shares, whether in respect of capital or otherwise.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court may also order that shares subject to any of these restrictions be sold with the restrictions terminating upon the completion of the sale.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Octave SDRs will be considered to be interested in the Octave Shares for the purposes of the Irish Companies Act.</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we are in an offer period pursuant to the Irish Takeover Rules, accelerated disclosure provisions apply for persons holding an interest in our securities of 1% or more.</w:t>
      </w:r>
    </w:p>
    <w:p>
      <w:pPr>
        <w:spacing w:after="0" w:line="108" w:lineRule="exact"/>
        <w:rPr>
          <w:sz w:val="20"/>
          <w:szCs w:val="20"/>
          <w:color w:val="auto"/>
        </w:rPr>
      </w:pPr>
    </w:p>
    <w:p>
      <w:pPr>
        <w:ind w:right="840"/>
        <w:spacing w:after="0" w:line="438" w:lineRule="auto"/>
        <w:rPr>
          <w:sz w:val="20"/>
          <w:szCs w:val="20"/>
          <w:color w:val="auto"/>
        </w:rPr>
      </w:pPr>
      <w:r>
        <w:rPr>
          <w:rFonts w:ascii="Times New Roman" w:cs="Times New Roman" w:eastAsia="Times New Roman" w:hAnsi="Times New Roman"/>
          <w:sz w:val="18"/>
          <w:szCs w:val="18"/>
          <w:color w:val="auto"/>
        </w:rPr>
        <w:t xml:space="preserve">In addition, the beneficial ownership disclosures of the U.S. federal securities laws will apply with respect to beneficial ownership of our shares. </w:t>
      </w:r>
      <w:r>
        <w:rPr>
          <w:rFonts w:ascii="Times New Roman" w:cs="Times New Roman" w:eastAsia="Times New Roman" w:hAnsi="Times New Roman"/>
          <w:sz w:val="18"/>
          <w:szCs w:val="18"/>
          <w:b w:val="1"/>
          <w:bCs w:val="1"/>
          <w:color w:val="auto"/>
        </w:rPr>
        <w:t>Anti-Takeover Provisions</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this section “Anti-Takeover Provisions,” “share” and “shareholder” are also used when reference is made to Octave SDRs and holders of Octave SDRs.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A transaction in which someone (the “</w:t>
      </w:r>
      <w:r>
        <w:rPr>
          <w:rFonts w:ascii="Times New Roman" w:cs="Times New Roman" w:eastAsia="Times New Roman" w:hAnsi="Times New Roman"/>
          <w:sz w:val="18"/>
          <w:szCs w:val="18"/>
          <w:b w:val="1"/>
          <w:bCs w:val="1"/>
          <w:color w:val="auto"/>
        </w:rPr>
        <w:t>Offeror</w:t>
      </w:r>
      <w:r>
        <w:rPr>
          <w:rFonts w:ascii="Times New Roman" w:cs="Times New Roman" w:eastAsia="Times New Roman" w:hAnsi="Times New Roman"/>
          <w:sz w:val="18"/>
          <w:szCs w:val="18"/>
          <w:color w:val="auto"/>
        </w:rPr>
        <w:t>”) seeks to acquire 30% or more of our voting rights will be governed by the Irish Takeover Rules and will be regulated by the Irish Takeover Panel.</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Furthermore, while the Octave SDRs remain listed on Nasdaq Stockholm, the Swedish Takeover Rules are applicable to any situation in which an Offeror submits a takeover bid, as defined in Chapter 2, section 1, second paragraph of the Swedish Takeover Act (Sw. </w:t>
      </w:r>
      <w:r>
        <w:rPr>
          <w:rFonts w:ascii="Times New Roman" w:cs="Times New Roman" w:eastAsia="Times New Roman" w:hAnsi="Times New Roman"/>
          <w:sz w:val="18"/>
          <w:szCs w:val="18"/>
          <w:i w:val="1"/>
          <w:iCs w:val="1"/>
          <w:color w:val="auto"/>
        </w:rPr>
        <w:t>lagen (2006:451) om offentliga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uppköpserbjudanden på aktiemarknaden), </w:t>
      </w:r>
      <w:r>
        <w:rPr>
          <w:rFonts w:ascii="Times New Roman" w:cs="Times New Roman" w:eastAsia="Times New Roman" w:hAnsi="Times New Roman"/>
          <w:sz w:val="18"/>
          <w:szCs w:val="18"/>
          <w:color w:val="auto"/>
        </w:rPr>
        <w:t>regarding our shares.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conflicts arise between the Irish Takeover Rules and the Swedish Takeover Rules, the Offeror or Octave may apply to the Swedish Securities Council for exemption from the relevant rules stipulated in the Swedish Takeover Rules. Similarly, in Ireland, the Offeror or Octave may seek guidance or a waiver from the Irish Takeover Panel, which has discretion to grant derogations or make rulings to resolve conflicts under the Irish Takeover Rules.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context, our corporate structure and the regulatory framework applicable to our securities include certain provisions that may affect the ability of a third party to acquire control of Octave. These rules differ significantly from U.S. state takeover laws and include requirements that may influence the conduct of potential bidders.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important aspects of the Irish Takeover Rules and the Swedish Takeover Rules are described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Principles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Irish Takeover Rules as well as the Swedish Takeover Rules are built on the following general principles derived from Directive 2004/25/EC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Parliament and of the Council of 21 April 2004 on takeover bids (the “General Principles”), which will apply to any offer regarding our shares:</w:t>
      </w:r>
    </w:p>
    <w:p>
      <w:pPr>
        <w:spacing w:after="0" w:line="153" w:lineRule="exact"/>
        <w:rPr>
          <w:sz w:val="20"/>
          <w:szCs w:val="20"/>
          <w:color w:val="auto"/>
        </w:rPr>
      </w:pPr>
    </w:p>
    <w:p>
      <w:pPr>
        <w:ind w:left="660" w:hanging="328"/>
        <w:spacing w:after="0" w:line="282" w:lineRule="auto"/>
        <w:tabs>
          <w:tab w:leader="none" w:pos="65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offer, all holders of securities of the target company of the same class must be afforded equivalent treatment and, if a person acquires control of a company, the other holders of securities must be protected;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securities of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the target company must act in the interests of the company as a whole and must not deny the holders of securities the opportunity to decide on the merits of the offer;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bidder must announce an offer only after ensuring that it can fulfil in full, any cash consideration, if such is offered, and after taking all reasonable measures to secure the implementation of any other type of consideration;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target company must not be hindered in the conduct of its affairs for longer than is reasonable by an offer for its securities;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Takeover Rules and Substantial Acquisition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Bid</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certain circumstances, a person who acquires our shares may be required under the Irish Takeover Rules to make a mandatory cash offer for our remaining outstanding shares at a price not less than the highest price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shares by that acquirer (or any parties acting in concert with the acquirer) during the previous 12 months. This mandatory bid requirement is triggered if an acquisition of shares would increase the aggregate holding of an acquirer (including the holdings of any parties acting in concert with the acquirer) to shares representing 30% or more of our voting rights, unless the Irish Takeover Panel otherwise consents. An acquisition of shares by a person holding (together with its concert parties) shares representing between 30% and 50% of our voting rights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shares representing more than 50% of the voting rights of a company is not subject to these mandatory offer requirements.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Provisions in our Articles will enable a person who would otherwise incur a mandatory offer obligation under the Irish Takeover Rules by the acquisition of Octave shares to avoid that obligation by requesting that Octave redesignate some or all of its Octave shares as restricted voting Octave shares having no right to vote at general meetings of Octave but otherwise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other Octave Class A Ordinary Shares and Octave Class B Ordinary Shares.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rules on mandatory bid obligations under the Swedish Takeover Act are not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Voluntary Bid; Requirements to Make a Cash Offer and Minimum Price Requirements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person makes a voluntary offer to acquire our outstanding shares, the offer price must be no less than the highest price paid for our shares by the bidder or its concert parties during the three-month period prior to the commencement of the offer period. The Irish Takeover Panel has the power to extend the “look back” period to 12 months if the Irish Takeover Panel, taking into account the General Principles, believes it is appropriate to do so.</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bidder or any of its concert parties has acquired our shares: (i) during the period of 12 months prior to the commencement of the offer period which represent more than 10% of our total shares; or (ii) at any time after the commencement of the offer period, the offer must be in cash (or accompanied by a full cash alternative) and the price per share must not be less than the highest price paid by the bidder or its concert parties during, in the case of (i), the 12-month period prior to the commencement of the offer period and, in the case of (ii), the offer period. The Irish Takeover Panel may apply this rule to a bidder who, together with its concert parties, has acquired less than 10% of our total shares in the 12-month period prior to the commencement of the offer period if the Irish Takeover Panel, taking into account the General Principles, considers it just and proper to do so.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offer period will generally commence from the date of the first announcement of the offer or proposed </w:t>
      </w:r>
      <w:r>
        <w:rPr>
          <w:rFonts w:ascii="Times New Roman" w:cs="Times New Roman" w:eastAsia="Times New Roman" w:hAnsi="Times New Roman"/>
          <w:sz w:val="18"/>
          <w:szCs w:val="18"/>
          <w:i w:val="1"/>
          <w:iCs w:val="1"/>
          <w:color w:val="auto"/>
        </w:rPr>
        <w:t>offer.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‘Put Up or Shut Up’</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Irish Takeover Rules, there is also a mandatory ‘put up or shut up’ regime pursuant to which any announcement by a company that commences an offer period will generally be required to identify the potential bidder in talks with the company or from which an approach has been received. Bidders will have a period of 42 days following the announcement in which they are first identified to announce a firm intention to make an offer for the company or announce that they do not intend to make an offer, in which case the bidder will generally be restricted from making an offer for the company in the following six months, subject to limited exceptions.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Acquisition Rules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Irish Takeover Rules also contain rules governing substantial acquisitions of shares which restrict the speed at which a person may increase his or her holding of shares and rights over shares to an aggregate of between 15% and 30% of our voting rights. Except in certain circumstances, an acquisition or series of acquisitions of shares or rights over shares representing 10% or more of our voting rights is prohibited, if such acquisition(s), when aggregated with shares or rights already held, would result in the acquirer holding 15% or more but less than 30% of our voting rights and such acquisitions are made within a period of seven days. These rules also require accelerated disclosure of acquisitions of shares or rights over shares relating to such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Frustrating Action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Irish Takeover Rules, our Board of Directors is not permitted to take any action which might frustrate an offer for our shares once our Board of Directors has received an approach which may lead to an offer or has reason to believe an offer is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our Board of Directors has reason to believe an offer is imminent. Exceptions to this prohibition are available where:</w:t>
      </w:r>
    </w:p>
    <w:p>
      <w:pPr>
        <w:spacing w:after="0" w:line="133" w:lineRule="exact"/>
        <w:rPr>
          <w:sz w:val="20"/>
          <w:szCs w:val="20"/>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approved by our shareholders at a general meeting;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Takeover Panel has given its consent, where: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satisfied the action would not constitute frustrating action;</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9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50% of the voting rights state in writing that they approve the proposed action and would vote in favor of it at a general meeting;</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taken in accordance with a contract entered into prior to the announcement of the offer; or</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to take such action was made before the announcement of the offer and either has been at least partially implemented or is in the ordinary course of business.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other provisions of Irish law or our Articles may be considered to have anti-takeover effects, including those described under the following captions: “—Share Capital” (regarding issuance of preferred shares), “—Pre-emption Rights and Share Options,” and “—Disclosure of Interests in Shares.” Rules on frustrating actions under the Swedish Takeover Act are not applicable.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Swedish Takeover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consideration rules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an Offeror making a voluntary bid is free to offer whatever price it wishes. Under the Swedish Takeover Rules, however, the offer price must not be less than the highest price paid by the Offeror for our shares within six months prior to the announcement of the offer or during the course of an offer. If the Offeror acquires more than 10% of our shares for cash within six months of the offer announcement or during the course of the offer, the Offeror must provide a cash alternative at not less than the highest price paid. Similarly, if the Offeror has acquired more than 10% of our shares in exchange for securities in the six months preceding the offer or during the course of the offer, a securities offer will be required (whereby the securities alternative must be offered on the basis of the same number of securities per target share rather than on the same value basis). Moreover, where a securities offer is required as a result of pre-offer acquisitions of our shares in exchange for securities, the Offeror is required to provide a cash alternative on the basis of the same value, unless the vendor is required (under a lock-up undertaking or similar restriction) to hold the securities received until either the offer has been terminated or the offer consideration has been paid to accepting shareholders.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Offeror also has an obligation to treat equally all holders of shares with identical terms and conditions. Consequently, the Offeror must offer all holders of shares with identical terms and conditions the same consideration per share. However, if special cause applies for certain shareholders, these may be offered consideration in a different form, provided that the value is the same. As a general rule, the same form of consideration must be offered for all classes of shares, and considering that Octave has different classes of shares which only differ in terms of the voting rights and that not all classes of shares will be admitted to trading, the value of the consideration must be the same for all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financing, conditions, etc.</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Swedish Takeover Rules provide that a takeover bid may only be made once the Offeror has taken all necessary steps to implement the offer and, in particular, has ensured that it can satisfy any cash consideration in full.</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satisfaction of any conditions to which a voluntary bid is made subject must be objective, meaning it must be possible to determine objectively whether a condition has been satisfied and must not, except where a condition relates to regulatory approvals (such as antitrust clearances), give the Offeror a decisive influence over their fulfilment.</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Offeror is generally permitted to withdraw the offer only where the non-satisfaction of a condition is of material importance to its acquisition of the target.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statement by an Offeror that the Offeror will or will not act in a certain manner with respect to its offer is binding if the purpose of the statement is to create legitimate trust on the market.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duties of the target board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Swedish Takeover Rules, our Board of Directors must act in the interest of all shareholders in matters relating to the offer. Our Board of Directors may not act in its own interests or be directed by the interests of one shareholder or a particular group of shareholders. If there is more than one Offeror, our Board of Directors may not promote a particular Offeror without valid reason. Octave may not enter into any offer-related arrangement with an Offeror, which includes any and every arrangement related to the offer which entails an obligation on Octave towards the Offeror, except for confidentiality provisions or undertakings not to solicit the Offeror’s employees, customers, or suppliers.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and merger-like processes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a minority shareholder protection perspective, similar interests worthy of protection are relevant irrespective of whether the takeover of an offeree or transferor company is carried out in the form of a takeover process or, for example, through a merger process. For that reason, certain provisions of the Swedish Takeover Rules are also applicable if Octave is to be acquired by or absorbed into the transferee company or another company within the same group of companies as the transferee company through a merger or merger-like process.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will allocate authority over the day-to-day management of Octave to our Board of Directors. Our Board of Directors may then delegate any of its powers to such person or persons (including any committee (whether directors or not)) as it thinks fit, but regardless, the directors will remain responsible, as a matter of Irish law, for the proper management of the affairs of Octave.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and Appointment of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Irish Companies Act provides for a minimum of two directors. Our Articles will provide that the number of directors will be fixed by our Board of</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Directors, but will not be less than nor more than . The minimum or maximum number of directors may be increased or reduced by an ordinary resolution of shareholders, provided however, that any resolution to appoint a director approved by the shareholders that would result in the maximum number of directors being exceeded shall be deemed to constitute an ordinary resolution increasing the maximum number of directors to the number that would be in office following such a resolution of appointment.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Articles will provide that directors are elected by the affirmative vote of a majority of the votes cast by shareholders at a general meeting (present in person or by proxy) of the shareholders and will serve for one-year terms concluding at the annual general meeting after the director was last appointed or reappointed. However, if the number of director nominees exceeds the number of directors to be elected, each of those nominees shall be voted upon as a separate resolution and the directors shall be elected by a plurality of the votes (meaning the election of those director nominees, equaling in number to the number of positions to be filled at the relevant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received the highest number of votes) of the shares present in person or represented by proxy at any such meeting and entitled to vote on the election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Vacancies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will provide that the directors shall have the authority to appoint directors to the Board of Directors, subject to the maximum number permitted in our Articles. A vacancy caused by the removal of a director may be filled at the meeting at which the director is removed by an ordinary resolution of Octave shareholders. If not, it may be filled by our Board of Directors.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directors so appointed shall be required to retire at the next annual general meeting of Octave unless he or she is re-elected at such meeting. During any vacancy in our Board of Directors, the remaining directors shall have full power to act as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Irish Companies Act, the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Octave in respect of his removal.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Irish law and subject to the provisions of the Irish Companies Act, Irish companies may only alter their memorandum and articles of association by a resolution of the shareholders approved by 75% of the votes cast at a general meeting. An Irish company is not permitted to opt out of this requirement.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Dissolution; Rights upon Liquidation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Octave’s corporate existence will have unlimited duration. Octave may be dissolved and wound up at any time by way of a shareholders’ voluntary winding up or a creditors’ winding up. In the case of a shareholders’ voluntary winding-up, a special resolution of shareholders is required. Octave may also be dissolved by way of court order on the application of a creditor, or by the Companies Registration Office as an enforcement measure where Octave has failed to file certain returns.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rights of the shareholders of an Irish company to a return of its assets on dissolution or winding up, following the settlement of all claims of creditors, may be prescribed in its articles of association or the terms of any preferred shares issued by its directors from time to time. The holders of preferred shares in particular may have the right to priority in a dissolution or winding up of such company. If the articles of association contain no specific provisions in respect of a dissolution or winding up, then, subject to the priorities of any creditors, the assets will be distributed to shareholders in proportion to the paid-up nominal value of the shares held. Our Articles will provide that the Octave shareholders are entitled to participate pro rata in a winding up, but their right to do so may be subject to the rights of any preferred shareholder to participate under the terms of any series or class of preferred shares that may be in issue from time to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Uncertificated Shares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our Articles, no shareholder is entitled to be issued a share certificate, unless otherwise determined by our Board of Directors or by the rights attaching to or the terms of issue of any particular shares, or to the extent required by law or regulation applicable to Octave.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Octave Shares have no sinking fund provisions. Under such provision, a company would set aside funds to redeem its shares at a certain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Liability for Further Calls or Assessments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to be issued in the Distribution will be duly and validly issued and fully paid.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Registration of Shares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share register of Octave will be maintained by our transfer agent or its affiliates. Registration in this share register will be determinative of membership in Octave. A shareholder of Octave who holds shares beneficially will not be the holder of record of such shares. Instead, the depository (for example, Cede</w:t>
      </w:r>
    </w:p>
    <w:p>
      <w:pPr>
        <w:jc w:val="both"/>
        <w:ind w:firstLine="8"/>
        <w:spacing w:after="0" w:line="255" w:lineRule="auto"/>
        <w:tabs>
          <w:tab w:leader="none" w:pos="18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as nominee for the Depository Trust Company) or other nominee will be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written instrument of transfer is required under Irish law to register on our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instruments of transfer may give rise to Irish stamp duty, which must be paid prior to registration of the transfer on our official Irish share register. See “Material Irish Tax Consequences.” However, a shareholder who directly holds shares may transfer those shares into his or her own broker account (or vice versa) without giving rise to Irish stamp duty, provided that the shareholder has confirmed to our transfer agent that there is no change in the ultimate beneficial ownership of the shares as a result of the transfer and the transfer (into or out of DTC) is not effected in contemplation of a sale of such shares by a beneficial owner to a third party.</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transfer of Octave shares that is subject to Irish stamp duty will not be registered in the name of the buyer unless an instrument of transfer is duly stamped and provided to the transfer agent. Our Articles will allow Octave, in its absolute discretion, to create an instrument of transfer and pay (or procure the payment of) any stamp duty, which is the legal obligation of a buyer. In the event of any such payment, Octave is (on behalf of itself or its affiliates) entitled to: (i) seek reimbursement from the buyer; (ii) set off the amount of the stamp duty against future dividends payable to the buyer; and (iii) to the extent permitted by the Irish Companies Act, claim a first and paramount lien on the shares on which stamp duty has been paid by Octave or its subsidiary for the amount of stamp duty paid (and such lien will extend to all dividends paid on those shares). Parties to a share transfer may assume that any stamp duty arising in respect of a transaction in Octave shares has been paid unless one or both of such parties is otherwise notified by Octave.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Articles will delegate to our secretary (or any other person designated by our Board of Directors) the authority to execute an instrument of transfer on behalf of a transferring party.</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help ensure that the official share register is regularly updated to reflect trading of Octave Class B Ordinary Shares occurring through normal electronic systems, Octave intends to regularly produce any required instruments of transfer in connection with any transactions for which it pays stamp duty (subject to the reimbursement and set-off rights described above). In the event that Octave notifies one or both of the parties to a share transfer that it believes stamp duty is required to be paid in connection with the transfer and that it will not pay the stamp duty, the parties may either themselves arrange for the execution of the required instrument of transfer (and may request a form of instrument of transfer from Octave (or its transfer agent) for this purpose) or request that Octave execute an instrument of transfer on behalf of the transferring party in a form determined by Octave. In either event, if the parties to the share transfer have the instrument of transfer duly stamped (to the extent required) and then provide it to our transfer agent, the buyer will be registered as the legal owner of the relevant Octave Class B Ordinary Shares on our official Irish share register (subject to the matters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 may suspend registration of transfers from time to time, not exceeding 30 days in aggregate each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Indemnification of Directors and Officers and Insurance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will provide that, subject to the provisions of and so far as may be permitted by the Irish Companies Act, the directors and company secretary of Octave are entitled to be indemnified by Octave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 director, officer or employee of Octave and in which judgment is given in his or her favor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a court of competent jurisdiction.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Irish Companies Act, an Irish company may not exempt any of its directors or company secretary from, or indemnify such person against, liability in connection with any negligence, default, breach of duty or breach of trust by such person in relation to the company. However, if judgment is given in such person’s favor or such person is acquitted, or an Irish court grants such person relief from liability on the grounds that such person acted honestly and reasonably and that, having regard to all the circumstances of the case, that person ought fairly to be excused for the wrong concerned, the company may indemnify such person against any liability incurred. Any provision whereby an Irish company seeks to commit in advance to indemnify any of its directors or company secretary over and above the limitations imposed by the Irish Companies Act will be void, whether contained in its articles or any contract between the company and any of its directors or company secretary. This restriction in the Irish Companies Act does not apply to persons who would not be considered “officers” within the meaning of the Irish Companies Act.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as permitted under our Articles and the Irish Companies Act, intends to take out and maintain customary directors’ and officers’ liability insurance and other types of comparable insurance in order to attract and retain qualified directors and officers.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Octave will enter into an indemnification deed poll in favor of its directors and certain of its executive officers. In addition, due to the more restrictive provisions of the Irish Companies Act in relation to indemnification of directors as described above, one of Octave’s subsidiaries will enter into indemnification agreements with each of Octave’s directors and certain of our executive officers that provide for indemnification to the fullest extent permitted by Delaware law. Our Articles will also contain indemnification and expense advancement provisions for current or former executive officers who are not directors or secretaries of Octave.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as amended, may be permitted to directors, officers or persons controlling Octave pursuant to the foregoing, Octave has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described above may discourage shareholders from bringing a lawsuit against directors for breaches of their fiduciary duties. These provisions may also have the effect of reducing the likelihood of derivative litigation against Octave’s directors and officers, even though such an action, if successful, might otherwise benefit Octave and its shareholders. However, these provisions will not limit or eliminate Octave’s rights, or those of any shareholder, to seek any non-monetary relief such as injunction or rescission in the event of a breach of a director’s duty of care, nor alter any liability of directors and officers under the U.S. federal securities laws. In addition, your investment may be materially adversely affected to the extent that, in a class action or direct suit, Octave pays the costs of settlement and damage awards against directors and officers pursuant to these indemnification provisions. There is currently no pending material litigation or proceeding against any Octave director, office or employee for which indemnification is being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Octave intends to apply for authorization to list its Octave Class B Ordinary Shares on Nasdaq New York under the symbol “OCTV.”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Octave’s incorporation on July 5, 2017, Octave issued 100 ordinary shares of nominal value €1.00 which were held by nominees on behalf of a corporate services provider until July 24, 2025 at which time the 100 issued ordinary shares were transferred to Hexagon AB. These transactions were not registered under the Securities Act as such transactions did not constitute a public offering and therefore were exempt from registration pursuant to Sections 4(a)(2) and Section 4(a)(1) of the Securities Act,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tabs>
          <w:tab w:leader="none" w:pos="7680" w:val="left"/>
        </w:tabs>
        <w:rPr>
          <w:sz w:val="20"/>
          <w:szCs w:val="20"/>
          <w:color w:val="auto"/>
        </w:rPr>
      </w:pPr>
      <w:r>
        <w:rPr>
          <w:rFonts w:ascii="Times New Roman" w:cs="Times New Roman" w:eastAsia="Times New Roman" w:hAnsi="Times New Roman"/>
          <w:sz w:val="18"/>
          <w:szCs w:val="18"/>
          <w:color w:val="auto"/>
        </w:rPr>
        <w:t>After the Distribution, the transfer agent and registrar for Octave Class B Ordinary Shares will be</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SWEDISH DEPOSITORY RECEIPTS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of Octave Class B Ordinary Shares, we will register all such Octave Class B Ordinary Shares, other than such shares that are to be distributed to affiliates of Hexagon or Octave, in the name of Cede &amp; Co, as nominee for DTC, which will credit beneficial interests in such shares to a sub-custodian of SEB pursuant to a SDR Issuer Agreement to be entered into between us and SEB. SEB will then issue Octave SDRs representing the Octave Class B Ordinary Shares.</w:t>
      </w:r>
    </w:p>
    <w:p>
      <w:pPr>
        <w:spacing w:after="0" w:line="85"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Each Octave SDR will represent one Octave Class B Ordinary Share deposited with SEB’s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custodian in the United States. While the Octave Class B Ordinary Shares remain listed on Nasdaq New York, the Octave SDR Program will enable investors to trade economically equivalent instruments on Nasdaq Stockholm. Octave currently expects to maintain the listing of the Octave SDRs that represent Octave Class B Ordinary Shares on Nasdaq Stockholm until further notice, which we expect to be for about two years following the date of the Distribution. Octave expects to evaluate the status of the listing on Nasdaq Stockholm from time to time, including based on liquidity considerations, and will provide at least three months’ notice to holders of Octave SDRs prior to termination of the listing of the Octave SDRs on Nasdaq Stockholm.</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summary provides a general description of the material terms of the Octave SDRs. It does not purport to be complete and is qualified in its entirety by reference to the General Terms and Conditions of the Octave SDRs by SEB, which set forth the full legally binding terms governing the Octave SDRs. The General Terms and Conditions of the Octave SDRs are attached as an exhibit to the registration statement of which this information statement forms a part.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of Octave Class B Ordinary Shares, Issuance of Octave SDRs and SDR Register</w:t>
      </w:r>
    </w:p>
    <w:p>
      <w:pPr>
        <w:spacing w:after="0" w:line="17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connection with the Distribution, the Octave Class B Ordinary Shares will be distributed in the form of Octave SDRs to Hexagon shareholders, other than affiliates of Hexagon or Octave. Such Octave Class B Ordinary Shares will be deposited with SEB, via its designated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custodian in the United States. For each whole Octave Class B Ordinary Share deposited, SEB will issue one Octave SDR. No fractional Octave Class B Ordinary Shares will be accepted for deposit, and fractional Octave SDRs will not be issued.</w:t>
      </w:r>
    </w:p>
    <w:p>
      <w:pPr>
        <w:spacing w:after="0" w:line="106"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b w:val="1"/>
          <w:bCs w:val="1"/>
          <w:color w:val="auto"/>
        </w:rPr>
        <w:t>Octave SDRs will be recorded as electronic book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entry entries in the SDR register (the “SDR Register”) maintained by Euroclear Sweden in accordance with the Swedish Central Securities Depositories and Financial Instruments Accounts Act (SFS 1998:1479). No physical Octave SDR certificates will be issued. Octave SDRs may be held either in the holder’s own name or via a nominee, consistent with Euroclear Sweden’s usual practice.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and Payment Dates for Dividends and Distributions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does not expect to pay a regular cash dividend in the near future. The payment of any dividends in the future, and the timing and amount thereof, is within the discretion of the Board of Directors. See “The Separation and the Distribution—Dividend Policy.”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dividends or other distributions are made by Octave, SEB will establish a “record date” corresponding to the record date applicable to holders of the underlying Octave Class B Ordinary Shares. SEB will also establish a payment date (the “Payment Date”), on which any distributions will be made to Octave SDR Holders. Cash dividends on the underlying Octave Class B Ordinary Shares, if and when paid, shall be converted into Swedish kronor (SEK) by SEB at a market exchange rate prevailing on the Payment Date and paid out to Octave SDR Holders less any applicable taxes, fees, or withholding amounts.</w:t>
      </w:r>
    </w:p>
    <w:p>
      <w:pPr>
        <w:spacing w:after="0" w:line="89"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distributions (such as property, securities, or rights) may, at SEB’s discretion and subject to practical considerations, be: (i) distributed in kind (if feasible); or (ii) sold, with net proceeds (after costs and taxes) distributed to Octave SDR Holders in SEK.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 at General Meetings</w:t>
      </w:r>
    </w:p>
    <w:p>
      <w:pPr>
        <w:spacing w:after="0" w:line="17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Any such Octave SDRs will be issued and governed in accordance with Swedish law, the SDR Issuer Agreement and the General Terms and Conditions. An Octave SDR holder will not have equivalent rights as holders of Octave Class B Ordinary Shares, whose rights are governed by Irish law. Because Cede</w:t>
      </w:r>
    </w:p>
    <w:p>
      <w:pPr>
        <w:spacing w:after="0" w:line="1" w:lineRule="exact"/>
        <w:rPr>
          <w:sz w:val="20"/>
          <w:szCs w:val="20"/>
          <w:color w:val="auto"/>
        </w:rPr>
      </w:pPr>
    </w:p>
    <w:p>
      <w:pPr>
        <w:jc w:val="both"/>
        <w:ind w:firstLine="8"/>
        <w:spacing w:after="0" w:line="255" w:lineRule="auto"/>
        <w:tabs>
          <w:tab w:leader="none" w:pos="20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as nominee for DTC, will be the shareholder of record for the Octave Class B Ordinary Shares and SEB’s sub-custodian will have a beneficial interest in the Octave Class B Ordinary Shares represented by all outstanding Octave SDRs, shareholder rights will rest with such record holder and SEB, through the facilities of DTC. An Octave SDR holder’s rights will derive from the General Terms and Conditions.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General Terms and Conditions will generally facilitate Octave SDR holders to indirectly exercise voting rights in respect of the underlying Octave Class B Ordinary Shares at general meetings of shareholders. Octave SDR Holders wishing to vote at a general meeting of shareholders must register with SEB within the timeframe set forth in the SDR Issuer Agreement and follow applicable Swedish proxy procedures. SEB will provide a duly authorized proxy form in accordance with Swedish corporate governance standards, enabling Octave SDR Holders to exercise their voting rights in alignment with shareholders’ entitlements.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Distribution, Octave SDR holders may convert their SDRs into Octave Class B Ordinary shares, traded on Nasdaq New York for the duration of the Octave SDR Program. Such conversion of Octave SDRs into Octave Class B Ordinary Shares will be free of charge for Octave SDR holders</w:t>
      </w:r>
    </w:p>
    <w:p>
      <w:pPr>
        <w:jc w:val="both"/>
        <w:spacing w:after="0" w:line="255" w:lineRule="auto"/>
        <w:rPr>
          <w:sz w:val="20"/>
          <w:szCs w:val="20"/>
          <w:color w:val="auto"/>
        </w:rPr>
      </w:pPr>
      <w:r>
        <w:rPr>
          <w:rFonts w:ascii="Times New Roman" w:cs="Times New Roman" w:eastAsia="Times New Roman" w:hAnsi="Times New Roman"/>
          <w:sz w:val="18"/>
          <w:szCs w:val="18"/>
          <w:color w:val="auto"/>
        </w:rPr>
        <w:t>until 2026, and thereafter require payment of a conversion fee by the Octave SDR holder, its nominee or broker. Octave will provide additional information about how to convert Octave SDRs to Octave Class B Ordinary Shares in a subsequent amendment to the registration statement of which this information statement forms a part.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Actions: Exercise of Rights, Splits, Reorganizations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corporate actions such as rights issues, stock splits (forward or reverse), mergers, acquisitions, or other reorganizations, SEB will use its reasonable efforts to facilitate participation by Octave SDR Holders. If rights (e.g., subscription rights, options) are issued, SEB may arrange for Octave SDR Holders to deposit the underlying rights securities or exercise them, subject to applicable law and operational feasibility. Other securities or instruments distributed through corporate actions may be held for Octave SDR Holders, distributed in kind, or liquidated with net proceeds distributed, as set out above in “—Record and Payment Dates for Dividends and Distributions.”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Deposit and Withdrawal</w:t>
      </w:r>
    </w:p>
    <w:p>
      <w:pPr>
        <w:spacing w:after="0" w:line="17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Octave SDR Holders may surrender their Octave SDRs in exchange for book-entry interests in underlying Octave Class B Ordinary Shares through DTC participants, provided that all applicable legal and tax obligations are satisfied. SEB and the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custodian may refuse withdrawal requests if necessary to comply with legal, regulatory, or contractual transfer restrictions in Sweden, the United States, or other jurisdictions. Withdrawals may also be temporarily suspended or delayed during periods in which Euroclear Sweden’s transfer books or the Company’s share registers are closed, or if required by law or in good faith by SEB or the Company. Following the Distribution, holders of Octave Class B Ordinary Shares will not be permitted to deposit such shares in exchange for new Octave SDRs.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Reports, Notices, and Communications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SEB will endeavor to ensure that Octave SDR Holders receive copies of any notices, annual reports, interim financial statements or other communications the Company provides to shareholders. These materials may be distributed in accordance with Swedish market practice.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SDR Holders are responsible for understanding and complying with relevant taxation laws in applicable jurisdictions. SEB and the Company may require Octave SDR Holders to submit documentation or information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0" w:lineRule="exact"/>
        <w:rPr>
          <w:sz w:val="20"/>
          <w:szCs w:val="20"/>
          <w:color w:val="auto"/>
        </w:rPr>
      </w:pPr>
    </w:p>
    <w:p>
      <w:pPr>
        <w:ind w:right="560"/>
        <w:spacing w:after="0" w:line="438" w:lineRule="auto"/>
        <w:rPr>
          <w:sz w:val="20"/>
          <w:szCs w:val="20"/>
          <w:color w:val="auto"/>
        </w:rPr>
      </w:pPr>
      <w:r>
        <w:rPr>
          <w:rFonts w:ascii="Times New Roman" w:cs="Times New Roman" w:eastAsia="Times New Roman" w:hAnsi="Times New Roman"/>
          <w:sz w:val="18"/>
          <w:szCs w:val="18"/>
          <w:color w:val="auto"/>
        </w:rPr>
        <w:t xml:space="preserve">purposes of withholding, reporting, or regulatory compliance. SEB may withhold amounts from distributions where required by applicable tax laws. </w:t>
      </w:r>
      <w:r>
        <w:rPr>
          <w:rFonts w:ascii="Times New Roman" w:cs="Times New Roman" w:eastAsia="Times New Roman" w:hAnsi="Times New Roman"/>
          <w:sz w:val="18"/>
          <w:szCs w:val="18"/>
          <w:b w:val="1"/>
          <w:bCs w:val="1"/>
          <w:color w:val="auto"/>
        </w:rPr>
        <w:t>Fees and Costs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agreed in the SDR Issuer Agreement, the Company will bear the costs associated with establishing and maintaining the Octave SDR Program. SEB may charge Octave SDR Holders fees in connection with deposit, withdrawal, corporate action processing, or other services, in accordance with SEB’s published fee schedule.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 and Liability of SEB</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SEB’s duties and obligations are limited solely to those expressly set forth in the SDR Issuer Agreement and applicable law. SEB will have no obligation or liability to Octave SDR Holders beyond its duties as depositary. SEB will not be liable for delays or failures caused by force majeure, Euroclear Sweden’s or the sub-custodian’s acts or omissions, or other circumstances beyond SEB’s reasonable control.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SDR Issuer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SDR Issuer Agreement may be amended, supplemented, or terminated by mutual agreement between the Company and SEB. Notice of any such amendment or termination will be provided to Octave SDR Holders in accordance with applicable law. Upon termination, SEB will take reasonable steps to enable Octave SDR Holders to surrender Octave SDRs in exchange for underlying Octave Class B Ordinary Shares or their cash equivalent, in accordance with the terms of the SDR Agreement and applicable law. Upon termination of the Octave SDR Program, all holders of Octave SDRs who have not yet converted their Octave SDRs into Octave Class B Ordinary Shares, will automatically have their Octave SDRs redeemed by SEB, and such Octave Class B Ordinary Shares that the Octave SDRs represent will be sold by SEB on Nasdaq New York. Such sale would take place as soon as practicable after the termination of the Octave SDR Program. The payment of the proceeds from the sale of the Class B Ordinary Shares will be paid pro rata to the holders of such Octave SDRs immediately before the termination of the SDR Issuer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SHAREHOLDER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Distribution, all outstanding Octave Shares are owned beneficially and of record by Hexagon AB. The following tables set forth information with respect to the expected beneficial ownership of Octave Shares immediately following the Distribution, including: (i) each person who we believe will be a beneficial owner of more than 5% of Octave Shares, (ii) each of our expected directors and named executive officers and (iii) all of our expected directors and executive officers as a group.</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Except as noted below, we based the share amounts on each person’s beneficial ownership of Hexagon shares as of</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after giving effect to a</w:t>
            </w: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ratio of</w:t>
            </w:r>
          </w:p>
        </w:tc>
        <w:tc>
          <w:tcPr>
            <w:tcW w:w="3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Octave Class A Ordinary Shares for every</w:t>
            </w:r>
          </w:p>
        </w:tc>
        <w:tc>
          <w:tcPr>
            <w:tcW w:w="2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Hexagon Class A Shares and</w:t>
            </w:r>
          </w:p>
        </w:tc>
        <w:tc>
          <w:tcPr>
            <w:tcW w:w="5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Octave Class B Ordinary Shares</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for every</w:t>
            </w:r>
          </w:p>
        </w:tc>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Hexagon Class B Shares.</w:t>
            </w:r>
          </w:p>
        </w:tc>
        <w:tc>
          <w:tcPr>
            <w:tcW w:w="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60"/>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Immediately following the Distribution, we estimate that</w:t>
            </w:r>
          </w:p>
        </w:tc>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Octave Class A Ordinary Shares and</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Octave Class B Ordinary Shares will be</w:t>
            </w:r>
          </w:p>
        </w:tc>
      </w:tr>
      <w:tr>
        <w:trPr>
          <w:trHeight w:val="216"/>
        </w:trPr>
        <w:tc>
          <w:tcPr>
            <w:tcW w:w="8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issued and outstanding based on the number of Hexagon Class A Shares and Hexagon Class B Shares outstanding as of</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The actual number of</w:t>
            </w:r>
          </w:p>
        </w:tc>
      </w:tr>
      <w:tr>
        <w:trPr>
          <w:trHeight w:val="23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Octave Shares issued in the Distribution will be determined on</w:t>
            </w:r>
          </w:p>
        </w:tc>
        <w:tc>
          <w:tcPr>
            <w:tcW w:w="7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record date.</w:t>
            </w:r>
          </w:p>
        </w:tc>
        <w:tc>
          <w:tcPr>
            <w:tcW w:w="58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Unless otherwise indicated, the address of each named person is 305 Intergraph Way, Madison, Alabama 35758, United States.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306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Octave Class A Ordinary Shares</w:t>
            </w:r>
          </w:p>
        </w:tc>
        <w:tc>
          <w:tcPr>
            <w:tcW w:w="29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Octave Class B Ordinary Shares</w:t>
            </w:r>
          </w:p>
        </w:tc>
        <w:tc>
          <w:tcPr>
            <w:tcW w:w="134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9"/>
              </w:rPr>
              <w:t>% of Total Voting</w:t>
            </w:r>
          </w:p>
        </w:tc>
        <w:tc>
          <w:tcPr>
            <w:tcW w:w="0" w:type="dxa"/>
            <w:vAlign w:val="bottom"/>
          </w:tcPr>
          <w:p>
            <w:pPr>
              <w:spacing w:after="0"/>
              <w:rPr>
                <w:sz w:val="1"/>
                <w:szCs w:val="1"/>
                <w:color w:val="auto"/>
              </w:rPr>
            </w:pPr>
          </w:p>
        </w:tc>
      </w:tr>
      <w:tr>
        <w:trPr>
          <w:trHeight w:val="23"/>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80" w:type="dxa"/>
            <w:vAlign w:val="bottom"/>
            <w:vMerge w:val="continue"/>
          </w:tcPr>
          <w:p>
            <w:pPr>
              <w:spacing w:after="0"/>
              <w:rPr>
                <w:sz w:val="16"/>
                <w:szCs w:val="16"/>
                <w:color w:val="auto"/>
              </w:rPr>
            </w:pPr>
          </w:p>
        </w:tc>
        <w:tc>
          <w:tcPr>
            <w:tcW w:w="14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 of Class</w:t>
            </w:r>
          </w:p>
        </w:tc>
        <w:tc>
          <w:tcPr>
            <w:tcW w:w="14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 of Class</w:t>
            </w:r>
          </w:p>
        </w:tc>
        <w:tc>
          <w:tcPr>
            <w:tcW w:w="13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5% or Greater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Melker Schörling AB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 xml:space="preserve">State Street Bank and Trust Co </w:t>
      </w:r>
      <w:r>
        <w:rPr>
          <w:rFonts w:ascii="Times New Roman" w:cs="Times New Roman" w:eastAsia="Times New Roman" w:hAnsi="Times New Roman"/>
          <w:sz w:val="23"/>
          <w:szCs w:val="23"/>
          <w:color w:val="auto"/>
          <w:vertAlign w:val="superscript"/>
        </w:rPr>
        <w:t>(2)</w:t>
      </w:r>
    </w:p>
    <w:p>
      <w:pPr>
        <w:ind w:left="20"/>
        <w:spacing w:after="0" w:line="218" w:lineRule="auto"/>
        <w:rPr>
          <w:sz w:val="20"/>
          <w:szCs w:val="20"/>
          <w:color w:val="auto"/>
        </w:rPr>
      </w:pPr>
      <w:r>
        <w:rPr>
          <w:rFonts w:ascii="Times New Roman" w:cs="Times New Roman" w:eastAsia="Times New Roman" w:hAnsi="Times New Roman"/>
          <w:sz w:val="18"/>
          <w:szCs w:val="18"/>
          <w:color w:val="auto"/>
        </w:rPr>
        <w:t xml:space="preserve">Swedbank Robur Fonder AB </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All directors, named executive officers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officers as a group</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Distribution, Melker Schörling AB, or “MSAB,” will be the holder of record of the Octave Class A Ordinary Shares and Octave Class B Ordinary Shares set forth in the table above. Based upon information provided by MSAB, Märta Schörling Andreen and Sofia Schörling Högberg exercise shared voting and investment control with respect to such securities. The business address of MSAB is Birger Jarlsgatan 13, SE-111 45, Stockholm, Sweden.</w:t>
      </w:r>
    </w:p>
    <w:p>
      <w:pPr>
        <w:ind w:left="340" w:hanging="332"/>
        <w:spacing w:after="0" w:line="254" w:lineRule="auto"/>
        <w:tabs>
          <w:tab w:leader="none" w:pos="332"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Distribution, State Street Bank and Trust Co will be the holder of record of such Octave Class B Ordinary Shares set forth in the table above. The business address of State Street Bank and Trust Co is One Congress Street, Suite 1, Boston, MA 02114.</w:t>
      </w:r>
    </w:p>
    <w:p>
      <w:pPr>
        <w:jc w:val="both"/>
        <w:ind w:left="340" w:hanging="332"/>
        <w:spacing w:after="0" w:line="267" w:lineRule="auto"/>
        <w:tabs>
          <w:tab w:leader="none" w:pos="332"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Distribution, Swedbank Robur Fonder AB will be the holder of record of such Octave Class B Ordinary Shares set forth in the table above. Swedbank Robur Fonder AB is a wholly owned subsidiary of Swedbank Robur AB, which in turn is a wholly owned subsidiary of Swedbank AB (publ), a company listed on Nasdaq Stockholm. Swedbank Robur Fonder AB conducts fund operations pursuant to the Swedish UCITS Act (SFS 2004:46) and the Alternative Investment Funds Managers Act (SFS 2013:561). The business address of Swedbank Robur Fonder AB is 105 34 Stockholm, Sweden.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will provide that, subject to the provisions of and so far as may be permitted by the Irish Companies Act, the directors and company secretary of Octave are entitled to be indemnified by Octave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 director, officer or employee of Octave and in which judgment is given in his or her favor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a court of competent jurisdiction.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Irish Companies Act, an Irish company may not exempt any of its directors or company secretary from, or indemnify such person against, liability in connection with any negligence, default, breach of duty or breach of trust by such person in relation to the company. However, if judgment is given in such person’s favor or such person is acquitted, or an Irish court grants such person relief from liability on the grounds that such person acted honestly and reasonably and that, having regard to all the circumstances of the case, that person ought fairly to be excused for the wrong concerned, the company may indemnify such person against any liability incurred. Any provision whereby an Irish company seeks to commit in advance to indemnify any of its directors or company secretary over and above the limitations imposed by the Irish Companies Act will be void, whether contained in its articles or any contract between the company and any of its directors or company secretary. This restriction in the Irish Companies Act does not apply to persons who would not be considered “officers” within the meaning of the Irish Companies Act.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as permitted under our Articles and the Irish Companies Act, intends to obtain directors’ and officers’ liability insurance and maintains customary directors’ and officers’ liability insurance and other types of comparable insurance in order to attract and retain qualified directors and officers.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 also intends to enter into an indemnification deed poll in favor of its directors and certain of its executive officers. In addition, due to the more restrictive provisions of the Irish Companies Act in relation to indemnification of directors as described above, one of Octave’s subsidiaries intends to enter into indemnification agreements with each of Octave’s directors and certain executive officers that provide for indemnification to the fullest extent permitted by Delaware law. Our Articles also will contain indemnification and expense advancement provisions for current or former executive officers who are not directors or secretaries of Octave. The forms of the indemnification deed poll and indemnification agreement are attached as exhibits to the registration statement of which this information statement forms a part.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as amended, may be permitted to directors, officers or persons controlling Octave pursuant to the foregoing, Octave has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described above may discourage shareholders from bringing a lawsuit against directors for breaches of their fiduciary duties. These provisions may also have the effect of reducing the likelihood of derivative litigation against Octave’s directors and officers, even though such an action, if successful, might otherwise benefit Octave and its shareholders. However, these provisions will not limit or eliminate Octave’s rights, or those of any shareholder, to seek any non-monetary relief such as injunction or rescission in the event of a breach of a director’s duty of care, nor alter any liability of directors and officers under the U.S. federal securities laws. In addition, your investment may be materially adversely affected to the extent that, in a class action or direct suit, Octave pays the costs of settlement and damage awards against directors and officers pursuant to these indemnification provisions. There is currently no pending material litigation or proceeding against any Octave director, office or employee for which indemnification is being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information statement forms a part, under the Exchange Act and the rules and regulations promulgated under the Exchange Act with respect to the Octave Shares being distributed to Hexagon shareholders in the Distribution. This information statement does not contain all of the information set forth in the registration statement and its exhibits and schedules, to which reference is made hereby. Statements in this information statement as to the contents of any contract, agreement or other document are qualified in all respects by reference to the full text of such contract, agreement or document. If we have filed any of those contracts, agreements or other documents as an exhibit to the registration statement, you should read the full text of such contract, agreement or document for a more complete understanding of the document or matter involved. For further information with respect to us and our share capital, we refer you to the registration statement, of which this information statement forms a part, including the exhibits and the schedules filed as a part of it.</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furnish the holders of Octave Shares with annual reports containing financial statements audited by an independent public accounting firm and file with the SEC quarterly reports for the first three quarters of each fiscal year containing interim unaudited financial information. We also intend to furnish other reports as we may determine or as required by law.</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of which this information statement forms a part, and its exhibits and schedules, and other documents which we file with the SEC are available to the public at the SEC’s website at http://www.sec.gov. You can also obtain reports and other information about us at Nasdaq’s website at https://www.nasdaq.com.</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we file with the SEC after the date of this information statement may supersede the information in this information statement. You may read these reports and other information and obtain copies of such documents and information as described above.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person is authorized to give any information or to make any representations other than those contained in this information statement, and, if given or made, such information or representations must not be relied upon as having been authorized. Neither the delivery of this information statement nor any distribution of securities made hereunder shall imply that there has been no change in the information set forth or in our affairs since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7480" w:type="dxa"/>
            <w:vAlign w:val="bottom"/>
            <w:gridSpan w:val="7"/>
          </w:tcPr>
          <w:p>
            <w:pPr>
              <w:ind w:left="520"/>
              <w:spacing w:after="0"/>
              <w:rPr>
                <w:sz w:val="20"/>
                <w:szCs w:val="20"/>
                <w:color w:val="auto"/>
              </w:rPr>
            </w:pPr>
            <w:r>
              <w:rPr>
                <w:rFonts w:ascii="Times New Roman" w:cs="Times New Roman" w:eastAsia="Times New Roman" w:hAnsi="Times New Roman"/>
                <w:sz w:val="18"/>
                <w:szCs w:val="18"/>
                <w:b w:val="1"/>
                <w:bCs w:val="1"/>
                <w:color w:val="auto"/>
              </w:rPr>
              <w:t>INDEX TO COMBINED FINANCIAL STATEMENTS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Combined Financial Statements</w:t>
            </w: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0440" w:type="dxa"/>
            <w:vAlign w:val="bottom"/>
            <w:gridSpan w:val="8"/>
            <w:vMerge w:val="continue"/>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4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7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FF"/>
              </w:rPr>
              <w:t>F-2</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Combined Balance Sheets as of December 31, 2024 and 2023</w:t>
            </w:r>
          </w:p>
        </w:tc>
        <w:tc>
          <w:tcPr>
            <w:tcW w:w="5980" w:type="dxa"/>
            <w:vAlign w:val="bottom"/>
            <w:gridSpan w:val="5"/>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Combined Statements of Operations for the Years Ended December 31, 2024, 2023 and 2022</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rPr>
              <w:t>F-5</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Combined Statements of Comprehensive Income for the Years Ended December 31, 2024, 2023 and 2022</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Combined Statements of Equity for the Years Ended December 31, 2024, 2023 and 2022</w:t>
            </w:r>
          </w:p>
        </w:tc>
        <w:tc>
          <w:tcPr>
            <w:tcW w:w="404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Combined Statements of Cash Flows for the Years Ended December 31, 2024, 2023 and 2022</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rPr>
              <w:t>F-8</w:t>
            </w:r>
          </w:p>
        </w:tc>
        <w:tc>
          <w:tcPr>
            <w:tcW w:w="0" w:type="dxa"/>
            <w:vAlign w:val="bottom"/>
          </w:tcPr>
          <w:p>
            <w:pPr>
              <w:spacing w:after="0"/>
              <w:rPr>
                <w:sz w:val="1"/>
                <w:szCs w:val="1"/>
                <w:color w:val="auto"/>
              </w:rPr>
            </w:pPr>
          </w:p>
        </w:tc>
      </w:tr>
      <w:tr>
        <w:trPr>
          <w:trHeight w:val="210"/>
        </w:trPr>
        <w:tc>
          <w:tcPr>
            <w:tcW w:w="29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Combined Financial Statements</w:t>
            </w:r>
          </w:p>
        </w:tc>
        <w:tc>
          <w:tcPr>
            <w:tcW w:w="3800" w:type="dxa"/>
            <w:vAlign w:val="bottom"/>
            <w:tcBorders>
              <w:top w:val="single" w:sz="8" w:color="0000FF"/>
            </w:tcBorders>
            <w:gridSpan w:val="5"/>
          </w:tcPr>
          <w:p>
            <w:pPr>
              <w:spacing w:after="0"/>
              <w:rPr>
                <w:sz w:val="18"/>
                <w:szCs w:val="18"/>
                <w:color w:val="auto"/>
              </w:rPr>
            </w:pPr>
          </w:p>
        </w:tc>
        <w:tc>
          <w:tcPr>
            <w:tcW w:w="36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 Unaudited</w:t>
            </w:r>
          </w:p>
        </w:tc>
        <w:tc>
          <w:tcPr>
            <w:tcW w:w="7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0440" w:type="dxa"/>
            <w:vAlign w:val="bottom"/>
            <w:gridSpan w:val="6"/>
            <w:vMerge w:val="continue"/>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4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rPr>
              <w:t>Condensed Combined Balance Sheets as of September 30, 2025 and December 31, 2024</w:t>
            </w:r>
          </w:p>
        </w:tc>
        <w:tc>
          <w:tcPr>
            <w:tcW w:w="78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color w:val="0000FF"/>
              </w:rPr>
              <w:t>F-32</w:t>
            </w:r>
          </w:p>
        </w:tc>
        <w:tc>
          <w:tcPr>
            <w:tcW w:w="0" w:type="dxa"/>
            <w:vAlign w:val="bottom"/>
          </w:tcPr>
          <w:p>
            <w:pPr>
              <w:spacing w:after="0"/>
              <w:rPr>
                <w:sz w:val="1"/>
                <w:szCs w:val="1"/>
                <w:color w:val="auto"/>
              </w:rPr>
            </w:pPr>
          </w:p>
        </w:tc>
      </w:tr>
      <w:tr>
        <w:trPr>
          <w:trHeight w:val="20"/>
        </w:trPr>
        <w:tc>
          <w:tcPr>
            <w:tcW w:w="384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Condensed Combined Statements of Operations for the Nine Months Ended September 30, 2025 and 2024</w:t>
            </w:r>
          </w:p>
        </w:tc>
        <w:tc>
          <w:tcPr>
            <w:tcW w:w="2760" w:type="dxa"/>
            <w:vAlign w:val="bottom"/>
            <w:gridSpan w:val="2"/>
          </w:tcPr>
          <w:p>
            <w:pPr>
              <w:spacing w:after="0"/>
              <w:rPr>
                <w:sz w:val="18"/>
                <w:szCs w:val="18"/>
                <w:color w:val="auto"/>
              </w:rPr>
            </w:pP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F-33</w:t>
            </w:r>
          </w:p>
        </w:tc>
        <w:tc>
          <w:tcPr>
            <w:tcW w:w="0" w:type="dxa"/>
            <w:vAlign w:val="bottom"/>
          </w:tcPr>
          <w:p>
            <w:pPr>
              <w:spacing w:after="0"/>
              <w:rPr>
                <w:sz w:val="1"/>
                <w:szCs w:val="1"/>
                <w:color w:val="auto"/>
              </w:rPr>
            </w:pPr>
          </w:p>
        </w:tc>
      </w:tr>
      <w:tr>
        <w:trPr>
          <w:trHeight w:val="20"/>
        </w:trPr>
        <w:tc>
          <w:tcPr>
            <w:tcW w:w="384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Condensed Combined Statements of Comprehensive Income for the Nine Months Ended September 30, 2025 and 2024</w:t>
            </w: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F-34</w:t>
            </w:r>
          </w:p>
        </w:tc>
        <w:tc>
          <w:tcPr>
            <w:tcW w:w="0" w:type="dxa"/>
            <w:vAlign w:val="bottom"/>
          </w:tcPr>
          <w:p>
            <w:pPr>
              <w:spacing w:after="0"/>
              <w:rPr>
                <w:sz w:val="1"/>
                <w:szCs w:val="1"/>
                <w:color w:val="auto"/>
              </w:rPr>
            </w:pPr>
          </w:p>
        </w:tc>
      </w:tr>
      <w:tr>
        <w:trPr>
          <w:trHeight w:val="20"/>
        </w:trPr>
        <w:tc>
          <w:tcPr>
            <w:tcW w:w="384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Condensed Combined Statements of Equity for the Nine Months Ended September 30, 2025 and 2024</w:t>
            </w:r>
          </w:p>
        </w:tc>
        <w:tc>
          <w:tcPr>
            <w:tcW w:w="1840" w:type="dxa"/>
            <w:vAlign w:val="bottom"/>
          </w:tcPr>
          <w:p>
            <w:pPr>
              <w:spacing w:after="0"/>
              <w:rPr>
                <w:sz w:val="18"/>
                <w:szCs w:val="18"/>
                <w:color w:val="auto"/>
              </w:rPr>
            </w:pP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F-35</w:t>
            </w:r>
          </w:p>
        </w:tc>
        <w:tc>
          <w:tcPr>
            <w:tcW w:w="0" w:type="dxa"/>
            <w:vAlign w:val="bottom"/>
          </w:tcPr>
          <w:p>
            <w:pPr>
              <w:spacing w:after="0"/>
              <w:rPr>
                <w:sz w:val="1"/>
                <w:szCs w:val="1"/>
                <w:color w:val="auto"/>
              </w:rPr>
            </w:pPr>
          </w:p>
        </w:tc>
      </w:tr>
      <w:tr>
        <w:trPr>
          <w:trHeight w:val="20"/>
        </w:trPr>
        <w:tc>
          <w:tcPr>
            <w:tcW w:w="384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Condensed Combined Statements of Cash Flows for the Nine Months Ended September 30, 2025 and 2024</w:t>
            </w:r>
          </w:p>
        </w:tc>
        <w:tc>
          <w:tcPr>
            <w:tcW w:w="2760" w:type="dxa"/>
            <w:vAlign w:val="bottom"/>
            <w:gridSpan w:val="2"/>
          </w:tcPr>
          <w:p>
            <w:pPr>
              <w:spacing w:after="0"/>
              <w:rPr>
                <w:sz w:val="18"/>
                <w:szCs w:val="18"/>
                <w:color w:val="auto"/>
              </w:rPr>
            </w:pP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F-36</w:t>
            </w:r>
          </w:p>
        </w:tc>
        <w:tc>
          <w:tcPr>
            <w:tcW w:w="0" w:type="dxa"/>
            <w:vAlign w:val="bottom"/>
          </w:tcPr>
          <w:p>
            <w:pPr>
              <w:spacing w:after="0"/>
              <w:rPr>
                <w:sz w:val="1"/>
                <w:szCs w:val="1"/>
                <w:color w:val="auto"/>
              </w:rPr>
            </w:pPr>
          </w:p>
        </w:tc>
      </w:tr>
      <w:tr>
        <w:trPr>
          <w:trHeight w:val="20"/>
        </w:trPr>
        <w:tc>
          <w:tcPr>
            <w:tcW w:w="384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Notes To Condensed Combined Financial Statements</w:t>
            </w:r>
          </w:p>
        </w:tc>
        <w:tc>
          <w:tcPr>
            <w:tcW w:w="2760" w:type="dxa"/>
            <w:vAlign w:val="bottom"/>
            <w:gridSpan w:val="2"/>
          </w:tcPr>
          <w:p>
            <w:pPr>
              <w:spacing w:after="0"/>
              <w:rPr>
                <w:sz w:val="18"/>
                <w:szCs w:val="18"/>
                <w:color w:val="auto"/>
              </w:rPr>
            </w:pP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F-37</w:t>
            </w:r>
          </w:p>
        </w:tc>
        <w:tc>
          <w:tcPr>
            <w:tcW w:w="0" w:type="dxa"/>
            <w:vAlign w:val="bottom"/>
          </w:tcPr>
          <w:p>
            <w:pPr>
              <w:spacing w:after="0"/>
              <w:rPr>
                <w:sz w:val="1"/>
                <w:szCs w:val="1"/>
                <w:color w:val="auto"/>
              </w:rPr>
            </w:pPr>
          </w:p>
        </w:tc>
      </w:tr>
      <w:tr>
        <w:trPr>
          <w:trHeight w:val="20"/>
        </w:trPr>
        <w:tc>
          <w:tcPr>
            <w:tcW w:w="384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20"/>
          </w:cols>
          <w:pgMar w:left="340" w:top="1440" w:right="339" w:bottom="1440" w:gutter="0" w:footer="0" w:header="0"/>
        </w:sectPr>
      </w:pPr>
    </w:p>
    <w:bookmarkStart w:id="193" w:name="page194"/>
    <w:bookmarkEnd w:id="193"/>
    <w:p>
      <w:pPr>
        <w:spacing w:after="0" w:line="136" w:lineRule="exact"/>
        <w:rPr>
          <w:sz w:val="20"/>
          <w:szCs w:val="20"/>
          <w:color w:val="auto"/>
        </w:rPr>
      </w:pPr>
    </w:p>
    <w:p>
      <w:pPr>
        <w:ind w:right="3360" w:firstLine="3364"/>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Board of Directors of Hexagon AB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Octave business of Hexagon AB (the “Company”) as of December 31, 2024 and 2023 and the related combined statements of operations, comprehensive income, equity, and cash flows for each of the three years in the period ended December 31, 2024, including the related notes (collectively referred to as the “combined financial statements”). In our opinion, the combined financial statements present fairly, in all material respects, the financial position of the Company as of December 31, 2024, and December 31, 2023 and the results of its operations and its cash flows for each of the three years in the period ended December 31, 2024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combined financial statements in accordance with the standards of the PCAOB. Those standards require that we plan and perform the audits to obtain reasonable assurance about whether the combined financial statements are free of material misstatement, whether due to error or fraud.</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combined financial statements that was communicated or required to be communicated to the audit committee and that (i) relates to accounts or disclosures that are material to the combined financial statements and (ii) involved our especially challenging, subjective, or complex judgments. The communication of critical audit matters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2 Summary of significant accounting policies and Note 3 Revenue from contracts with customers to the combined financial statements, the Company recognizes total revenue of $1,617 million for the year ended December 31, 2024. The company recognizes revenue from three categories: (i) subscriptions, (ii) licenses and (iii) services and other. The Company’s contracts with customers may include a combination of promises to transfer software licenses, maintenance, and services to a user. Judgment is required to determine if the promises are separate performance obligations, and if so, the allocation of the transaction price to each performance obligation is performed. For contracts with multiple performance obligations, revenue is allocated to each performance obligation based on its relative standalone selling price. Services are performed on both a time and materials and a fixed fee basis. For time and materials contracts, revenue is recognized as the services are provided. For fixed-fee contracts, revenue is recognized using the percentage of completion basis, based on the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relative to the total estimated costs, or based on task-based milestones in the contract, which reflect the percentage of effort incurred of the total contract at each period end.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Company’s revenue recognition is a critical audit matter are</w:t>
      </w:r>
    </w:p>
    <w:p>
      <w:pPr>
        <w:spacing w:after="0" w:line="27" w:lineRule="exact"/>
        <w:rPr>
          <w:sz w:val="20"/>
          <w:szCs w:val="20"/>
          <w:color w:val="auto"/>
        </w:rPr>
      </w:pPr>
    </w:p>
    <w:p>
      <w:pPr>
        <w:jc w:val="both"/>
        <w:ind w:firstLine="8"/>
        <w:spacing w:after="0" w:line="255" w:lineRule="auto"/>
        <w:tabs>
          <w:tab w:leader="none" w:pos="22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judgment by management in identifying the separate performance obligations and measuring progress in overtime recognition and (ii) a high degree of audit judgment in performing procedures and evaluating management’s significant judgments. related to identifying the separate performance obligations and measuring progress in overtime recognition.</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combined financial statements. These procedures included (i) procedures to test key application configurations; (ii) analytical procedures ,including procedures related to large transactions, anomalies, unexpected trends or variation; (iii) performed detailed tests of major contracts to validate the reasonableness of significant assumptions related to accuracy in revenue recognition.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PricewaterhouseCoopers AB</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Stockholm, Sweden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February 11,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99,519</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405,447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101,015</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564,483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605,981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6,213,377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6,203,490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1,671,816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1,679,773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8,675,593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Accounts payable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122,216</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315,279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304,926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91,039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560,665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576,782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238,392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96,070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954,875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961,979</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7,795,874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7,801,998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7,673,687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7,713,614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8,675,593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payable include related party accounts payable of $1.9 million and $5.8 million as of December 31, 2024 and 2023, respectively.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787,827</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248,640</w:t>
            </w: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1,290,371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1,208,669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1,036,467</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331,844</w:t>
            </w:r>
          </w:p>
        </w:tc>
      </w:tr>
      <w:tr>
        <w:trPr>
          <w:trHeight w:val="223"/>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Cost of subscriptions and licenses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183,324</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238,137</w:t>
            </w:r>
          </w:p>
        </w:tc>
      </w:tr>
      <w:tr>
        <w:trPr>
          <w:trHeight w:val="223"/>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434,328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450,990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421,461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1,101,500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946,850</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121,604</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299,291</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128,485</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94,569</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649,408</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297,442</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299,702</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43,664</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256,038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78" w:lineRule="auto"/>
        <w:tabs>
          <w:tab w:leader="none" w:pos="332"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subscriptions and licenses include related party cost of subscriptions and licenses of $7.3 million, $27.8 million, and $3.7 million for the years ending December 31, 2024, 2023, and 2022, respectively.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311,207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256,038</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(33,803)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(24,670)</w:t>
            </w:r>
          </w:p>
        </w:tc>
      </w:tr>
      <w:tr>
        <w:trPr>
          <w:trHeight w:val="223"/>
        </w:trPr>
        <w:tc>
          <w:tcPr>
            <w:tcW w:w="6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(33,803)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(24,670)</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277,404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254,468</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231,368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6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Parent investment</w:t>
            </w:r>
          </w:p>
        </w:tc>
        <w:tc>
          <w:tcPr>
            <w:tcW w:w="14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13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6,289,717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6,217,188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256,038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(24,670)</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from Parent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969,988</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44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7,515,743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(97,199)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7,418,544</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from Parent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40,602</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44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7,801,998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(88,384)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7,713,614</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to Parent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(317,331)</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44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7,795,874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7,673,687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1440" w:right="339" w:bottom="1440" w:gutter="0" w:footer="0" w:header="0"/>
        </w:sectPr>
      </w:pPr>
    </w:p>
    <w:bookmarkStart w:id="199" w:name="page200"/>
    <w:bookmarkEnd w:id="19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Combined Statements of Cash Flows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256,038</w:t>
            </w:r>
          </w:p>
        </w:tc>
        <w:tc>
          <w:tcPr>
            <w:tcW w:w="0" w:type="dxa"/>
            <w:vAlign w:val="bottom"/>
          </w:tcPr>
          <w:p>
            <w:pPr>
              <w:spacing w:after="0"/>
              <w:rPr>
                <w:sz w:val="1"/>
                <w:szCs w:val="1"/>
                <w:color w:val="auto"/>
              </w:rPr>
            </w:pPr>
          </w:p>
        </w:tc>
      </w:tr>
      <w:tr>
        <w:trPr>
          <w:trHeight w:val="175"/>
        </w:trPr>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105,641</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0" w:type="dxa"/>
            <w:vAlign w:val="bottom"/>
          </w:tcPr>
          <w:p>
            <w:pPr>
              <w:spacing w:after="0"/>
              <w:rPr>
                <w:sz w:val="1"/>
                <w:szCs w:val="1"/>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Remeasurement of contingent consideration reserves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0" w:type="dxa"/>
            <w:vAlign w:val="bottom"/>
          </w:tcPr>
          <w:p>
            <w:pPr>
              <w:spacing w:after="0"/>
              <w:rPr>
                <w:sz w:val="1"/>
                <w:szCs w:val="1"/>
                <w:color w:val="auto"/>
              </w:rPr>
            </w:pP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 from acquisitions: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(29,583)</w:t>
            </w:r>
          </w:p>
        </w:tc>
        <w:tc>
          <w:tcPr>
            <w:tcW w:w="0" w:type="dxa"/>
            <w:vAlign w:val="bottom"/>
          </w:tcPr>
          <w:p>
            <w:pPr>
              <w:spacing w:after="0"/>
              <w:rPr>
                <w:sz w:val="1"/>
                <w:szCs w:val="1"/>
                <w:color w:val="auto"/>
              </w:rPr>
            </w:pPr>
          </w:p>
        </w:tc>
      </w:tr>
      <w:tr>
        <w:trPr>
          <w:trHeight w:val="229"/>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29"/>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30,502</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20,919</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502,162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436,436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404,574</w:t>
            </w:r>
          </w:p>
        </w:tc>
        <w:tc>
          <w:tcPr>
            <w:tcW w:w="0" w:type="dxa"/>
            <w:vAlign w:val="bottom"/>
          </w:tcPr>
          <w:p>
            <w:pPr>
              <w:spacing w:after="0"/>
              <w:rPr>
                <w:sz w:val="1"/>
                <w:szCs w:val="1"/>
                <w:color w:val="auto"/>
              </w:rPr>
            </w:pP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w:t>
            </w:r>
          </w:p>
        </w:tc>
        <w:tc>
          <w:tcPr>
            <w:tcW w:w="0" w:type="dxa"/>
            <w:vAlign w:val="bottom"/>
          </w:tcPr>
          <w:p>
            <w:pPr>
              <w:spacing w:after="0"/>
              <w:rPr>
                <w:sz w:val="1"/>
                <w:szCs w:val="1"/>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(95,759)</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(1,233,076)</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(165,005)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(432,149)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(1,340,222)</w:t>
            </w:r>
          </w:p>
        </w:tc>
        <w:tc>
          <w:tcPr>
            <w:tcW w:w="0" w:type="dxa"/>
            <w:vAlign w:val="bottom"/>
          </w:tcPr>
          <w:p>
            <w:pPr>
              <w:spacing w:after="0"/>
              <w:rPr>
                <w:sz w:val="1"/>
                <w:szCs w:val="1"/>
                <w:color w:val="auto"/>
              </w:rPr>
            </w:pP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transfers (to) from Parent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959,397</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25,225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953,732</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15,346</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70,404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55,058</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99,519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70,404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61,091</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16,442</w:t>
            </w:r>
          </w:p>
        </w:tc>
        <w:tc>
          <w:tcPr>
            <w:tcW w:w="0" w:type="dxa"/>
            <w:vAlign w:val="bottom"/>
          </w:tcPr>
          <w:p>
            <w:pPr>
              <w:spacing w:after="0"/>
              <w:rPr>
                <w:sz w:val="1"/>
                <w:szCs w:val="1"/>
                <w:color w:val="auto"/>
              </w:rPr>
            </w:pP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17,560</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0" w:type="dxa"/>
            <w:vAlign w:val="bottom"/>
          </w:tcPr>
          <w:p>
            <w:pPr>
              <w:spacing w:after="0"/>
              <w:rPr>
                <w:sz w:val="1"/>
                <w:szCs w:val="1"/>
                <w:color w:val="auto"/>
              </w:rPr>
            </w:pPr>
          </w:p>
        </w:tc>
      </w:tr>
      <w:tr>
        <w:trPr>
          <w:trHeight w:val="234"/>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contingent consideration recognized in connection with acquisitions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60"/>
          </w:cols>
          <w:pgMar w:left="320" w:top="1332" w:right="519" w:bottom="1440" w:gutter="0" w:footer="0" w:header="0"/>
        </w:sectPr>
      </w:pPr>
    </w:p>
    <w:bookmarkStart w:id="200" w:name="page201"/>
    <w:bookmarkEnd w:id="20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noted otherwise)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Combined Financial Statements and notes present the combined results of operations, financial position and cash flows of the Asset Lifecycle Intelligence (“ALI”), Safety, Infrastructure &amp; Geospatial (“SIG”), ETQ and Bricsys businesses (collectively, “Octave” or the “Company”) of Hexagon AB (“Hexagon” or “Parent”).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Octave’s software helps optimize the performance and reliability of the systems that teams depend on so they can act quicker and reduce risk. Octave refers to its suite of software solutions collectively as its platform, noting that different components of the software architecture are at various stages of technical integration and interoperability.On March 4, 2025, Hexagon announced that its board of directors had directed management to prepare for the separation of a single reporting entity comprising its ALI and SIG divisions, as well as the related ETQ and Bricsys businesses, by way of a Lex-ASEA distribution (or Distribution) to its shareholders. The Company expects the transaction to be completed in mid-2026. The separation, Distribution and listing remain subject to final approval of the Hexagon board of directors and shareholders, as well as being subject to other conditions, consents and regulatory approvals. There can be no assurances that a separation, Distribution or listing will occur.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Combined Financial Statements have been derived from the consolidated financial statements and accounting records of Hexagon. These Combined Financial Statements reflect the combined historical results of operations, financial position and cash flows of the Company for the periods presented as historically operated within Hexagon in conformity with generally accepted accounting principles in the United States (“U.S. GAAP”). The Combined Financial Statements may not be indicative of the Company’s future performance and do not necessarily reflect what the financial position, results of operations, and cash flows would have been had it operated as an independent company during the periods presented.</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intracompany transactions have been eliminated. All significant intercompany transactions between Octave and Parent have been included in these Combined Financial Statements. For those transactions between the Company and Parent that are historically settled in cash, the Company has reflected such balances in the Combined Balance Sheets as due from related parties or due to related parties. The total net effect of the settlement of intercompany transactions not historically settled in cash are reflected in the Combined Statements of Cash Flows as a financing activity and in the Combined Balance Sheets as Net Parent investment, with the difference between the amounts presented in the Combined Statements of Equity and the Combined Statements of Cash Flows being attributable to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Hexagon provided certain corporate functions to the Company and costs associated with these functions were allocated to the Company. These functions include, but are not limited to, corporate communications, executive management, legal, human resources, treasury, finance, accounting, information technology, and the related benefit costs associated with such functions, such as stock-based compensation. The costs of such services were allocated to the Company based on direct usage when identifiable, with the remainder allocated on a pro rata basis of revenue of the Company and Hexagon. The charges for these functions are included in Sales and marketing and General and administrative expenses in the Combined Statements of Operations. The Company believes the basis on which the expenses have been allocated are a reasonable reflection of the utilization of services provided to, or the benefit received by, Octave during the periods presented; however, they may not be indicative of the actual expense that would have been incurred had the Company been operating as a standalone company for the periods presented.</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costs that may have been incurred if the Company had been a standalone company would depend on a number of factors, including the organizational structure, pricing power, whether functions were outsourced or performed by employees, and strategic decisions made in areas such as information technology and corporate infrastructure. The Company is unable to quantify the amounts that it would have recorded during the historical periods on a standalone basis, as it is not practicable to do so. Going forward, the Company may perform these functions using its own resources or outsourced services. For an interim period, however, some of these functions may continue to be provided by the Parent under a transition services agreement following the closing. Refer to Note 13, “Related Party Transactions,” for additional information.</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Hexagon utilizes a centralized treasury management function for financing its operations. The cash and cash equivalents held by Hexagon at the corporate level are not specifically identifiable to the Company and therefore have not been reflected in the Combined Balance Sheets. Cash transfers between Hexagon and the Company are accounted for through Net Parent investment. Cash and cash equivalents in the Combined Balance Sheets represent cash and cash equivalents directly identifiable to the Company and its operations. The Combined Financial Statements include certain assets and liabilities that have historically been held at the Hexagon corporate level but are specifically identifiable or otherwise attributable to the Company. Hexagon’s third-party long-term debt and the related interest expense have not been allocated to the Company for any of the periods presented as the Company was not the legal obligor of such debt and the Hexagon borrowings were not directly attributable to the Company. The income tax provision included in these Combined Financial Statements has been calculated using the separate return basis, as if the Company had filed separate tax returns.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U.S. GAAP requires management to make estimates and assumptions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reported amounts of assets and liabilities and the disclosures of contingent assets and liabilities at the date of the financial statements as well as the reported amounts of revenues and expenses during the reporting period. Estimates are based on several factors including the facts and circumstances available at the time the estimates are made, historical experience, risk of loss, general economic conditions and trends, and the assessment of the probable future outcome. Actual results could differ from those estimates. Estimates and assumptions are reviewed periodically, and the effects of changes, if any, are reflected in the Combined Statements of Operations in the period that they are determined.</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Currency Translation: </w:t>
      </w:r>
      <w:r>
        <w:rPr>
          <w:rFonts w:ascii="Times New Roman" w:cs="Times New Roman" w:eastAsia="Times New Roman" w:hAnsi="Times New Roman"/>
          <w:sz w:val="18"/>
          <w:szCs w:val="18"/>
          <w:color w:val="auto"/>
        </w:rPr>
        <w:t>The Company’s reporting currency is the U.S. dollar (“USD”). Assets and liabilities of non-U.S. subsidiaries, where the functional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is not the U.S. dollar, have been translated at year-end exchange rates, and income and expense accounts have been translated using average exchange rates throughout the year. Adjustments resulting from the process of translating an entity’s financial statements into the U.S. dollar have been recorded in the equity section of the Combined Balance Sheets within Accumulated other comprehensive loss. Transactions that are denominated in a currency other than an entity’s functional currency are subject to changes in exchange rates with the resulting gains and losses recorded within Other operating expense, net. Transaction gains and losses in determining net income are not 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and cash equivalents include cash on hand, demand deposits and all highly liquid investments with original maturities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time of purchase of three months or less. The Company maintains amounts on deposit at various financial institutions, which may at times exceed federally insured limits. However, management periodically evaluates the credit-worthiness of those institutions and has not experienced any losses on such deposits during the periods presented.</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Net: </w:t>
      </w:r>
      <w:r>
        <w:rPr>
          <w:rFonts w:ascii="Times New Roman" w:cs="Times New Roman" w:eastAsia="Times New Roman" w:hAnsi="Times New Roman"/>
          <w:sz w:val="18"/>
          <w:szCs w:val="18"/>
          <w:color w:val="auto"/>
        </w:rPr>
        <w:t>Accounts receivable primarily represent receivables from customers for goods and services that have been invoiced but not yet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as well as unbilled receivables for which the Company has recognized revenue but not yet issued an invoice. Accounts receivables are recorded at their invoiced amounts and generally do not accrue interest.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establishes an allowance for doubtful accounts for expected losses during the accounts receivable collection process. The allowance for doubtful accounts reduces the accounts receivable balance to the amount expected to be collected. The development of the allowance for doubtful accounts is based on an expected loss model which considers historical write-off and recovery experience, aging trends affecting specific accounts, and general operational factors affecting all accounts. Provisions for credit losses are recorded to General and administrative expenses on the Combined Statement of Operations. Account balances are charged off against the allowance after all means of collection have been exhausted and the potential for recovery is considered remote.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evaluated for expected credit losses using the same methodology, as they share similar risk characteristics with the Company’s trade accounts receivables arising from the same types of contracts.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current economic trends and considers reasonable and supportable forecasts of future conditions when evaluating the adequacy of the allowance for doubtful accounts. If circumstances relating to specific customers change or unexpected changes occur in the general business environment, the Company's estimate of the recoverability of accounts receivables could be further adjusted.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related to the Company’s allowance for doubtful accounts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24,429</w:t>
            </w:r>
          </w:p>
        </w:tc>
      </w:tr>
      <w:tr>
        <w:trPr>
          <w:trHeight w:val="23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reserve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w:t>
            </w:r>
          </w:p>
        </w:tc>
      </w:tr>
      <w:tr>
        <w:trPr>
          <w:trHeight w:val="22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r>
      <w:tr>
        <w:trPr>
          <w:trHeight w:val="230"/>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which are primarily raw materials, are computed at standard costs which approximate actual costs and are valued at the lower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or net realizable value based on the first-in, first-out method. The Company assesses the valuation of inventory periodically and adjusts the value for estimated excess and obsolete inventory based on future demand and actual usage. Inventory provisions are recorded when the costs are determined to be in excess of anticipated demand or when inventory is considered obsolete.</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Net: </w:t>
      </w:r>
      <w:r>
        <w:rPr>
          <w:rFonts w:ascii="Times New Roman" w:cs="Times New Roman" w:eastAsia="Times New Roman" w:hAnsi="Times New Roman"/>
          <w:sz w:val="18"/>
          <w:szCs w:val="18"/>
          <w:color w:val="auto"/>
        </w:rPr>
        <w:t>Property and equipment are stated at cost, less accumulated depreciation. Assets placed in service are recorded at cost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depreciated using the straight-line method over the estimated useful life of the asset except for leasehold improvements, which are depreciated over the shorter of their economic useful life or their lease term. The range of useful lives used to depreciate property and equipment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6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8 years</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6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to 30 years</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lease term or the estimated useful life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recoverability of the carrying value of its property and equipment whenever events or changes in circumstances indicate that the carrying amount of the asset group may not be recoverable. Recoverability is measured by a comparison of the carrying amount of an asset group to the future net undiscounted cash flows expected to be generated by the asset group. If the undiscounted cash flows are less than the carrying amount of the asset group, an impairment loss is recognized for the amount by which the carrying value of the asset group exceeds the fair value of the asset group.</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The Company records goodwill as the excess of the purchase price over the fair value of the net assets acquired in a business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Subsequent to the closing of a business combination, the Company evaluates and records adjustments, as applicable, to the preliminary amounts recorded over the relevant measurement period, which is not to exceed one year from the acquisition date. Goodwill is assessed for impairment at the reporting unit level annually during the fourth quarter of each year, or if a triggering event occurs or changes in circumstances indicate that the carrying amount may not be fully recoverable. In testing for goodwill impairment, the Company may first qualitatively assess whether it is more likely than not (a likelihood of more than 50%) that a goodwill impairment exists. A qualitative assessment includes a review of qualitative factors, including company-specific (financial performance and long-range plans), industry, and macroeconomic factors, and a consideration of the fair value of the reporting unit at the last valuation date. If it is determined that a quantitative assessment is required, the impairment test compares the carrying value of a reporting unit to its fair value. To the extent that the carrying value of the reporting unit exceeds its estimated fair value, an impairment loss will be recognized for the amount by which the reporting unit’s carrying amount exceeds its fair value, not to exceed the carrying amount of goodwill in that reporting unit. There were no goodwill impairments as a result of the Company’s annual qualitative impairment assessments conducted for the years ended December 31, 2024, 2023, or 2022.</w:t>
      </w:r>
    </w:p>
    <w:p>
      <w:pPr>
        <w:spacing w:after="0" w:line="12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Intangible Assets, Net: </w:t>
      </w:r>
      <w:r>
        <w:rPr>
          <w:rFonts w:ascii="Times New Roman" w:cs="Times New Roman" w:eastAsia="Times New Roman" w:hAnsi="Times New Roman"/>
          <w:sz w:val="18"/>
          <w:szCs w:val="18"/>
          <w:color w:val="auto"/>
        </w:rPr>
        <w:t>Intangible assets consist of developed technology, customer relationships, capitalized software development expenses,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intangible assets, and trademarks. These intangible assets are acquired through business combinations, direct purchases, or internally developed capitalized software.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Development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capitalizes certain costs incurred in connection with the internal development of software for both internal-use and to be sold, leased, or marketed. For all periods presented, the majority of costs incurred, as well as those capitalized, pertain to software to be sold, leased, or marketed.</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Specific to internal-use software, costs incurred during the preliminary project stage, which includes activities such as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evaluating alternatives, and determining performance requirements, are expensed as incurred. Upon completion of the preliminary project stage, management’s authorization and commitment to funding, and that it is probable the project will be completed and the software performs as intended, direct costs such as external contractor fees, payroll, and other related costs are capitalized. Capitalization ceases when the software is substantially complete and ready for its intended use.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Software to be Sold, Leased, or Marketed</w:t>
      </w:r>
      <w:r>
        <w:rPr>
          <w:rFonts w:ascii="Times New Roman" w:cs="Times New Roman" w:eastAsia="Times New Roman" w:hAnsi="Times New Roman"/>
          <w:sz w:val="18"/>
          <w:szCs w:val="18"/>
          <w:color w:val="auto"/>
        </w:rPr>
        <w:t>: Specific to costs of software to be sold, leased, or marketed, costs incurred during the detailed program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stage, which includes activities such as planning, evaluating alternatives, and determining performance requirements, are expensed as incurred. Once technological feasibility is established, after completion and validation of design specifications, including functional, feature, and technical performance requirements, direct costs such as external contractor fees, payroll, and other related costs are capitalized. Capitalization ceases when the software is substantially complete and ready for general release.</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development project does not meet the criteria for capitalization, all associated costs are expensed as incurred. Additionally, if it is not possible to distinguish between the preliminary and development phases, costs are expensed.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Capitalized development expenses are stated at cost, less accumulated amortization and impairment losses. For the years ended December 31, 2024, 2023, and 2022, total costs capitalized were $134.9 million, $122.3 million, and $95.8 million, respectively. The related amortization recorded within Amortization of intangible assets in the Combined Statements of Operations was $54.9 million, $36.7 million, and $25.8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carrying value, estimated useful life, and amortization method of capitalized development costs at least annually, or more frequently if indicators of impairment exist. Adjustments are made as necessary based on changes in expected use or technological obsolescence. During the years ended December 31, 2024 and 2023, the Company recognized impairment charges of $4.0 million and $19.2 million related to certain projects due to the technology becoming obsolete after acquisitions by the Company. These charges were recorded as Other operating expense. There were no impairments during the year ended December 31,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Intangible Assets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Acquisition-related and separately acquired intangible assets are recorded at cost, or, if acquired in a business combination, at fair value as of the acquisition date, less accumulated amortization and impairment losses, if any. The Company’s intangible assets with a finite-life include developed technology, customer relationships, capitalized development expenses, and other intangible assets through business combinations. For finite-life intangible assets, amortization begins when the asset is available for its intended use. Residual values are generally assumed to be zero unless a salvage value is expected.</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finite-life intangible assets for impairment whenever events or changes in circumstances indicate that the carrying amount of an asset may not be recoverable. If the sum of the expected undiscounted future cash flows is less than the carrying amount, an impairment loss is recognized in an amount equal to the excess of the carrying amount over the asset’s fair value. During the year ended December 31, 2023, the Company recognized impairment charges of $3.6 million related to the developed technology of a prior acquisition, which were recorded as expense. There were no impairments during the years ended December 31, 2024 and 2022.</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with a finite-life are amortized on a straight-line basis over their estimated useful lives. The weighted-average estimated useful lives of major intangible asset classes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15 years</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to 25 years</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development expenses</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5 years</w:t>
            </w: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with an indefinite-life include trademarks. Similar to goodwill, indefinite-life intangible assets are assessed for impairment on an annual basis during the fourth quarter or more frequently if certain events occur indicating that the carrying value of the intangible asset may be impaired.</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Acquisitions are recorded using the acquisition method of accounting. The Company includes the operating results of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from their respective dates of acquisition. The Company recognizes and measures the identifiable assets acquired and liabilities assumed as of the acquisition date fair value. The excess, if any, of total consideration transferred in a business combination over the fair value of identifiable assets acquired, liabilities assumed, and any non-controlling interest is recognized as goodwill. Costs incurred as a result of a business combination other than costs related to the issuance of debt or equity securities are recorded in the period the costs are incurred.</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acquisitions contain contingent consideration which is based on the outcome of the acquired company earnings for a predetermined period. At the acquisition date, management estimates the expected fulfillment of these targets, and the contingent consideration is measured at fair value, using the income approach. It is included as part of the total consideration transferred and recognized as a financial liability. The initial fair value measurement is based on the expected outcome of the acquiree’s performance, and the amount expected to be paid by the Company. Subsequent to the acquisition date, contingent consideration classified as a liability is remeasured at fair value at each reporting period, with changes recognized in earnings. Transaction costs related to acquisitions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determines the fair value of the intangible assets using various valuation techniques, including the relief-from-royalty method and the multi-period excess earnings method. The fair values of customer relationships are determined using the multi-period excess earnings method based on discounted projected net cash flows associated with the net earnings attributable to the acquired customer relationships. The projected future cash flows are discounted to present value using an appropriate discount rate. The fair values of developed technology or trade names are estimated utilizing the relief from royalty method, which is a form of the income approach based on royalty rates determined from observed market royalties applied to projected revenue supporting the developed technology and discounted to present value using an appropriate discount rate. These models used to estimate the fair value for the Company’s business combinations utilize certain unobservable inputs classified as Level 3 measurements, as further described in the “Fair Value Measurements” section below.</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determines if an arrangement is a lease at inception of the contract, which is the date on which the terms of the contract are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and the agreement creates enforceable rights and obligations. A contract is or contains a lease when the Company has the right to control the use of an identified asset for a period of time. The commencement date of the lease is the date that the lessor makes an underlying asset available for use by the lessee. On the commencement date, leases are evaluated for classification and assets and liabilities are recognized based on the present value of lease payments over the lease term.</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term used to calculate the lease liability includes options to extend or terminate the lease when it is reasonably certain that the option will be exercised. The right-of-use (“ROU”) asset is initially measured as the amount of lease liability, adjusted for any initial lease costs, prepaid lease payments and any lease incentives.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most leases do not provide an implicit rate, the Company uses the incremental borrowing rate at lease commencement to measure ROU assets and lease liabilities. The Company uses a benchmark senior unsecured yield curve for debt instruments over the similar term, and consider specific credit quality, market conditions, tenor of lease arrangements, and quality of collateral to determine the incremental borrowing rate.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expense is generally recognized on a straight-line basis over the lease term. The Company has elected the practical expedient to account for the lease and non-lease components as a single lease component for all asset classes. For leases with an initial term of one year or less, the Company has elected not to record the ROU asset or liability.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Company’s operations are subject to U.S. federal, state and local and foreign income taxes. In preparing its Combined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Statements and to the extent the Company has historically been included in the Hexagon’s income tax returns, the Company has determined the tax provision for those operations on a separate return basis. The separate return method applies Accounting Standards Codification (“ASC”)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to the standalone financial statements of each member of the consolidated group as if the group members were separate taxpayers. As a result,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included in the consolidated financial statements of Hexagon may not be included in the separate Combined Financial Statements of the Company. Similarly, the tax treatment of certain items reflected in the Combined Financial Statements of the Company may not be reflected in the consolidated financial statements and tax returns of Hexagon. Therefore, items such as net operating losses, credit carryforwards and valuation allowances may exist in the standalone financial statements that may or may not exist in Hexagon’s consolidated financial statements. As such, the income taxes of the Company as presented in the Combined Financial Statements may not be indicative of the income taxes that the Company will generate in the future.</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temporary differences between financial reporting and tax bases of assets and liabilities, applying enacted tax rates expected to be in effect for the year in which the differences are expected to reverse. The Company recognizes future tax benefits, such as net operating losses and tax credits, to the extent that realizing these benefits is considered in its judgment to be more likely than not. The Company regularly reviews the recoverability of its deferred tax assets considering its historic profitability, projected future taxable income, timing of the reversals of existing temporary differences and the feasibility of its tax planning strategies. Where appropriate, the Company records a valuation allowance with respect to a future tax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 recorded liabilities for unrealized tax benefits and may materially affect the Company’s operating results.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 recognizes revenue for the transfer of services or products to customers in an amount that reflects the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the Company expects to be entitled in exchange for those services or products. The principle is achieved through the following five-step approach:</w:t>
      </w:r>
    </w:p>
    <w:p>
      <w:pPr>
        <w:spacing w:after="0" w:line="105" w:lineRule="exact"/>
        <w:rPr>
          <w:sz w:val="20"/>
          <w:szCs w:val="20"/>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the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 three categories: (i) subscriptions, (ii) license and (iii) services and other.</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the practical expedient under ASC 606-10-32-18 and does not account for significant financing components if the period between revenue recognition and when the customer pays for the products or services is one year or less. Additionally, the Company recognizes revenue equal to the amount the Company has a right to invoice when the amount corresponds directly with the value to the customer of the Company’s performance to date. Revenue is recognized net of any taxes collected from customers that are subsequently remitted to governmental authorities.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Subscription revenue includes: (i) monthly subscription licenses, (ii) SaaS-based subscriptions, and (iii) maintenance subscriptions. The Company provides monthly subscription licenses for its software products, allowing the customer to respond to demand and market needs by determining the number of licenses they purchase each month. SaaS-based subscriptions are delivered as turn key solutions delivered on public-cloud infrastructure. Support subscriptions are included in the monthly licenses and SaaS-based subscription price for customers, and cannot be purchased separately. Support subscription revenue also consists of fees for support subscription plan agreements that may have been optionally purchased with a perpetual software license, and renewal fees for the extension of those plans. Under the support subscription plan, customers are eligible to receive unspecified software upgrades and technical support over a specified period, which is typically one year.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monthly subscription licenses is recognized at the point in time the license is granted. Revenue for SaaS-based subscriptions and maintenance subscriptions is generally recognized ratably over the contract term reflecting the continuous transfer of performance obligations to the customer.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License revenue consists of perpetual software licenses for software which is installed on customer-specified servers for a one-time license fee. The Company generally recognizes revenue from perpetual software licenses at the point in time when control of the software is transferred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and Other</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professional services, including installation, configuration, consulting, training, and managed services. These services are performed on both a time and materials and a fixed fee basis. For time and materials contracts, revenue is recognized as the services are provided. For fixed-fee contracts, revenue is recognized using the percentage of completion basis, based on the costs incurred relative to the total estimated costs, or based on task-based milestones in the contract, which reflect the percentage of effort incurred of the total contract at each period end.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contracts with customers may include promises to transfer software licenses (perpetual or term-based), maintenance, and services to a user. A performance obligation is considered distinct if the customer can benefit from the good or service on its own or with other readily available resources and if it is separately identifiable in the contract.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multiple performance obligations, revenue is allocated to each performance obligation based on its relative standalone selling price (“SSP”). The primary method used to estimate the SSP is the price that the Company charges for that good or service when the Company sells it separately in similar circumstances to similar customers.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customers, and these timing differences result in receivables (billed or unbilled), contract assets, or contract liabilities (deferred revenue) on the Combined Balance Sheets.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a contract asset when revenue is recognized prior to the right to invoice, or deferred revenue when revenue is recognized subsequent to invoicing.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time-based agreements, customers are generally invoiced in equal monthly or quarterly amounts, although some customers prefer to be invoiced in single or annual amounts. Payment terms and conditions vary by contract type, although terms generally include a requirement of payment within 30 to 60 days. The Company does not have any material variable consideration, such as obligations for returns, refunds, or warranties.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unbilled receivable when revenue is recognized and the Company has an unconditional right to invoice and receive payment. Unbilled receivables represent amounts that are unbilled due to agreed-upon contractual terms in which billing occurs subsequent to revenue recognition and are included in Accounts receivable in the Combined Balance Sheets. As of December 31, 2024 and 2023, unbilled receivables were $79.7 million and $90.7 million, respectively.</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Financial instruments that potentially subject the Company to significant concentrations of credit risk consist principally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equivalents and accounts receivable. To reduce credit risk, the Company performs ongoing credit evaluations of its customers and limits the amount of credit extended when deemed necessary. Generally, the Company requires no collateral from its customers. The Company maintains an allowance for potential credit losses but historically has not experienced any significant losses related to individual customers or groups of customers in any particular industry or geographic region.</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deposited with financial institutions and invested in money market funds that the Company believes are of high credit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market participants at the measurement date. A three-level fair value hierarchy that prioritizes information used in developing assumptions when pricing an asset or liability as follows:</w:t>
      </w:r>
    </w:p>
    <w:p>
      <w:pPr>
        <w:spacing w:after="0" w:line="119" w:lineRule="exact"/>
        <w:rPr>
          <w:sz w:val="20"/>
          <w:szCs w:val="20"/>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Observable inputs such as quoted prices in active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quoted prices in active markets, that are observable either directly or indirectly;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where there is little or no market data, which requires the reporting entity to develop its own assumptions.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inputs used to measure fair value fall within different levels of the hierarchy, the level within which the fair value measurement is categorized is based on the lowest level input that is significant to the fair value measurement.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are a reasonable estimate of their fair value due to the short-term nature of these instruments.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contingent consideration liabilities are classified within level 3, as it is estimated using inputs that are not observable in the market related to future revenue forecast of the business acquired.</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The Company’s employees have historically participated in the Parent’s stock-based compensation plans.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for stock-based compensation plans using a fair-value based method. Fair value is measured once at the date of grant and is not adjusted for subsequent changes. The Parent’s stock-based compensation plans include programs for performance share awards, which may entitle employees to Class B shares of Hexagon, if performance conditions are met during the measurement period. These are equity classified awards. The Company accounts for forfeitures of awards as they occur.</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Segments: </w:t>
      </w:r>
      <w:r>
        <w:rPr>
          <w:rFonts w:ascii="Times New Roman" w:cs="Times New Roman" w:eastAsia="Times New Roman" w:hAnsi="Times New Roman"/>
          <w:sz w:val="18"/>
          <w:szCs w:val="18"/>
          <w:color w:val="auto"/>
        </w:rPr>
        <w:t>The Company operates as a single operating and reportable segment. Operating segments are defined as components of an enterprise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separate financial information is evaluated regularly by the chief operating decision maker (“CODM”) in deciding how to allocate resources and in assessing performance. The Company’s CODM is the Octave Chief Executive Officer, who reviews financial information presented on a combined basis. The CODM uses Net income, as presented in the Combined Statements of Operations, as the primary measure of profit or loss in assessing the Company’s performance and in making decisions regarding the allocation of resources. The CODM evaluates the components of Net income by comparing budget-to-actual and period-over-period results. The segment expense categories regularly provided to the CODM are the captions presented on the Combined Statements of Operations and, therefore, there are no additional segment expense categories to disclose. The CODM does not use segment asset information to evaluate operating performance or allocate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presented in Note 3, “Revenue from Contracts with Customers,”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which consists of property and equipment and ROU assets, net of depreciation and amortization by geographic region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2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51,432</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59,085</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EMIA</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38,711</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115,551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124,868</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Parent Investment: </w:t>
      </w:r>
      <w:r>
        <w:rPr>
          <w:rFonts w:ascii="Times New Roman" w:cs="Times New Roman" w:eastAsia="Times New Roman" w:hAnsi="Times New Roman"/>
          <w:sz w:val="18"/>
          <w:szCs w:val="18"/>
          <w:color w:val="auto"/>
        </w:rPr>
        <w:t>Net Parent investment in the Combined Balance Sheets represents the Parent’s historical investment in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accumulated net earnings after taxes and the net effect of the transactions with and allocations from the Parent. As the Company has no common capital structure for the combined business, it has not presented historical earnings per share.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The Company considers the applicability and impact of all Accounting Standards Updates (“ASU”)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Accounting Standards Board (“FASB”). ASUs not listed below were assessed and determined to be either not applicable or are expected to have a minimal impact on the Combined Statements of Operations, Combined Balance Sheets and Combined Statements of Cash Flows.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w:t>
      </w:r>
      <w:r>
        <w:rPr>
          <w:rFonts w:ascii="Times New Roman" w:cs="Times New Roman" w:eastAsia="Times New Roman" w:hAnsi="Times New Roman"/>
          <w:sz w:val="18"/>
          <w:szCs w:val="18"/>
          <w:color w:val="auto"/>
        </w:rPr>
        <w:t>s (“ASU 2025-05”). The amendments in ASU 2025-05 provide entities with a practical expedient to simplify the estimation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expected credit losses on current accounts receivable and current contract assets that arise from transactions accounted for under ASC 606, Revenue from Contracts with Customers (“ASC 606”) by allowing the assumption that current conditions as of the balance sheet date will not change during the remaining life of the asset. ASU 2025-05 is effective for the Company and should be applied prospectively, for its annual reporting periods beginning after December 15, 2025, and interim reporting periods within those annual reporting periods. Early adoption is permitted. The Company is currently evaluating the impact ASU 2025-05 will have on its Combined Financial Statements.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FASB issued ASU No. 2024-03, </w:t>
      </w:r>
      <w:r>
        <w:rPr>
          <w:rFonts w:ascii="Times New Roman" w:cs="Times New Roman" w:eastAsia="Times New Roman" w:hAnsi="Times New Roman"/>
          <w:sz w:val="18"/>
          <w:szCs w:val="18"/>
          <w:i w:val="1"/>
          <w:iCs w:val="1"/>
          <w:color w:val="auto"/>
        </w:rPr>
        <w:t>Income Statements-Reporting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which requires enhanced disclosure of income statement expense categories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2024-03; however, other than additional disclosure, the Company does not expect a change to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expands disclosures in an entity's income tax rate reconciliation table and regarding cash taxes paid both in the United States and foreign jurisdictions. ASU 2023-09 is effective for the Company and should be applied prospectively, for the annual reporting period beginning after December 15, 2024. Early adoption is permitted, with retrospective application permitted. The Company is currently evaluating the impact of the adoption of ASU 2023-09 on its Combined Financial Statements and related disclosures.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Recently Adopted Accounting Standards: </w:t>
      </w:r>
      <w:r>
        <w:rPr>
          <w:rFonts w:ascii="Times New Roman" w:cs="Times New Roman" w:eastAsia="Times New Roman" w:hAnsi="Times New Roman"/>
          <w:sz w:val="18"/>
          <w:szCs w:val="18"/>
          <w:color w:val="auto"/>
        </w:rPr>
        <w:t>In November 2023, the FASB issued ASU No. 2023-07,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Reportable Segment Disclosures </w:t>
      </w:r>
      <w:r>
        <w:rPr>
          <w:rFonts w:ascii="Times New Roman" w:cs="Times New Roman" w:eastAsia="Times New Roman" w:hAnsi="Times New Roman"/>
          <w:sz w:val="18"/>
          <w:szCs w:val="18"/>
          <w:color w:val="auto"/>
        </w:rPr>
        <w:t>(“ASU 2023-07”), which expands disclosures about a public entity's reportable segments and requires more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a reportable segment's expenses, segment profit or loss, and how the CODM uses reported segment profit or loss information in assessing segment performance and allocating resources on an interim and annual basis. The Company adopted this ASU during the year ended December 31, 2024 and provided the required disclosure for the years ended December 31, 2024, 2023 and 2022. See “Segments” section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based on the timing of revenue recognition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Recurring revenue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787,827</w:t>
            </w:r>
          </w:p>
        </w:tc>
      </w:tr>
      <w:tr>
        <w:trPr>
          <w:trHeight w:val="229"/>
        </w:trPr>
        <w:tc>
          <w:tcPr>
            <w:tcW w:w="6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Non-recurring revenue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580,484</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monthly subscription licenses, SaaS-based subscriptions, and maintenance subscriptions.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perpetual software licenses and services and other revenue.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region, based upon the location of the end customer,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738,762</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437,309</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192,240</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hanging="332"/>
        <w:spacing w:after="0" w:line="251" w:lineRule="auto"/>
        <w:tabs>
          <w:tab w:leader="none" w:pos="332"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 Revenue attributable to the United States totaled $686.6 million, $688.2 million, and $595.4 million for the years ended December 31, 2024, 2023, and 2022, respectively.</w:t>
      </w:r>
    </w:p>
    <w:p>
      <w:pPr>
        <w:ind w:left="320" w:hanging="312"/>
        <w:spacing w:after="0"/>
        <w:tabs>
          <w:tab w:leader="none" w:pos="3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Company's contract assets relate to performance obligations completed in advance of the right to invoice and are included in Prepaids and other current assets in the Combined Balance Sheets. Contract assets were not material as of December 31, 2024 or 2023.</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consists of billings made or payments received in advance of revenue recognition from subscriptions and services. The primary changes in the Company’s deferred revenue are due to the performance under the contracts and new billings made or payments received in advance of revenue recognition from service, installation, and training. The satisfaction of performance obligations typically lags behind payments received under revenue recognition from contracts with customers. Deferred revenues are short-term in nature and are generally recognized as revenue within 12 months. As of December 31, 2024, and 2023, deferred revenue was $362.5 million and $350.3 million, respectively, and is included within Deferred revenue and Other noncurrent liabilities on the Combined Balance Sheets.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$307.0 million of revenue that was included in the December 31, 2023 deferred revenue balance were recognized. There were additional deferrals of $335.6 million, which were primarily related to new billings. For the year ended December 31, 2023, $276.0 million of revenue that was included in the December 31, 2022 deferred revenue balance were recognized. There were additional deferrals of $296.1 million primarily related to new billings and $20.4 million due to acquisitions.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December 31, 2024, amounts allocated to these remaining performance obligations are $362.5 million, of which the Company expects to recognize approximately 87% over the next 12 months with the remaining amount thereafter.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 with a Customer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an asset for the incremental costs of obtaining a contract with a customer, which consist primarily of direct sales commission earned upon execution of the contract. These contract costs are amortized based on the revenue recognition to which the contract costs relate. The Company has determined that costs under certain sales incentive programs meet the requirements to be capitalized. These costs include the Company's internal sales force compensation program for which the annual compensation is commensurate with annual sales activities.</w:t>
      </w:r>
    </w:p>
    <w:p>
      <w:pPr>
        <w:spacing w:after="0" w:line="12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Amortization of capitalized commission costs are included in Sales and marketing expense in the Combined Statements of Operations. Capitalized commission costs and the corresponding amortization were not material for the years ended December 31, 2024, 2023, and 2022. The Company applies the practical expedient to expense costs as incurred for costs to obtain a contract with a customer when the amortization period would have been one year or less. Accordingly, the Company expenses these costs as incurred when the amortization period is one year or less.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the Company completed two business combinations for aggregate consideration of $30.6 million, net of cash acquired. The contingent consideration for these acquisitions was $10.0 million. The total purchase consideration was allocated as follows: $3.3 million to acquired intangible assets, $28.0 million to goodwill, and $0.7 million to net tangible liabilities. The acquired intangible assets consisted primarily of developed technology, which were valued using the income approach, and are being amortized over 12 years. Of the goodwill recognized with these acquisitions, $0.4 million is expected to be deductible for tax purposes. The Company’s transaction costs related to these 2024 acquisitions were not material.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results of these acquisitions were included in the Combined Financial Statements from their respective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2023, the Company completed two business combinations, Qognify and Projectmates, for aggregate cash consideration of $348.0 million, net of cash acquired. The contingent consideration for these acquisitions was $44.8 million. The total purchase consideration was allocated as follows: $128.3 million to acquired intangible assets, $241.7 million to goodwill, and $22.0 million to net tangible liabilities. The Company acquired intangible assets consisting of $37.2 million of developed technology, $54.3 million of customer relationships, and $36.8 million of trademarks which were valued using the income approach. The developed technology and customer relationships are being amortized over 10 and 20 years, respectively. The goodwill recognized is primarily attributed to the assembled workforce of the acquired businesses, of which $7.1 million is expected to be deductible for tax purposes. Refer to Note 6, “Goodwill and Intangible Assets,” for additional information on measurement period adjustments to goodwill associated with this acquisition. The Company’s transaction costs related to these 2023 acquisitions were not material.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results of this acquisition were included in the Combined Financial Statements from its respective acquisition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2022, the Company completed the acquisition of ETQ, a leading provider of SaaS-based QMS (quality management system), EHS (environment, health and safety) and compliance management software, for cash consideration of $1.2 billion, net of cash acquired. The operating results and balance sheet of the acquired business were included in the Combined Financial Statements as of April 1,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aggregate purchase consideration was allocated as follows: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1,204,847</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 net of cash acquired</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1,187,024</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Allocations: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6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283,100</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935,814</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(22,261)</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1,187,024</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estimated fair value of net assets was recognized as goodwill. The goodwill was primarily attributed to synergies that will be generated with the rest of the Company. Of the goodwill recognized for this acquisition, $734.0 million is expected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acquired identifiable intangible assets, valued using the income approach,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lives (in years)</w:t>
            </w:r>
          </w:p>
        </w:tc>
        <w:tc>
          <w:tcPr>
            <w:tcW w:w="320" w:type="dxa"/>
            <w:vAlign w:val="bottom"/>
          </w:tcPr>
          <w:p>
            <w:pPr>
              <w:spacing w:after="0"/>
              <w:rPr>
                <w:sz w:val="16"/>
                <w:szCs w:val="16"/>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190,000</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283,100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2022 Acquisitions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2022, the Company completed two additional business combinations for aggregate cash consideration of $44.1 million, net of cash acquired. The contingent consideration for these acquisitions was approximately $12.3 million. The total purchase consideration was allocated as follows: $24.0 million of acquired intangible assets, $21.3 million to goodwill, and $1.2 million to net tangible liabilities. The Company acquired intangible assets consisted of $16.5 million of developed technology, $6.7 million of customer relationships and $0.8 million of trademarks, which were valued using the income approach. The developed technology and customer relationships are being amortized over 12 and 15 years, respectively. The goodwill recognized is primarily attributed to the assembled workforce of the acquired businesses, of which none is expected to be deductible for tax purposes. Refer to Note 6, “Goodwill and Intangible Assets,” for additional information on measurement period adjustments to goodwill associated with this acquisition. The Company’s transaction costs related to its 2022 acquisitions were not material.</w:t>
      </w:r>
    </w:p>
    <w:p>
      <w:pPr>
        <w:spacing w:after="0" w:line="138" w:lineRule="exact"/>
        <w:rPr>
          <w:sz w:val="20"/>
          <w:szCs w:val="20"/>
          <w:color w:val="auto"/>
        </w:rPr>
      </w:pPr>
    </w:p>
    <w:p>
      <w:pPr>
        <w:ind w:right="1620"/>
        <w:spacing w:after="0" w:line="438" w:lineRule="auto"/>
        <w:rPr>
          <w:sz w:val="20"/>
          <w:szCs w:val="20"/>
          <w:color w:val="auto"/>
        </w:rPr>
      </w:pPr>
      <w:r>
        <w:rPr>
          <w:rFonts w:ascii="Times New Roman" w:cs="Times New Roman" w:eastAsia="Times New Roman" w:hAnsi="Times New Roman"/>
          <w:sz w:val="18"/>
          <w:szCs w:val="18"/>
          <w:color w:val="auto"/>
        </w:rPr>
        <w:t xml:space="preserve">The financial results of these acquisitions were included in the Combined Financial Statements from their respective acquisition date. </w:t>
      </w:r>
      <w:r>
        <w:rPr>
          <w:rFonts w:ascii="Times New Roman" w:cs="Times New Roman" w:eastAsia="Times New Roman" w:hAnsi="Times New Roman"/>
          <w:sz w:val="18"/>
          <w:szCs w:val="18"/>
          <w:b w:val="1"/>
          <w:bCs w:val="1"/>
          <w:i w:val="1"/>
          <w:iCs w:val="1"/>
          <w:color w:val="auto"/>
        </w:rPr>
        <w:t>Pro Forma Financial Information</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not included pro forma revenue and earnings disclosures for the ETQ acquisition that closed during the year ended December 31, 2022 as the Company did not have access to the pre-close ETQ financial results on a U.S. GAAP basis, as they were not provided at time of close in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Some of the Company’s acquisitions contain contingent consideration which is based on the outcome of the acquired company earnings for a predetermined period. These contingent consideration liabilities are included in Other current liabilities and Other noncurrent liabilities on the Combined Balance Sheets, depending on the expected timing of settlement. The changes in fair value are recognized in Other operating expense, net in the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Activity related to the Company’s contingent consideration is as follows: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34,818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41,008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58,593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61,017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property and equipment, net are as follows: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83,540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98,336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177,070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(115,892)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Property and equipment –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56,433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61,178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$10.7 million, $9.7 million, and $11.1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4,989,679</w:t>
            </w:r>
          </w:p>
        </w:tc>
      </w:tr>
      <w:tr>
        <w:trPr>
          <w:trHeight w:val="229"/>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958,267</w:t>
            </w:r>
          </w:p>
        </w:tc>
      </w:tr>
      <w:tr>
        <w:trPr>
          <w:trHeight w:val="230"/>
        </w:trPr>
        <w:tc>
          <w:tcPr>
            <w:tcW w:w="96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w:t>
            </w:r>
          </w:p>
        </w:tc>
      </w:tr>
      <w:tr>
        <w:trPr>
          <w:trHeight w:val="229"/>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(15,736)</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5,955,030</w:t>
            </w:r>
          </w:p>
        </w:tc>
      </w:tr>
      <w:tr>
        <w:trPr>
          <w:trHeight w:val="223"/>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241,654</w:t>
            </w:r>
          </w:p>
        </w:tc>
      </w:tr>
      <w:tr>
        <w:trPr>
          <w:trHeight w:val="230"/>
        </w:trPr>
        <w:tc>
          <w:tcPr>
            <w:tcW w:w="96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9"/>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6,203,490</w:t>
            </w:r>
          </w:p>
        </w:tc>
      </w:tr>
      <w:tr>
        <w:trPr>
          <w:trHeight w:val="223"/>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28,066</w:t>
            </w:r>
          </w:p>
        </w:tc>
      </w:tr>
      <w:tr>
        <w:trPr>
          <w:trHeight w:val="230"/>
        </w:trPr>
        <w:tc>
          <w:tcPr>
            <w:tcW w:w="96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r>
      <w:tr>
        <w:trPr>
          <w:trHeight w:val="229"/>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6,213,377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7" w:lineRule="auto"/>
        <w:tabs>
          <w:tab w:leader="none" w:pos="332"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goodwill from acquisitions completed within the period, in accordance with the accounting for business combinations, the Company recorded adjustments to goodwill for the effect of changes in the provisional fair values of the assets acquired and liabilities assumed during the measurement period (up to one year from the acquisition date) as the Company obtained new information about facts and circumstances that existed as of the acquisition date that, if known, would have affected the measurement of the amounts recognized as of that date. Refer to Note 4, “Acquisitions,” for additional information about the acquisition.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intangible assets other than goodwill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28"/>
        </w:trPr>
        <w:tc>
          <w:tcPr>
            <w:tcW w:w="27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6"/>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Definite-life intangibles</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584,323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379,662</w:t>
            </w:r>
          </w:p>
        </w:tc>
      </w:tr>
      <w:tr>
        <w:trPr>
          <w:trHeight w:val="229"/>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544,361</w:t>
            </w:r>
          </w:p>
        </w:tc>
      </w:tr>
      <w:tr>
        <w:trPr>
          <w:trHeight w:val="230"/>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development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237,876</w:t>
            </w:r>
          </w:p>
        </w:tc>
      </w:tr>
      <w:tr>
        <w:trPr>
          <w:trHeight w:val="230"/>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w:t>
            </w:r>
          </w:p>
        </w:tc>
      </w:tr>
      <w:tr>
        <w:trPr>
          <w:trHeight w:val="223"/>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definite-life intangibles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2,235,773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(1,053,923)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1,181,850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2,087,205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(914,474)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1,172,731</w:t>
            </w: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Indefinite-life intangibles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507,042</w:t>
            </w:r>
          </w:p>
        </w:tc>
      </w:tr>
      <w:tr>
        <w:trPr>
          <w:trHeight w:val="248"/>
        </w:trPr>
        <w:tc>
          <w:tcPr>
            <w:tcW w:w="2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2,725,739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2,594,247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1,679,773</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amortization expense for intangible assets with a finite-life are reflected in the Combined Statements of Operations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amortization expense</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94,569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amortization expense for the years following December 31, 2024 is estimated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152,971</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133,710</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122,987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101,533</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523,440</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1,181,850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OTHER BALANCE SHEET COMPONENTS</w:t>
            </w: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3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certain balance sheet components is as follows:</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Prepaids and other current assets:</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Prepaids and other current assets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101,015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indirect taxes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reserve</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91,039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operating lease portfolio includes office facilities and automobiles. The majority of the Company’s leases have remaining lease terms of one year to 16 years, some of which include options to extend the leases for five years or more.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portion of the Company’s real estate leases is subject to annual changes in the Consumer Price Index (“CPI”). The changes to the CPI are treated as variable lease payments and recognized in the period in which the obligation for those payments is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expense, which includes immaterial amounts of short-term leases and variable lease costs, was $19.5 million, $19.8 million, and $20.6 million for the years ended December 31, 2024, 2023, and 2022,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 and discount rate information related to the Company’s operating leases as of the end of the period presented are as follows:</w:t>
      </w:r>
    </w:p>
    <w:p>
      <w:pPr>
        <w:spacing w:after="0" w:line="20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468"/>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2024, maturities of lease liabilities are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68"/>
        </w:trPr>
        <w:tc>
          <w:tcPr>
            <w:tcW w:w="7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77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r>
      <w:tr>
        <w:trPr>
          <w:trHeight w:val="230"/>
        </w:trPr>
        <w:tc>
          <w:tcPr>
            <w:tcW w:w="8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10,694</w:t>
            </w:r>
          </w:p>
        </w:tc>
      </w:tr>
      <w:tr>
        <w:trPr>
          <w:trHeight w:val="223"/>
        </w:trPr>
        <w:tc>
          <w:tcPr>
            <w:tcW w:w="8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future operating lease payments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70,073</w:t>
            </w:r>
          </w:p>
        </w:tc>
      </w:tr>
      <w:tr>
        <w:trPr>
          <w:trHeight w:val="230"/>
        </w:trPr>
        <w:tc>
          <w:tcPr>
            <w:tcW w:w="8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 on operating lease liabilities</w:t>
            </w: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(9,416)</w:t>
            </w:r>
          </w:p>
        </w:tc>
      </w:tr>
      <w:tr>
        <w:trPr>
          <w:trHeight w:val="248"/>
        </w:trPr>
        <w:tc>
          <w:tcPr>
            <w:tcW w:w="8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80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60,657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employees have historically participated in the Parent’s stock-based compensation plans. The following disclosures of stock-based compensation expense recognized by the Company are based on the awards and terms previously granted to the Company’s employees. Accordingly, the amounts presented are not necessarily indicative of future awards and do not necessarily reflect the results that the Company would have experienced as an independent company for the periods presented.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cost recognized in the Combined Statements of Operations of the stock-based compensation arrangements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employees of the Company participate in various defined contribution plans sponsored by the Parent, which include employees from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Hexagon subsidiaries. The Company’s share of defined contribution plan costs were $31.1 million, $27.6 million, and $24.6 million, during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before income tax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112,416</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187,286</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326,498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299,702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44,130</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43,664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was enacted, which contained significant law changes related to tax, climate, energy and health care. The tax measures include, among other things, a corporate alternative minimum tax (“CAMT”) of 15% on corporations with three-year average annual adjusted financial statement income (“AFSI”) exceeding $1 billion. The CAMT will be effective for the Company beginning with 2024; however, the Company is not subject for fiscal year 2024 as its average annual AFSI did not exceed $1 billion for the preceding three-year period.</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adopted model rules to implement a global minimum corporate tax of 15% for companies with global revenues and profits above certain thresholds (referred to as “Pillar 2”). The OECD has continued to issue administrative guidance and interpretations regarding the Pillar 2 rules. A number of E.U. and G20 member nations, including locations where the Company currently has operations, are at various stages in the process of enacting tax legislation to incorporate aspects of the Pillar 2 rules. For countries that have adopted the model rules, certain aspects of the Pillar 2 rules became effective in 2024, while other aspects are expected to become effective in 2025. Due to the uncertainty regarding which countries will enact Pillar 2 legislation and in what form the legislation will be adopted, as well as uncertainty regarding the timing of individual country legislative action and the underlying complexity of the rules, the Company is still assessing the impact, if any, of the Pillar 2 legislation. Pillar 2 legislation did not have a material impact on the (Provision) benefit for income taxes in the Combined Financial Statements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United States which contains a broad range of tax reform provisions affecting businesses. The Company is evaluating the full effects of the legislation its effective tax rate and cash tax position. As the legislation was signed into law after the close of December 31, 2024, the impacts are not included in operating results for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statutory federal income tax rate to the Company’s effective income tax rate is as follows:</w:t>
      </w:r>
    </w:p>
    <w:p>
      <w:pPr>
        <w:spacing w:after="0" w:line="205"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8"/>
                <w:szCs w:val="18"/>
                <w:color w:val="auto"/>
              </w:rPr>
            </w:pPr>
          </w:p>
        </w:tc>
      </w:tr>
      <w:tr>
        <w:trPr>
          <w:trHeight w:val="229"/>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9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taxed at rates other than U.S. federal tax rate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9"/>
                <w:szCs w:val="19"/>
                <w:color w:val="auto"/>
              </w:rPr>
            </w:pP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tax laws and rates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9"/>
                <w:szCs w:val="19"/>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cross border transactions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9"/>
                <w:szCs w:val="19"/>
                <w:color w:val="auto"/>
              </w:rPr>
            </w:pP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Withholding tax</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shd w:val="clear" w:color="auto" w:fill="CCEEFF"/>
          </w:tcPr>
          <w:p>
            <w:pPr>
              <w:spacing w:after="0"/>
              <w:rPr>
                <w:sz w:val="19"/>
                <w:szCs w:val="19"/>
                <w:color w:val="auto"/>
              </w:rPr>
            </w:pPr>
          </w:p>
        </w:tc>
      </w:tr>
      <w:tr>
        <w:trPr>
          <w:trHeight w:val="223"/>
        </w:trPr>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24</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6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on income before income taxes was 21% in 2024 as compared with an effective tax rate of 24% on 2023 income before income taxes. Included in the 2024 effective tax rate are U.S. state taxes, tax expense related to the increase to valuation allowances against the deferred tax assets, effects of cross border transactions and the impact of mix of income in lower tax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differences and carryforwards, which give rise to a significant portion of deferred tax assets and liabilities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restructuring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45,536</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20,622</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limitation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121,660</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(14,760)</w:t>
            </w: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131,605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106,900</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(290,707)</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(346,255)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(315,042)</w:t>
            </w:r>
          </w:p>
        </w:tc>
      </w:tr>
      <w:tr>
        <w:trPr>
          <w:trHeight w:val="248"/>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(214,650)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(208,142)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deferred tax liabilities are shown on the Combined Balance Sheets netted on a jurisdictional basis.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increased the valuation allowance by $3.5 million, $4.4 million, and $0.2 million, respectively, which was primarily related to taxable losses in various foreign jurisdictions. A valuation allowance is required when it is more likely than not that all or a portion of deferred tax assets will not be realized. The Company assesses the available positive and negative evidence to estimate whether the existing deferred tax assets will be realized.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permanently reinvested with respect to all foreign earnings. There is no unrecognized deferred tax liability associated with the repatriation of foreign undistributed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deferred tax assets for tax credits and net operating loss (NOLs), primarily related to:</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Begin to Expire</w:t>
            </w:r>
          </w:p>
        </w:tc>
      </w:tr>
      <w:tr>
        <w:trPr>
          <w:trHeight w:val="229"/>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NOL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134,071</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foreign tax credits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NOL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252,833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NOL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102,557</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no unrecognized tax benefits (including interest and penalties). The Company provides for interest and penalties related to unrecognized tax benefits in the provision for income taxes.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income tax provision was calculated using the separate return basis, as if the Company filed hypothetical U.S. Federal, U.S. state and foreign tax returns. For both federal and state tax returns, with few exceptions, the Company is subject to examination from 2019 through 2023. The Company is no longer subject to examination by the Internal Revenue Service (“IRS”) for periods prior to 2019, although carry forwards generated prior to those periods may still be adjusted upon examination by the IRS or state taxing authority if they either have been or will be used in a subsequent period. In the major foreign jurisdictions, the Company could be subject to examination as noted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20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Period Subject to Audit</w:t>
            </w:r>
          </w:p>
        </w:tc>
      </w:tr>
      <w:tr>
        <w:trPr>
          <w:trHeight w:val="23"/>
        </w:trPr>
        <w:tc>
          <w:tcPr>
            <w:tcW w:w="916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2020 - 2024</w:t>
            </w: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2020 - 2024</w:t>
            </w:r>
          </w:p>
        </w:tc>
      </w:tr>
      <w:tr>
        <w:trPr>
          <w:trHeight w:val="22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2015 - 2024</w:t>
            </w:r>
          </w:p>
        </w:tc>
      </w:tr>
      <w:tr>
        <w:trPr>
          <w:trHeight w:val="229"/>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2019 - 2024</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2020 - 2024</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RESTRUCTURING CHARGES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initiated various restructuring plans in an effort to better align its resources with its business strategy. During the years ended December 31, 2024, 2023, and 2022, the charges incurred were primarily comprised of severance payments and termination benefits related to headcount reductions and are included in Other operating expense, net on the Combined Statements of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Activities resulting from restructuring plans are as follows:</w:t>
            </w: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8,546</w:t>
            </w: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Utilization</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6,681</w:t>
            </w:r>
          </w:p>
        </w:tc>
      </w:tr>
      <w:tr>
        <w:trPr>
          <w:trHeight w:val="223"/>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r>
      <w:tr>
        <w:trPr>
          <w:trHeight w:val="230"/>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Utilization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(19,181)</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23,018</w:t>
            </w: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Utilization</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(17,458)</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6,764</w:t>
            </w: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liabilities for severance and related benefits under these plans are included in Other current liabilities on the Combined Balance Sheets as of December 31, 2024. The Company expects to make cash payments to settle these liabilities through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routine legal proceedings, as well as demands, claims and threatened litigation that arise in the normal course of the business. The ultimate outcome of any litigation is often uncertain and unfavorable outcomes could have a negative impact on the results of operations and financial condition. The Company regularly reviews the status of each significant matter and assess its potential financial exposure. If the potential loss from any claim or legal proceeding is considered probable and the amount or the range of loss can be estimated, the Company accrues a liability for the estimated loss. Legal proceedings are subject to uncertainties, and the outcomes are difficult to predict. Because of such uncertainties, accruals are based on the Company’s judgments using the best information available at the time.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no disclosure of estimated loss is required for a claim against us because: (i) there is not a reasonable possibility that a loss exceeding amounts already recognized (if any) may be incurred with respect to such claim; (ii) a reasonably possible loss or range of loss cannot be estimated; or (iii) such estimate is immaterial.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Combined Financial Statements have been prepared on a standalone basis and are derived from the consolidated financial statements and accounting records of Hexagon. The following discussion summarizes activity between the Company and Hexagon.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Purchases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purchases products and services from other subsidiaries of the Parent. Cost of subscriptions &amp; licenses in the Combined Statement of Operations includes purchases made by the Company from the Parent’s subsidiaries of $7.3 million, $27.8 million and $3.7 million for the years ended 2024, 2023 and 2022, respectively. Accounts payable includes $1.9 million and $5.8 million as of December 31, 2024 and 2023, respectively, related to such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General Corporate Expenses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Combined Statements of Operations include expenses for certain centralized functions and other programs provided and administered by Hexagon, as described in Note 1, "Background and Basis of Presentation".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of these services have been allocated to the Company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13,294</w:t>
            </w:r>
          </w:p>
        </w:tc>
      </w:tr>
      <w:tr>
        <w:trPr>
          <w:trHeight w:val="248"/>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corporate allocations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for recognition or disclosure through February 11, 2026, the date the Combined Financial Statements were available to be issued.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and July 2025, the Company sold certain non-core business assets within its Hexagon U.S. Federal business. In 2024, the divested businesses contributed approximately $89.4 million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Combined Balance Sheets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97,214</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383,439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83,830</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564,483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6,213,377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1,671,816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8,611,959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Accounts payable </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114,179</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315,279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560,665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244,574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105,423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1,001,555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954,875</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7,683,097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7,795,874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7,610,404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7,673,687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8,611,959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payable include related party accounts payable of $2.1 million and $1.9 million as of September 30, 2025 and December 31, 2024, respectively.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Combined Statements of Operations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736,237</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193,061</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931,227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929,298</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240,400</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1,189,458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1,169,698</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Cost of subscriptions and licenses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160,496</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162,584</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300,652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323,080</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888,806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846,618</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115,696</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267,018</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105,034</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91,638</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585,022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261,596</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261,752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65,831</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195,921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59" w:lineRule="auto"/>
        <w:tabs>
          <w:tab w:leader="none" w:pos="332"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subscriptions and licenses include related party cost of subscriptions and licenses of $4.5 million and $6.6 million for the nine months ended September 30, 2025 and 2024, respectively.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Combined Statements of Comprehensive Income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195,921</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comprehensive income, net of taxes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196,908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Combined Statements of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6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Parent investment</w:t>
            </w:r>
          </w:p>
        </w:tc>
        <w:tc>
          <w:tcPr>
            <w:tcW w:w="14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13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7,801,999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(88,384)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7,713,615</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195,921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to Parent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(220,275)</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44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7,777,645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(87,397)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7,690,248</w:t>
            </w:r>
          </w:p>
        </w:tc>
        <w:tc>
          <w:tcPr>
            <w:tcW w:w="0" w:type="dxa"/>
            <w:vAlign w:val="bottom"/>
          </w:tcPr>
          <w:p>
            <w:pPr>
              <w:spacing w:after="0"/>
              <w:rPr>
                <w:sz w:val="1"/>
                <w:szCs w:val="1"/>
                <w:color w:val="auto"/>
              </w:rPr>
            </w:pPr>
          </w:p>
        </w:tc>
      </w:tr>
      <w:tr>
        <w:trPr>
          <w:trHeight w:val="236"/>
        </w:trPr>
        <w:tc>
          <w:tcPr>
            <w:tcW w:w="6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7,795,874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7,673,687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to Parent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(261,568)</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44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7,683,097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7,610,404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440" w:right="3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Combined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195,921</w:t>
            </w:r>
          </w:p>
        </w:tc>
      </w:tr>
      <w:tr>
        <w:trPr>
          <w:trHeight w:val="229"/>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100,509</w:t>
            </w:r>
          </w:p>
        </w:tc>
      </w:tr>
      <w:tr>
        <w:trPr>
          <w:trHeight w:val="23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w:t>
            </w:r>
          </w:p>
        </w:tc>
      </w:tr>
      <w:tr>
        <w:trPr>
          <w:trHeight w:val="229"/>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31,736</w:t>
            </w:r>
          </w:p>
        </w:tc>
      </w:tr>
      <w:tr>
        <w:trPr>
          <w:trHeight w:val="23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r>
      <w:tr>
        <w:trPr>
          <w:trHeight w:val="229"/>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Remeasurement of contingent consideration reserves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r>
      <w:tr>
        <w:trPr>
          <w:trHeight w:val="229"/>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(12,927)</w:t>
            </w:r>
          </w:p>
        </w:tc>
      </w:tr>
      <w:tr>
        <w:trPr>
          <w:trHeight w:val="230"/>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divestitures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 from acquisitions: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26,467</w:t>
            </w:r>
          </w:p>
        </w:tc>
      </w:tr>
      <w:tr>
        <w:trPr>
          <w:trHeight w:val="229"/>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14,201</w:t>
            </w:r>
          </w:p>
        </w:tc>
      </w:tr>
      <w:tr>
        <w:trPr>
          <w:trHeight w:val="230"/>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r>
      <w:tr>
        <w:trPr>
          <w:trHeight w:val="229"/>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r>
      <w:tr>
        <w:trPr>
          <w:trHeight w:val="229"/>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15,964</w:t>
            </w:r>
          </w:p>
        </w:tc>
      </w:tr>
      <w:tr>
        <w:trPr>
          <w:trHeight w:val="230"/>
        </w:trPr>
        <w:tc>
          <w:tcPr>
            <w:tcW w:w="79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350,529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366,306</w:t>
            </w: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r>
      <w:tr>
        <w:trPr>
          <w:trHeight w:val="230"/>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(99,643)</w:t>
            </w:r>
          </w:p>
        </w:tc>
      </w:tr>
      <w:tr>
        <w:trPr>
          <w:trHeight w:val="23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(20,671)</w:t>
            </w:r>
          </w:p>
        </w:tc>
      </w:tr>
      <w:tr>
        <w:trPr>
          <w:trHeight w:val="229"/>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divestitures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(70,650)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(128,743)</w:t>
            </w: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transfers to Parent</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(273,854)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(231,127)</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(273,854)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(231,127)</w:t>
            </w:r>
          </w:p>
        </w:tc>
      </w:tr>
      <w:tr>
        <w:trPr>
          <w:trHeight w:val="223"/>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4,886</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99,519</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109,125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104,405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contingent consideration recognized in connection with acquisitions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1332" w:right="339" w:bottom="1440" w:gutter="0" w:footer="0" w:header="0"/>
        </w:sectPr>
      </w:pPr>
    </w:p>
    <w:bookmarkStart w:id="228" w:name="page229"/>
    <w:bookmarkEnd w:id="22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noted otherwise)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Combined Financial Statements and notes present the combined results of operations, financial position and cash flows of the Asset Lifecycle Intelligence (“ALI”), Safety, Infrastructure &amp; Geospatial (“SIG”), ETQ and Bricsys businesses (collectively, “Octave” or the “Company”) of Hexagon AB (“Hexagon” or “Parent”).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Octave’s software helps optimize the performance and reliability of the systems that teams depend on so they can act quicker and reduce risk. Octave refers to its suite of software solutions collectively as its platform, noting that different components of the software architecture are at various stages of technical integration and interoperability.</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4, 2025, Hexagon announced that its board of directors had directed management to prepare for the separation of a single reporting entity comprising its ALI and SIG divisions, as well as the related ETQ and Bricsys businesses, by way of a Lex-ASEA distribution (or Distribution) to its shareholders. The Company expects the transaction to be completed in mid-2026. The separation, Distribution and listing remain subject to final approval of the Hexagon board of directors and shareholders, as well as being subject to other conditions, consents and regulatory approvals. There can be no assurances that a separation, Distribution or listing will occur.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Condensed Combined Financial Statements have been derived from the consolidated financial statements and accounting records of Hexagon. These Condensed Combined Financial Statements reflect the combined historical results of operations, financial position and cash flows of the Company for the periods presented as historically operated within Hexagon in conformity with generally accepted accounting principles in the United States (“U.S. GAAP”). The Condensed Combined Financial Statements may not be indicative of the Company’s future performance and do not necessarily reflect what the financial position, results of operations, and cash flows would have been had it operated as an independent company during the periods presented.</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Condensed Combined Financial Statements have been prepared on the same basis as the annual Combined Financial Statements and, in the opinion of management, reflect all adjustments, which include only normal recurring adjustments, necessary for a fair statement of the results of operations for the periods presented. The December 31, 2024 Condensed Combined Balance Sheet included herein is derived from the audited Combined Financial Statements. The results of operations for the nine months ended September 30, 2025 are not necessarily indicative of the results expected for the remainder of the fiscal year. These unaudited Condensed Combined Financial Statements and accompanying Notes should be read in conjunction with the audited Combined Financial Statements and accompanying Notes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intracompany transactions have been eliminated. All significant intercompany transactions between Octave and Parent have been included in these Condensed Combined Financial Statements. For those transactions between the Company and Parent that are historically settled in cash, the Company has reflected such balances in the Combined Balance Sheets as due from related parties or due to related parties. The total net effect of the settlement of intercompany transactions not historically settled in cash are reflected in the Condensed Combined Statements of Cash Flows as a financing activity and in the Condensed Combined Balance Sheets as Net Parent investment, with the difference between the amounts presented in the Condensed Combined Statements of Equity and the Condensed Combined Statements of Cash Flows being attributable to stock-based compensation.</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Hexagon provided certain corporate functions to the Company and costs associated with these functions were allocated to the Company. The costs of such services were allocated to the Company based on direct usage when identifiable, with the remainder allocated on a pro rata basis of revenue of the Company and Hexagon. The Company believes the basis on which the expenses have been allocated are a reasonable reflection of the utilization of services provided to, or the benefit received by, Octave during the periods presented; however, they may not be indicative of the actual expense that would have been incurred had the Company been operating as a standalone company for the periods presented. Actual costs that may have been incurred if the Company had been a standalone company would depend on a number of factors, including the organizational structure, pricing power, whether functions were outsourced or performed by employees, and strategic decisions made in areas such as information technology and corporate infrastructure.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Hexagon utilizes a centralized treasury management function for financing its operations. The cash and cash equivalents held by Hexagon at the corporate level are not specifically identifiable to the Company and therefore have not been reflected in the Condensed Combined Balance Sheets. Cash transfers between Hexagon and the Company are accounted for through Net Parent investment. Cash and cash equivalents in the Condensed Combined Balance Sheets represent cash and cash equivalents directly identifiable to the Company and its operations. The Condensed Combined Financial Statements include certain assets and liabilities that have historically been held at the Hexagon corporate level but are specifically identifiable or otherwise attributable to the Company. Hexagon’s third-party long-term debt and the related interest expense have not been allocated to the Company for any of the periods presented as the Company was not the legal obligor of such debt and the Hexagon borrowings were not directly attributable to the Company. The income tax provision included in these Condensed Combined Financial Statements has been calculated using the separate return basis, as if the Company had filed separate tax returns.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of the Company are set forth in Note 2 – Summary of Significant Accounting Policies within the Company’s audited Combined Financial Statements as of December 31, 2024. The Company includes herein certain updates to those policies, when appliable.</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The Company considers the applicability and impact of all Accounting Standards Updates (“ASU”)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Accounting Standards Board (“FASB”). ASUs not listed below were assessed and determined to be either not applicable or are expected to have a minimal impact on the Combined Statements of Operations, Combined Balance Sheets and Combined Statements of Cash Flows.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ASU 2025-11 is intended to update the guidance in Topic 270 by improving navigability of the required interim disclosures, clarifying when that guidance is applicable and adding a principle that requires entities to disclose events since the end of the last annual reporting period that have a material impact on the entity. ASU 2025-11 is effective for the Company for interim reporting periods within annual reporting periods beginning after December 15, 2027. Early adoption is permitted. The Company is currently evaluating the impact of the adoption of ASU 2025-11 on its Condensed Combined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The amendments in ASU 2025-06 remove the concept of development stages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introduce a principles-based model for capitalizing internal-use software costs, including those related to agile and cloud-based development. The guidance also consolidates website development costs under ASC 350-40 and enhances disclosure requirements related to software development activities. ASU 2025-06 is effective for the Company for annual reporting periods beginning after December 15, 2027, and interim periods within those annual periods, and should be applied prospectively, with optional retrospective or modified retrospective transition methods. Early adoption is permitted. The Company is currently evaluating the impact of the adoption of ASU 2025-06 on its Combined Financial Statements and related disclosures.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w:t>
      </w:r>
      <w:r>
        <w:rPr>
          <w:rFonts w:ascii="Times New Roman" w:cs="Times New Roman" w:eastAsia="Times New Roman" w:hAnsi="Times New Roman"/>
          <w:sz w:val="18"/>
          <w:szCs w:val="18"/>
          <w:color w:val="auto"/>
        </w:rPr>
        <w:t>s (“ASU 2025-05”). The amendments in ASU 2025-05 provide entities with a practical expedient to simplify the estimation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expected credit losses on current accounts receivable and current contract assets that arise from transactions accounted for under ASC 606, Revenue from Contracts with Customers (“ASC 606”) by allowing the assumption that current conditions as of the balance sheet date will not change during the remaining life of the asset. ASU 2025-05 is effective for the Company and should be applied prospectively, for its annual reporting periods beginning after December 15, 2025, and interim reporting periods within those annual reporting periods. Early adoption is permitted. The Company is currently evaluating the impact ASU 2025-05 will have on its Combined Financial Statements.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FASB issued ASU No. 2024-03, </w:t>
      </w:r>
      <w:r>
        <w:rPr>
          <w:rFonts w:ascii="Times New Roman" w:cs="Times New Roman" w:eastAsia="Times New Roman" w:hAnsi="Times New Roman"/>
          <w:sz w:val="18"/>
          <w:szCs w:val="18"/>
          <w:i w:val="1"/>
          <w:iCs w:val="1"/>
          <w:color w:val="auto"/>
        </w:rPr>
        <w:t>Income Statements-Reporting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which requires enhanced disclosure of income statement expense categories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2024-03; however, other than additional disclosure, the Company does not expect a change to the Combined Financial Statements.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expands disclosures in an entity's income tax rate reconciliation table and regarding cash taxes paid both in the United States and foreign jurisdictions. ASU 2023-09 is effective for the Company and should be applied prospectively, for the annual reporting period beginning after December 15, 2024. Early adoption is permitted, with retrospective application permitted. The Company is currently evaluating the impact of the adoption of ASU 2023-09 on its Combined Financial Statements and related disclosures; however, the Company expects to adopt this ASU with retrospective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based on the timing of revenue recognition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Recurring revenue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736,237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Non-recurring revenue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433,461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1,169,698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(1)  Includes monthly subscription licenses, SaaS-based subscriptions and maintenance subscriptions.</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(2)  Includes perpetual software licenses and services and other revenue.</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Revenue by geographic region, based upon the location of the end customer, are as follows: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613,916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399,355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156,427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1,189,458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1,169,698</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hanging="332"/>
        <w:spacing w:after="0" w:line="251" w:lineRule="auto"/>
        <w:tabs>
          <w:tab w:leader="none" w:pos="332"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 Revenue attributable to the United States totaled $486.5 million and $504.1 million for the nine months ended September 30, 2025 and 2024, respectively.</w:t>
      </w:r>
    </w:p>
    <w:p>
      <w:pPr>
        <w:ind w:left="320" w:hanging="312"/>
        <w:spacing w:after="0"/>
        <w:tabs>
          <w:tab w:leader="none" w:pos="3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the Company's contract assets relate to performance obligations completed in advance of the right to invoice and are included in Prepaids and other current assets in the Condensed Combined Balance Sheets. Contract assets were not material as of September 30, 2025, or December 31, 2024.</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consists of billings made or payments received in advance of revenue recognition from subscriptions and services. The primary changes in the Company’s deferred revenue are due to the performance under the contracts and new billings made or payments received in advance of revenue recognition from service, installation, and support. The satisfaction of performance obligations typically lags behind payments received under revenue recognition from contracts with customers. Deferred revenues are short-term in nature and are generally recognized as revenue within 12 months. As of September 30, 2025 and December 31, 2024, deferred revenue was $391.5 million and $362.5 million, respectively, and is included within Deferred revenue and Other noncurrent liabilities on the Condensed Combined Balance Sheets.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$260.3 million of revenue that was included in the December 31, 2024 deferred revenue balance was recognized. For the nine months ended September 30, 2024, $259.5 million of revenue that was included in the December 31, 2023 deferred revenue balance was recognized.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September 30, 2025, amounts allocated to these remaining performance obligations are $391.5 million, of which the Company expects to recognize approximately 90% over the next 12 months with the remaining amount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the Company completed two business combinations for aggregate consideration of $16.8 million, net of cash acquired. The total purchase consideration was allocated as follows: $2.9 million to acquired intangible assets, $13.8 million to goodwill, and $0.1 million to net tangible assets. The acquired intangible assets consisted primarily of customer relationships and trademarks, which were valued using the income approach. Of the goodwill recognized with these acquisitions, $1.7 million is expected to be deductible for tax purposes.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transaction costs related to these 2025 acquisitions were not material. The financial results of these acquisitions were included in the Combined Financial Statements from their respective acquisition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the Company completed two business combinations for aggregate consideration of $30.7 million, net of cash acquired. The contingent consideration for these acquisitions was $10.0 million. The total purchase consideration was allocated as follows: $3.3 million to acquired intangible assets, $28.0 million to goodwill, and $0.6 million to net tangible liabilities. The acquired intangible assets consisted primarily of developed technology, which were valued using the income approach, and are being amortized over 12 years. Of the goodwill recognized with these acquisitions, $0.4 million is expected to be deductible for tax purposes.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transaction costs related to these 2024 acquisitions were not material. The financial results of these acquisitions were included in the Combined Financial Statements from their respective acquisition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Divestitures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Company divested two non-core businesses for a combined total cash proceeds of $57.0 million. The total divested businesses included $73.6 million of net assets. The Company recorded a loss on divestitures of approximately $16.6 million, which is included in Other (expense) income, net. The Company’s transaction costs related to these 2025 divestitures were not material.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Company’s acquisitions contain contingent consideration which is based on the outcome of the acquired company earnings for a predetermined period. These contingent consideration liabilities are included in Other current liabilities and Other noncurrent liabilities in the Condensed Combined Balance Sheets, depending on the expected timing of settlement. The changes in fair value are recognized in Other operating expense, net in the Condensed Combined Statements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Activity related to the Company’s contingent consideration is as follows:</w:t>
            </w: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61,017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2025</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37,482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9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58,593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2024</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62,673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6,213,377</w:t>
            </w:r>
          </w:p>
        </w:tc>
        <w:tc>
          <w:tcPr>
            <w:tcW w:w="0" w:type="dxa"/>
            <w:vAlign w:val="bottom"/>
          </w:tcPr>
          <w:p>
            <w:pPr>
              <w:spacing w:after="0"/>
              <w:rPr>
                <w:sz w:val="1"/>
                <w:szCs w:val="1"/>
                <w:color w:val="auto"/>
              </w:rPr>
            </w:pPr>
          </w:p>
        </w:tc>
      </w:tr>
      <w:tr>
        <w:trPr>
          <w:trHeight w:val="229"/>
        </w:trPr>
        <w:tc>
          <w:tcPr>
            <w:tcW w:w="2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0" w:type="dxa"/>
            <w:vAlign w:val="bottom"/>
          </w:tcPr>
          <w:p>
            <w:pPr>
              <w:spacing w:after="0"/>
              <w:rPr>
                <w:sz w:val="1"/>
                <w:szCs w:val="1"/>
                <w:color w:val="auto"/>
              </w:rPr>
            </w:pPr>
          </w:p>
        </w:tc>
      </w:tr>
      <w:tr>
        <w:trPr>
          <w:trHeight w:val="229"/>
        </w:trPr>
        <w:tc>
          <w:tcPr>
            <w:tcW w:w="416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37,670</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Divestitures</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(44,570)</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2025</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6,220,318</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Components of intangible assets other than goodwill are as follows: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4"/>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Definite-life intangibles</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576,046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317,367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(242,191)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342,132</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514,280</w:t>
            </w:r>
          </w:p>
        </w:tc>
        <w:tc>
          <w:tcPr>
            <w:tcW w:w="0" w:type="dxa"/>
            <w:vAlign w:val="bottom"/>
          </w:tcPr>
          <w:p>
            <w:pPr>
              <w:spacing w:after="0"/>
              <w:rPr>
                <w:sz w:val="1"/>
                <w:szCs w:val="1"/>
                <w:color w:val="auto"/>
              </w:rPr>
            </w:pPr>
          </w:p>
        </w:tc>
      </w:tr>
      <w:tr>
        <w:trPr>
          <w:trHeight w:val="229"/>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development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314,180</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0" w:type="dxa"/>
            <w:vAlign w:val="bottom"/>
          </w:tcPr>
          <w:p>
            <w:pPr>
              <w:spacing w:after="0"/>
              <w:rPr>
                <w:sz w:val="1"/>
                <w:szCs w:val="1"/>
                <w:color w:val="auto"/>
              </w:rPr>
            </w:pPr>
          </w:p>
        </w:tc>
      </w:tr>
      <w:tr>
        <w:trPr>
          <w:trHeight w:val="223"/>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definite-life intangibles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2,199,539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(1,021,061)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1,178,478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2,235,773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(1,053,923)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1,181,850</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Indefinite-life intangibles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489,966</w:t>
            </w:r>
          </w:p>
        </w:tc>
        <w:tc>
          <w:tcPr>
            <w:tcW w:w="0" w:type="dxa"/>
            <w:vAlign w:val="bottom"/>
          </w:tcPr>
          <w:p>
            <w:pPr>
              <w:spacing w:after="0"/>
              <w:rPr>
                <w:sz w:val="1"/>
                <w:szCs w:val="1"/>
                <w:color w:val="auto"/>
              </w:rPr>
            </w:pPr>
          </w:p>
        </w:tc>
      </w:tr>
      <w:tr>
        <w:trPr>
          <w:trHeight w:val="248"/>
        </w:trPr>
        <w:tc>
          <w:tcPr>
            <w:tcW w:w="2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2,680,667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(1,021,061)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1,659,606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2,725,739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1,671,816</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amortization expense for intangible assets with a finite-life are reflected in the Condensed Combined Statements of Operations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91,638</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amortization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92,494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Development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and 2024, total costs capitalized were $101.8 million and $99.6 million, respectively. The related amortization recorded within Amortization of intangible assets in the Condensed Combined Statements of Operations was $60.1 million and $37.1 million for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BALANCE SHEET COMPONENTS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certain balance sheet components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6"/>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receivables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320,106</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Unbilled receivables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79,713</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(16,380)</w:t>
            </w:r>
          </w:p>
        </w:tc>
      </w:tr>
      <w:tr>
        <w:trPr>
          <w:trHeight w:val="248"/>
        </w:trPr>
        <w:tc>
          <w:tcPr>
            <w:tcW w:w="80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383,439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Prepaids and other 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59,860</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w:t>
            </w:r>
          </w:p>
        </w:tc>
      </w:tr>
      <w:tr>
        <w:trPr>
          <w:trHeight w:val="248"/>
        </w:trPr>
        <w:tc>
          <w:tcPr>
            <w:tcW w:w="80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Prepaids and other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83,830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38,880</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indirect taxes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reserve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r>
      <w:tr>
        <w:trPr>
          <w:trHeight w:val="248"/>
        </w:trPr>
        <w:tc>
          <w:tcPr>
            <w:tcW w:w="80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70,348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operating lease portfolio includes office facilities and automobiles. The majority of the Company’s leases have remaining lease terms of one year to 16 years, some of which include options to extend the leases for five years or more.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portion of the Company’s real estate leases is subject to annual changes in the Consumer Price Index (“CPI”). The changes to the CPI are treated as variable lease payments and recognized in the period in which the obligation for those payments is incurred.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expense, which includes immaterial amounts of short-term leases and variable lease costs, was $15.2 million and $14.7 million for the nine months ended September 30, 2025 and 2024,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 and discount rate information related to the Company’s operating leases as of the end of the period presented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960" w:type="dxa"/>
            <w:vAlign w:val="bottom"/>
            <w:gridSpan w:val="3"/>
          </w:tcPr>
          <w:p>
            <w:pPr>
              <w:ind w:left="15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16"/>
                <w:szCs w:val="16"/>
                <w:color w:val="auto"/>
              </w:rPr>
            </w:pPr>
          </w:p>
        </w:tc>
      </w:tr>
      <w:tr>
        <w:trPr>
          <w:trHeight w:val="23"/>
        </w:trPr>
        <w:tc>
          <w:tcPr>
            <w:tcW w:w="7780" w:type="dxa"/>
            <w:vAlign w:val="bottom"/>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19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5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employees have historically participated in the Parent’s stock-based compensation plans. The following disclosures of stock-based compensation expense recognized by the Company are based on the awards and terms previously granted to the Company’s employees. Accordingly, the amounts presented are not necessarily indicative of future awards and do not necessarily reflect the results that the Company would have experienced as an independent company for the periods presented.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cost recognized in the Condensed Combined Statements of Operations of the stock-based compensation arrangements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20" w:type="dxa"/>
            <w:vAlign w:val="bottom"/>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48"/>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employees of the Company participate in various defined contribution plans sponsored by the Parent, which include employees from other Hexagon subsidiaries. The Company’s share of defined contribution plan costs were $18.2 million and $19.4 million, for the nine months ended September 30, 2025 and 2024,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for income taxes for interim periods are calculated using an estimate of the annual effective income tax rate for the full year to be applied to the respective interim period, taking into account year-to-date results and projected full year results as well as separate consideration for the effect of significant, infrequent or unusual items.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Estimating the Provision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or deductions, and the allocation of income among the jurisdictions in which the Company operates. Changes in any of these estimates could have a material impact on the Company’s provision for income taxes.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effective tax rate was 21% compared to 25% for the nine months ended September 30, 2024. The difference between the effective tax rate and the statutory tax rate primarily relates to the jurisdictional mix of earnings, effects of cross-border transactions, and discrete tax effects of internal restructuring in the third quarter of 2025 in preparation of the Distribution.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Public Law 119-21, commonly referred to as the One Big Beautiful Bill Act (“OBBBA”), was enacted in the U.S. The OBBBA introduces several significant changes, including the permanent extension and modification of certain expiring provisions of the Tax Cuts and Jobs Act. The legislation has multiple effective dates, with certain provisions taking effect in tax year 2025 and others phased in through 2027. There were no material impacts of this legislation on our Condensed Combined Financial Statements for the nine months ended September 30, 2025; however, management will continue to evaluate the full impact of these legislative changes as more guidance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RESTRUCTURING CHARGES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initiated various restructuring plans in an effort to better align its resources with its business strategy. For the nine months ended September 30, 2025 and 2024, the charges incurred were primarily comprised of severance payments and termination benefits related to headcount reductions and are included in Other operating expense, net in the Condensed Combined Statements of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Activities resulting from restructuring plans are as follows: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Utilization</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2025</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39,959</w:t>
            </w:r>
          </w:p>
        </w:tc>
      </w:tr>
      <w:tr>
        <w:trPr>
          <w:trHeight w:val="21"/>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liabilities for severance and related benefits under these plans are included in Other current liabilities in the Condensed Combined Balance Sheets. The Company expects to make cash payments to settle these liabilities through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routine legal proceedings, as well as demands, claims and threatened litigation that arise in the normal course of the business. The ultimate outcome of any litigation is often uncertain and unfavorable outcomes could have a negative impact on the results of operations and financial condition. The Company regularly reviews the status of each significant matter and assesses its potential financial exposure. If the potential loss from any claim or legal proceeding is considered probable and the amount or the range of loss can be estimated, the Company accrues a liability for the estimated loss. Legal proceedings are subject to uncertainties, and the outcomes are difficult to predict. Because of such uncertainties, accruals are based on the Company’s judgments using the best information available at the time.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no disclosure of estimated loss is required for a claim against us because: (i) there is not a reasonable possibility that a loss exceeding amounts already recognized (if any) may be incurred with respect to such claim; (ii) a reasonably possible loss or range of loss cannot be estimated; or (iii) such estimate is immaterial.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Condensed Combined Financial Statements have been prepared on a standalone basis and are derived from the consolidated financial statements and accounting records of Hexagon. The following discussion summarizes activity between the Company and Hexagon.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Purchases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purchases products and services from other subsidiaries of the Parent. Cost of subscriptions &amp; licenses in the Condensed Combined Statement of Operations includes purchases made by the Company from the Parent’s subsidiaries of $4.5 million and $6.6 million for the nine months ended September 30, 2025 and 2024, respectively. Accounts payable includes $2.1 million and $1.9 million as of September 30, 2025 and December 31, 2024, respectively, related to such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General Corporate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Combined Statements of Operations include expenses for certain centralized functions and other programs provided and administered by Hexagon, as described in Note 1, "Background and Basis of Presentation".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 and 2024, allocations of general corporate expenses were $8.3 million and $6.1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for recognition or disclosure through February 11, 2026, the date the Condensed Combined Financial Statements were available to be issued. There were no subsequent events that required recognition or disclosure in these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F6D648"/>
    <w:multiLevelType w:val="hybridMultilevel"/>
    <w:lvl w:ilvl="0">
      <w:lvlJc w:val="left"/>
      <w:lvlText w:val="1"/>
      <w:numFmt w:val="bullet"/>
      <w:start w:val="1"/>
    </w:lvl>
  </w:abstractNum>
  <w:abstractNum w:abstractNumId="1">
    <w:nsid w:val="46B7D447"/>
    <w:multiLevelType w:val="hybridMultilevel"/>
    <w:lvl w:ilvl="0">
      <w:lvlJc w:val="left"/>
      <w:lvlText w:val="(%1)"/>
      <w:numFmt w:val="lowerLetter"/>
      <w:start w:val="1"/>
    </w:lvl>
  </w:abstractNum>
  <w:abstractNum w:abstractNumId="2">
    <w:nsid w:val="4A2AC315"/>
    <w:multiLevelType w:val="hybridMultilevel"/>
    <w:lvl w:ilvl="0">
      <w:lvlJc w:val="left"/>
      <w:lvlText w:val="*"/>
      <w:numFmt w:val="bullet"/>
      <w:start w:val="1"/>
    </w:lvl>
  </w:abstractNum>
  <w:abstractNum w:abstractNumId="3">
    <w:nsid w:val="39EE015C"/>
    <w:multiLevelType w:val="hybridMultilevel"/>
    <w:lvl w:ilvl="0">
      <w:lvlJc w:val="left"/>
      <w:lvlText w:val="*"/>
      <w:numFmt w:val="bullet"/>
      <w:start w:val="1"/>
    </w:lvl>
  </w:abstractNum>
  <w:abstractNum w:abstractNumId="4">
    <w:nsid w:val="57FC4FBB"/>
    <w:multiLevelType w:val="hybridMultilevel"/>
    <w:lvl w:ilvl="0">
      <w:lvlJc w:val="left"/>
      <w:lvlText w:val="©"/>
      <w:numFmt w:val="bullet"/>
      <w:start w:val="1"/>
    </w:lvl>
  </w:abstractNum>
  <w:abstractNum w:abstractNumId="5">
    <w:nsid w:val="CC1016F"/>
    <w:multiLevelType w:val="hybridMultilevel"/>
    <w:lvl w:ilvl="0">
      <w:lvlJc w:val="left"/>
      <w:lvlText w:val="•"/>
      <w:numFmt w:val="bullet"/>
      <w:start w:val="1"/>
    </w:lvl>
  </w:abstractNum>
  <w:abstractNum w:abstractNumId="6">
    <w:nsid w:val="43F18422"/>
    <w:multiLevelType w:val="hybridMultilevel"/>
    <w:lvl w:ilvl="0">
      <w:lvlJc w:val="left"/>
      <w:lvlText w:val="%1:"/>
      <w:numFmt w:val="upperLetter"/>
      <w:start w:val="17"/>
    </w:lvl>
  </w:abstractNum>
  <w:abstractNum w:abstractNumId="7">
    <w:nsid w:val="60EF0119"/>
    <w:multiLevelType w:val="hybridMultilevel"/>
    <w:lvl w:ilvl="0">
      <w:lvlJc w:val="left"/>
      <w:lvlText w:val="%1:"/>
      <w:numFmt w:val="upperLetter"/>
      <w:start w:val="1"/>
    </w:lvl>
  </w:abstractNum>
  <w:abstractNum w:abstractNumId="8">
    <w:nsid w:val="26F324BA"/>
    <w:multiLevelType w:val="hybridMultilevel"/>
    <w:lvl w:ilvl="0">
      <w:lvlJc w:val="left"/>
      <w:lvlText w:val="%1:"/>
      <w:numFmt w:val="upperLetter"/>
      <w:start w:val="17"/>
    </w:lvl>
  </w:abstractNum>
  <w:abstractNum w:abstractNumId="9">
    <w:nsid w:val="7F01579B"/>
    <w:multiLevelType w:val="hybridMultilevel"/>
    <w:lvl w:ilvl="0">
      <w:lvlJc w:val="left"/>
      <w:lvlText w:val="%1:"/>
      <w:numFmt w:val="upperLetter"/>
      <w:start w:val="1"/>
    </w:lvl>
  </w:abstractNum>
  <w:abstractNum w:abstractNumId="10">
    <w:nsid w:val="49DA307D"/>
    <w:multiLevelType w:val="hybridMultilevel"/>
    <w:lvl w:ilvl="0">
      <w:lvlJc w:val="left"/>
      <w:lvlText w:val="%1:"/>
      <w:numFmt w:val="upperLetter"/>
      <w:start w:val="17"/>
    </w:lvl>
  </w:abstractNum>
  <w:abstractNum w:abstractNumId="11">
    <w:nsid w:val="7055A5F5"/>
    <w:multiLevelType w:val="hybridMultilevel"/>
    <w:lvl w:ilvl="0">
      <w:lvlJc w:val="left"/>
      <w:lvlText w:val="%1:"/>
      <w:numFmt w:val="upperLetter"/>
      <w:start w:val="1"/>
    </w:lvl>
  </w:abstractNum>
  <w:abstractNum w:abstractNumId="12">
    <w:nsid w:val="5FB8370B"/>
    <w:multiLevelType w:val="hybridMultilevel"/>
    <w:lvl w:ilvl="0">
      <w:lvlJc w:val="left"/>
      <w:lvlText w:val="%1:"/>
      <w:numFmt w:val="upperLetter"/>
      <w:start w:val="17"/>
    </w:lvl>
  </w:abstractNum>
  <w:abstractNum w:abstractNumId="13">
    <w:nsid w:val="50801EE1"/>
    <w:multiLevelType w:val="hybridMultilevel"/>
    <w:lvl w:ilvl="0">
      <w:lvlJc w:val="left"/>
      <w:lvlText w:val="%1:"/>
      <w:numFmt w:val="upperLetter"/>
      <w:start w:val="1"/>
    </w:lvl>
  </w:abstractNum>
  <w:abstractNum w:abstractNumId="14">
    <w:nsid w:val="488AC1A"/>
    <w:multiLevelType w:val="hybridMultilevel"/>
    <w:lvl w:ilvl="0">
      <w:lvlJc w:val="left"/>
      <w:lvlText w:val="%1:"/>
      <w:numFmt w:val="upperLetter"/>
      <w:start w:val="17"/>
    </w:lvl>
  </w:abstractNum>
  <w:abstractNum w:abstractNumId="15">
    <w:nsid w:val="5FB8011C"/>
    <w:multiLevelType w:val="hybridMultilevel"/>
    <w:lvl w:ilvl="0">
      <w:lvlJc w:val="left"/>
      <w:lvlText w:val="%1:"/>
      <w:numFmt w:val="upperLetter"/>
      <w:start w:val="1"/>
    </w:lvl>
  </w:abstractNum>
  <w:abstractNum w:abstractNumId="16">
    <w:nsid w:val="6AA78F7F"/>
    <w:multiLevelType w:val="hybridMultilevel"/>
    <w:lvl w:ilvl="0">
      <w:lvlJc w:val="left"/>
      <w:lvlText w:val="%1:"/>
      <w:numFmt w:val="upperLetter"/>
      <w:start w:val="17"/>
    </w:lvl>
  </w:abstractNum>
  <w:abstractNum w:abstractNumId="17">
    <w:nsid w:val="7672BD23"/>
    <w:multiLevelType w:val="hybridMultilevel"/>
    <w:lvl w:ilvl="0">
      <w:lvlJc w:val="left"/>
      <w:lvlText w:val="%1:"/>
      <w:numFmt w:val="upperLetter"/>
      <w:start w:val="1"/>
    </w:lvl>
  </w:abstractNum>
  <w:abstractNum w:abstractNumId="18">
    <w:nsid w:val="6FC75AF8"/>
    <w:multiLevelType w:val="hybridMultilevel"/>
    <w:lvl w:ilvl="0">
      <w:lvlJc w:val="left"/>
      <w:lvlText w:val="%1:"/>
      <w:numFmt w:val="upperLetter"/>
      <w:start w:val="17"/>
    </w:lvl>
  </w:abstractNum>
  <w:abstractNum w:abstractNumId="19">
    <w:nsid w:val="6A5F7029"/>
    <w:multiLevelType w:val="hybridMultilevel"/>
    <w:lvl w:ilvl="0">
      <w:lvlJc w:val="left"/>
      <w:lvlText w:val="%1:"/>
      <w:numFmt w:val="upperLetter"/>
      <w:start w:val="1"/>
    </w:lvl>
  </w:abstractNum>
  <w:abstractNum w:abstractNumId="20">
    <w:nsid w:val="7D5E18F8"/>
    <w:multiLevelType w:val="hybridMultilevel"/>
    <w:lvl w:ilvl="0">
      <w:lvlJc w:val="left"/>
      <w:lvlText w:val="%1:"/>
      <w:numFmt w:val="upperLetter"/>
      <w:start w:val="17"/>
    </w:lvl>
  </w:abstractNum>
  <w:abstractNum w:abstractNumId="21">
    <w:nsid w:val="5F3534A4"/>
    <w:multiLevelType w:val="hybridMultilevel"/>
    <w:lvl w:ilvl="0">
      <w:lvlJc w:val="left"/>
      <w:lvlText w:val="%1:"/>
      <w:numFmt w:val="upperLetter"/>
      <w:start w:val="17"/>
    </w:lvl>
  </w:abstractNum>
  <w:abstractNum w:abstractNumId="22">
    <w:nsid w:val="73A1821B"/>
    <w:multiLevelType w:val="hybridMultilevel"/>
    <w:lvl w:ilvl="0">
      <w:lvlJc w:val="left"/>
      <w:lvlText w:val="%1:"/>
      <w:numFmt w:val="upperLetter"/>
      <w:start w:val="17"/>
    </w:lvl>
  </w:abstractNum>
  <w:abstractNum w:abstractNumId="23">
    <w:nsid w:val="7DE67713"/>
    <w:multiLevelType w:val="hybridMultilevel"/>
    <w:lvl w:ilvl="0">
      <w:lvlJc w:val="left"/>
      <w:lvlText w:val="%1:"/>
      <w:numFmt w:val="upperLetter"/>
      <w:start w:val="17"/>
    </w:lvl>
  </w:abstractNum>
  <w:abstractNum w:abstractNumId="24">
    <w:nsid w:val="555C55B5"/>
    <w:multiLevelType w:val="hybridMultilevel"/>
    <w:lvl w:ilvl="0">
      <w:lvlJc w:val="left"/>
      <w:lvlText w:val="%1:"/>
      <w:numFmt w:val="upperLetter"/>
      <w:start w:val="1"/>
    </w:lvl>
  </w:abstractNum>
  <w:abstractNum w:abstractNumId="25">
    <w:nsid w:val="3FA62ACA"/>
    <w:multiLevelType w:val="hybridMultilevel"/>
    <w:lvl w:ilvl="0">
      <w:lvlJc w:val="left"/>
      <w:lvlText w:val="%1:"/>
      <w:numFmt w:val="upperLetter"/>
      <w:start w:val="17"/>
    </w:lvl>
  </w:abstractNum>
  <w:abstractNum w:abstractNumId="26">
    <w:nsid w:val="14FCE74E"/>
    <w:multiLevelType w:val="hybridMultilevel"/>
    <w:lvl w:ilvl="0">
      <w:lvlJc w:val="left"/>
      <w:lvlText w:val="%1:"/>
      <w:numFmt w:val="upperLetter"/>
      <w:start w:val="1"/>
    </w:lvl>
  </w:abstractNum>
  <w:abstractNum w:abstractNumId="27">
    <w:nsid w:val="6A3DD3E8"/>
    <w:multiLevelType w:val="hybridMultilevel"/>
    <w:lvl w:ilvl="0">
      <w:lvlJc w:val="left"/>
      <w:lvlText w:val="%1:"/>
      <w:numFmt w:val="upperLetter"/>
      <w:start w:val="17"/>
    </w:lvl>
  </w:abstractNum>
  <w:abstractNum w:abstractNumId="28">
    <w:nsid w:val="71C91298"/>
    <w:multiLevelType w:val="hybridMultilevel"/>
    <w:lvl w:ilvl="0">
      <w:lvlJc w:val="left"/>
      <w:lvlText w:val="%1:"/>
      <w:numFmt w:val="upperLetter"/>
      <w:start w:val="17"/>
    </w:lvl>
  </w:abstractNum>
  <w:abstractNum w:abstractNumId="29">
    <w:nsid w:val="9DAF632"/>
    <w:multiLevelType w:val="hybridMultilevel"/>
    <w:lvl w:ilvl="0">
      <w:lvlJc w:val="left"/>
      <w:lvlText w:val="%1:"/>
      <w:numFmt w:val="upperLetter"/>
      <w:start w:val="1"/>
    </w:lvl>
  </w:abstractNum>
  <w:abstractNum w:abstractNumId="30">
    <w:nsid w:val="53299938"/>
    <w:multiLevelType w:val="hybridMultilevel"/>
    <w:lvl w:ilvl="0">
      <w:lvlJc w:val="left"/>
      <w:lvlText w:val="%1:"/>
      <w:numFmt w:val="upperLetter"/>
      <w:start w:val="17"/>
    </w:lvl>
  </w:abstractNum>
  <w:abstractNum w:abstractNumId="31">
    <w:nsid w:val="1FBFE8E0"/>
    <w:multiLevelType w:val="hybridMultilevel"/>
    <w:lvl w:ilvl="0">
      <w:lvlJc w:val="left"/>
      <w:lvlText w:val="%1:"/>
      <w:numFmt w:val="upperLetter"/>
      <w:start w:val="1"/>
    </w:lvl>
  </w:abstractNum>
  <w:abstractNum w:abstractNumId="32">
    <w:nsid w:val="5092CA79"/>
    <w:multiLevelType w:val="hybridMultilevel"/>
    <w:lvl w:ilvl="0">
      <w:lvlJc w:val="left"/>
      <w:lvlText w:val="%1:"/>
      <w:numFmt w:val="upperLetter"/>
      <w:start w:val="17"/>
    </w:lvl>
  </w:abstractNum>
  <w:abstractNum w:abstractNumId="33">
    <w:nsid w:val="1D545C4D"/>
    <w:multiLevelType w:val="hybridMultilevel"/>
    <w:lvl w:ilvl="0">
      <w:lvlJc w:val="left"/>
      <w:lvlText w:val="%1:"/>
      <w:numFmt w:val="upperLetter"/>
      <w:start w:val="1"/>
    </w:lvl>
  </w:abstractNum>
  <w:abstractNum w:abstractNumId="34">
    <w:nsid w:val="59ADEA3D"/>
    <w:multiLevelType w:val="hybridMultilevel"/>
    <w:lvl w:ilvl="0">
      <w:lvlJc w:val="left"/>
      <w:lvlText w:val="%1:"/>
      <w:numFmt w:val="upperLetter"/>
      <w:start w:val="17"/>
    </w:lvl>
  </w:abstractNum>
  <w:abstractNum w:abstractNumId="35">
    <w:nsid w:val="288F1A34"/>
    <w:multiLevelType w:val="hybridMultilevel"/>
    <w:lvl w:ilvl="0">
      <w:lvlJc w:val="left"/>
      <w:lvlText w:val="%1:"/>
      <w:numFmt w:val="upperLetter"/>
      <w:start w:val="1"/>
    </w:lvl>
    <w:lvl w:ilvl="1">
      <w:lvlJc w:val="left"/>
      <w:lvlText w:val="•"/>
      <w:numFmt w:val="bullet"/>
      <w:start w:val="1"/>
    </w:lvl>
  </w:abstractNum>
  <w:abstractNum w:abstractNumId="36">
    <w:nsid w:val="2A155DBC"/>
    <w:multiLevelType w:val="hybridMultilevel"/>
    <w:lvl w:ilvl="0">
      <w:lvlJc w:val="left"/>
      <w:lvlText w:val="%1:"/>
      <w:numFmt w:val="upperLetter"/>
      <w:start w:val="16"/>
    </w:lvl>
    <w:lvl w:ilvl="1">
      <w:lvlJc w:val="left"/>
      <w:lvlText w:val="•"/>
      <w:numFmt w:val="bullet"/>
      <w:start w:val="1"/>
    </w:lvl>
  </w:abstractNum>
  <w:abstractNum w:abstractNumId="37">
    <w:nsid w:val="1D9F6E5F"/>
    <w:multiLevelType w:val="hybridMultilevel"/>
    <w:lvl w:ilvl="0">
      <w:lvlJc w:val="left"/>
      <w:lvlText w:val="%1:"/>
      <w:numFmt w:val="upperLetter"/>
      <w:start w:val="1"/>
    </w:lvl>
  </w:abstractNum>
  <w:abstractNum w:abstractNumId="38">
    <w:nsid w:val="97E1B4E"/>
    <w:multiLevelType w:val="hybridMultilevel"/>
    <w:lvl w:ilvl="0">
      <w:lvlJc w:val="left"/>
      <w:lvlText w:val="%1:"/>
      <w:numFmt w:val="upperLetter"/>
      <w:start w:val="17"/>
    </w:lvl>
  </w:abstractNum>
  <w:abstractNum w:abstractNumId="39">
    <w:nsid w:val="51088277"/>
    <w:multiLevelType w:val="hybridMultilevel"/>
    <w:lvl w:ilvl="0">
      <w:lvlJc w:val="left"/>
      <w:lvlText w:val="%1:"/>
      <w:numFmt w:val="upperLetter"/>
      <w:start w:val="1"/>
    </w:lvl>
  </w:abstractNum>
  <w:abstractNum w:abstractNumId="40">
    <w:nsid w:val="1CA0C5FA"/>
    <w:multiLevelType w:val="hybridMultilevel"/>
    <w:lvl w:ilvl="0">
      <w:lvlJc w:val="left"/>
      <w:lvlText w:val="%1:"/>
      <w:numFmt w:val="upperLetter"/>
      <w:start w:val="17"/>
    </w:lvl>
  </w:abstractNum>
  <w:abstractNum w:abstractNumId="41">
    <w:nsid w:val="53584BCB"/>
    <w:multiLevelType w:val="hybridMultilevel"/>
    <w:lvl w:ilvl="0">
      <w:lvlJc w:val="left"/>
      <w:lvlText w:val="%1:"/>
      <w:numFmt w:val="upperLetter"/>
      <w:start w:val="1"/>
    </w:lvl>
  </w:abstractNum>
  <w:abstractNum w:abstractNumId="42">
    <w:nsid w:val="415E286C"/>
    <w:multiLevelType w:val="hybridMultilevel"/>
    <w:lvl w:ilvl="0">
      <w:lvlJc w:val="left"/>
      <w:lvlText w:val="%1:"/>
      <w:numFmt w:val="upperLetter"/>
      <w:start w:val="17"/>
    </w:lvl>
  </w:abstractNum>
  <w:abstractNum w:abstractNumId="43">
    <w:nsid w:val="7C58FD05"/>
    <w:multiLevelType w:val="hybridMultilevel"/>
    <w:lvl w:ilvl="0">
      <w:lvlJc w:val="left"/>
      <w:lvlText w:val="%1:"/>
      <w:numFmt w:val="upperLetter"/>
      <w:start w:val="1"/>
    </w:lvl>
  </w:abstractNum>
  <w:abstractNum w:abstractNumId="44">
    <w:nsid w:val="23D86AAC"/>
    <w:multiLevelType w:val="hybridMultilevel"/>
    <w:lvl w:ilvl="0">
      <w:lvlJc w:val="left"/>
      <w:lvlText w:val="%1:"/>
      <w:numFmt w:val="upperLetter"/>
      <w:start w:val="17"/>
    </w:lvl>
  </w:abstractNum>
  <w:abstractNum w:abstractNumId="45">
    <w:nsid w:val="45E6D486"/>
    <w:multiLevelType w:val="hybridMultilevel"/>
    <w:lvl w:ilvl="0">
      <w:lvlJc w:val="left"/>
      <w:lvlText w:val="%1:"/>
      <w:numFmt w:val="upperLetter"/>
      <w:start w:val="1"/>
    </w:lvl>
  </w:abstractNum>
  <w:abstractNum w:abstractNumId="46">
    <w:nsid w:val="5C10FE21"/>
    <w:multiLevelType w:val="hybridMultilevel"/>
    <w:lvl w:ilvl="0">
      <w:lvlJc w:val="left"/>
      <w:lvlText w:val="%1:"/>
      <w:numFmt w:val="upperLetter"/>
      <w:start w:val="17"/>
    </w:lvl>
  </w:abstractNum>
  <w:abstractNum w:abstractNumId="47">
    <w:nsid w:val="E7FFA2B"/>
    <w:multiLevelType w:val="hybridMultilevel"/>
    <w:lvl w:ilvl="0">
      <w:lvlJc w:val="left"/>
      <w:lvlText w:val="%1:"/>
      <w:numFmt w:val="upperLetter"/>
      <w:start w:val="1"/>
    </w:lvl>
  </w:abstractNum>
  <w:abstractNum w:abstractNumId="48">
    <w:nsid w:val="3C5991AA"/>
    <w:multiLevelType w:val="hybridMultilevel"/>
    <w:lvl w:ilvl="0">
      <w:lvlJc w:val="left"/>
      <w:lvlText w:val="%1:"/>
      <w:numFmt w:val="upperLetter"/>
      <w:start w:val="17"/>
    </w:lvl>
  </w:abstractNum>
  <w:abstractNum w:abstractNumId="49">
    <w:nsid w:val="4BD8591A"/>
    <w:multiLevelType w:val="hybridMultilevel"/>
    <w:lvl w:ilvl="0">
      <w:lvlJc w:val="left"/>
      <w:lvlText w:val="%1:"/>
      <w:numFmt w:val="upperLetter"/>
      <w:start w:val="1"/>
    </w:lvl>
  </w:abstractNum>
  <w:abstractNum w:abstractNumId="50">
    <w:nsid w:val="78DF6A55"/>
    <w:multiLevelType w:val="hybridMultilevel"/>
    <w:lvl w:ilvl="0">
      <w:lvlJc w:val="left"/>
      <w:lvlText w:val="%1:"/>
      <w:numFmt w:val="upperLetter"/>
      <w:start w:val="17"/>
    </w:lvl>
  </w:abstractNum>
  <w:abstractNum w:abstractNumId="51">
    <w:nsid w:val="39B7AAA2"/>
    <w:multiLevelType w:val="hybridMultilevel"/>
    <w:lvl w:ilvl="0">
      <w:lvlJc w:val="left"/>
      <w:lvlText w:val="%1:"/>
      <w:numFmt w:val="upperLetter"/>
      <w:start w:val="1"/>
    </w:lvl>
  </w:abstractNum>
  <w:abstractNum w:abstractNumId="52">
    <w:nsid w:val="2B0D8DBE"/>
    <w:multiLevelType w:val="hybridMultilevel"/>
    <w:lvl w:ilvl="0">
      <w:lvlJc w:val="left"/>
      <w:lvlText w:val="%1:"/>
      <w:numFmt w:val="upperLetter"/>
      <w:start w:val="17"/>
    </w:lvl>
  </w:abstractNum>
  <w:abstractNum w:abstractNumId="53">
    <w:nsid w:val="6C80EC70"/>
    <w:multiLevelType w:val="hybridMultilevel"/>
    <w:lvl w:ilvl="0">
      <w:lvlJc w:val="left"/>
      <w:lvlText w:val="%1:"/>
      <w:numFmt w:val="upperLetter"/>
      <w:start w:val="1"/>
    </w:lvl>
  </w:abstractNum>
  <w:abstractNum w:abstractNumId="54">
    <w:nsid w:val="379E21B5"/>
    <w:multiLevelType w:val="hybridMultilevel"/>
    <w:lvl w:ilvl="0">
      <w:lvlJc w:val="left"/>
      <w:lvlText w:val="%1:"/>
      <w:numFmt w:val="upperLetter"/>
      <w:start w:val="17"/>
    </w:lvl>
  </w:abstractNum>
  <w:abstractNum w:abstractNumId="55">
    <w:nsid w:val="69E373"/>
    <w:multiLevelType w:val="hybridMultilevel"/>
    <w:lvl w:ilvl="0">
      <w:lvlJc w:val="left"/>
      <w:lvlText w:val="%1:"/>
      <w:numFmt w:val="upperLetter"/>
      <w:start w:val="1"/>
    </w:lvl>
  </w:abstractNum>
  <w:abstractNum w:abstractNumId="56">
    <w:nsid w:val="2C27173B"/>
    <w:multiLevelType w:val="hybridMultilevel"/>
    <w:lvl w:ilvl="0">
      <w:lvlJc w:val="left"/>
      <w:lvlText w:val="%1:"/>
      <w:numFmt w:val="upperLetter"/>
      <w:start w:val="17"/>
    </w:lvl>
  </w:abstractNum>
  <w:abstractNum w:abstractNumId="57">
    <w:nsid w:val="4C9B0904"/>
    <w:multiLevelType w:val="hybridMultilevel"/>
    <w:lvl w:ilvl="0">
      <w:lvlJc w:val="left"/>
      <w:lvlText w:val="%1:"/>
      <w:numFmt w:val="upperLetter"/>
      <w:start w:val="1"/>
    </w:lvl>
  </w:abstractNum>
  <w:abstractNum w:abstractNumId="58">
    <w:nsid w:val="6AA7B75C"/>
    <w:multiLevelType w:val="hybridMultilevel"/>
    <w:lvl w:ilvl="0">
      <w:lvlJc w:val="left"/>
      <w:lvlText w:val="%1:"/>
      <w:numFmt w:val="upperLetter"/>
      <w:start w:val="17"/>
    </w:lvl>
  </w:abstractNum>
  <w:abstractNum w:abstractNumId="59">
    <w:nsid w:val="1DF029D3"/>
    <w:multiLevelType w:val="hybridMultilevel"/>
    <w:lvl w:ilvl="0">
      <w:lvlJc w:val="left"/>
      <w:lvlText w:val="%1:"/>
      <w:numFmt w:val="upperLetter"/>
      <w:start w:val="1"/>
    </w:lvl>
  </w:abstractNum>
  <w:abstractNum w:abstractNumId="60">
    <w:nsid w:val="5675FF36"/>
    <w:multiLevelType w:val="hybridMultilevel"/>
    <w:lvl w:ilvl="0">
      <w:lvlJc w:val="left"/>
      <w:lvlText w:val="%1:"/>
      <w:numFmt w:val="upperLetter"/>
      <w:start w:val="17"/>
    </w:lvl>
  </w:abstractNum>
  <w:abstractNum w:abstractNumId="61">
    <w:nsid w:val="3DD15094"/>
    <w:multiLevelType w:val="hybridMultilevel"/>
    <w:lvl w:ilvl="0">
      <w:lvlJc w:val="left"/>
      <w:lvlText w:val="%1:"/>
      <w:numFmt w:val="upperLetter"/>
      <w:start w:val="1"/>
    </w:lvl>
  </w:abstractNum>
  <w:abstractNum w:abstractNumId="62">
    <w:nsid w:val="3DB012B3"/>
    <w:multiLevelType w:val="hybridMultilevel"/>
    <w:lvl w:ilvl="0">
      <w:lvlJc w:val="left"/>
      <w:lvlText w:val="%1:"/>
      <w:numFmt w:val="upperLetter"/>
      <w:start w:val="17"/>
    </w:lvl>
  </w:abstractNum>
  <w:abstractNum w:abstractNumId="63">
    <w:nsid w:val="2708C9AF"/>
    <w:multiLevelType w:val="hybridMultilevel"/>
    <w:lvl w:ilvl="0">
      <w:lvlJc w:val="left"/>
      <w:lvlText w:val="%1:"/>
      <w:numFmt w:val="upperLetter"/>
      <w:start w:val="1"/>
    </w:lvl>
  </w:abstractNum>
  <w:abstractNum w:abstractNumId="64">
    <w:nsid w:val="5B25ACE2"/>
    <w:multiLevelType w:val="hybridMultilevel"/>
    <w:lvl w:ilvl="0">
      <w:lvlJc w:val="left"/>
      <w:lvlText w:val="•"/>
      <w:numFmt w:val="bullet"/>
      <w:start w:val="1"/>
    </w:lvl>
  </w:abstractNum>
  <w:abstractNum w:abstractNumId="65">
    <w:nsid w:val="175DFCF0"/>
    <w:multiLevelType w:val="hybridMultilevel"/>
    <w:lvl w:ilvl="0">
      <w:lvlJc w:val="left"/>
      <w:lvlText w:val="•"/>
      <w:numFmt w:val="bullet"/>
      <w:start w:val="1"/>
    </w:lvl>
  </w:abstractNum>
  <w:abstractNum w:abstractNumId="66">
    <w:nsid w:val="4F97E3E4"/>
    <w:multiLevelType w:val="hybridMultilevel"/>
    <w:lvl w:ilvl="0">
      <w:lvlJc w:val="left"/>
      <w:lvlText w:val="•"/>
      <w:numFmt w:val="bullet"/>
      <w:start w:val="1"/>
    </w:lvl>
  </w:abstractNum>
  <w:abstractNum w:abstractNumId="67">
    <w:nsid w:val="53B0A9E"/>
    <w:multiLevelType w:val="hybridMultilevel"/>
    <w:lvl w:ilvl="0">
      <w:lvlJc w:val="left"/>
      <w:lvlText w:val="•"/>
      <w:numFmt w:val="bullet"/>
      <w:start w:val="1"/>
    </w:lvl>
  </w:abstractNum>
  <w:abstractNum w:abstractNumId="68">
    <w:nsid w:val="34FD6B4F"/>
    <w:multiLevelType w:val="hybridMultilevel"/>
    <w:lvl w:ilvl="0">
      <w:lvlJc w:val="left"/>
      <w:lvlText w:val="•"/>
      <w:numFmt w:val="bullet"/>
      <w:start w:val="1"/>
    </w:lvl>
  </w:abstractNum>
  <w:abstractNum w:abstractNumId="69">
    <w:nsid w:val="5915FF32"/>
    <w:multiLevelType w:val="hybridMultilevel"/>
    <w:lvl w:ilvl="0">
      <w:lvlJc w:val="left"/>
      <w:lvlText w:val="•"/>
      <w:numFmt w:val="bullet"/>
      <w:start w:val="1"/>
    </w:lvl>
  </w:abstractNum>
  <w:abstractNum w:abstractNumId="70">
    <w:nsid w:val="56438D15"/>
    <w:multiLevelType w:val="hybridMultilevel"/>
    <w:lvl w:ilvl="0">
      <w:lvlJc w:val="left"/>
      <w:lvlText w:val="•"/>
      <w:numFmt w:val="bullet"/>
      <w:start w:val="1"/>
    </w:lvl>
  </w:abstractNum>
  <w:abstractNum w:abstractNumId="71">
    <w:nsid w:val="519E3149"/>
    <w:multiLevelType w:val="hybridMultilevel"/>
    <w:lvl w:ilvl="0">
      <w:lvlJc w:val="left"/>
      <w:lvlText w:val="•"/>
      <w:numFmt w:val="bullet"/>
      <w:start w:val="1"/>
    </w:lvl>
  </w:abstractNum>
  <w:abstractNum w:abstractNumId="72">
    <w:nsid w:val="2C6E4AFD"/>
    <w:multiLevelType w:val="hybridMultilevel"/>
    <w:lvl w:ilvl="0">
      <w:lvlJc w:val="left"/>
      <w:lvlText w:val="•"/>
      <w:numFmt w:val="bullet"/>
      <w:start w:val="1"/>
    </w:lvl>
  </w:abstractNum>
  <w:abstractNum w:abstractNumId="73">
    <w:nsid w:val="17A1B582"/>
    <w:multiLevelType w:val="hybridMultilevel"/>
    <w:lvl w:ilvl="0">
      <w:lvlJc w:val="left"/>
      <w:lvlText w:val="•"/>
      <w:numFmt w:val="bullet"/>
      <w:start w:val="1"/>
    </w:lvl>
  </w:abstractNum>
  <w:abstractNum w:abstractNumId="74">
    <w:nsid w:val="4DF72E4E"/>
    <w:multiLevelType w:val="hybridMultilevel"/>
    <w:lvl w:ilvl="0">
      <w:lvlJc w:val="left"/>
      <w:lvlText w:val="•"/>
      <w:numFmt w:val="bullet"/>
      <w:start w:val="1"/>
    </w:lvl>
  </w:abstractNum>
  <w:abstractNum w:abstractNumId="75">
    <w:nsid w:val="5046B5A9"/>
    <w:multiLevelType w:val="hybridMultilevel"/>
    <w:lvl w:ilvl="0">
      <w:lvlJc w:val="left"/>
      <w:lvlText w:val="•"/>
      <w:numFmt w:val="bullet"/>
      <w:start w:val="1"/>
    </w:lvl>
  </w:abstractNum>
  <w:abstractNum w:abstractNumId="76">
    <w:nsid w:val="5D888A08"/>
    <w:multiLevelType w:val="hybridMultilevel"/>
    <w:lvl w:ilvl="0">
      <w:lvlJc w:val="left"/>
      <w:lvlText w:val="•"/>
      <w:numFmt w:val="bullet"/>
      <w:start w:val="1"/>
    </w:lvl>
  </w:abstractNum>
  <w:abstractNum w:abstractNumId="77">
    <w:nsid w:val="2A082C70"/>
    <w:multiLevelType w:val="hybridMultilevel"/>
    <w:lvl w:ilvl="0">
      <w:lvlJc w:val="left"/>
      <w:lvlText w:val="•"/>
      <w:numFmt w:val="bullet"/>
      <w:start w:val="1"/>
    </w:lvl>
  </w:abstractNum>
  <w:abstractNum w:abstractNumId="78">
    <w:nsid w:val="5EC6AFD4"/>
    <w:multiLevelType w:val="hybridMultilevel"/>
    <w:lvl w:ilvl="0">
      <w:lvlJc w:val="left"/>
      <w:lvlText w:val="•"/>
      <w:numFmt w:val="bullet"/>
      <w:start w:val="1"/>
    </w:lvl>
  </w:abstractNum>
  <w:abstractNum w:abstractNumId="79">
    <w:nsid w:val="19E21BB2"/>
    <w:multiLevelType w:val="hybridMultilevel"/>
    <w:lvl w:ilvl="0">
      <w:lvlJc w:val="left"/>
      <w:lvlText w:val="•"/>
      <w:numFmt w:val="bullet"/>
      <w:start w:val="1"/>
    </w:lvl>
  </w:abstractNum>
  <w:abstractNum w:abstractNumId="80">
    <w:nsid w:val="75E0858A"/>
    <w:multiLevelType w:val="hybridMultilevel"/>
    <w:lvl w:ilvl="0">
      <w:lvlJc w:val="left"/>
      <w:lvlText w:val="•"/>
      <w:numFmt w:val="bullet"/>
      <w:start w:val="1"/>
    </w:lvl>
  </w:abstractNum>
  <w:abstractNum w:abstractNumId="81">
    <w:nsid w:val="57A61A29"/>
    <w:multiLevelType w:val="hybridMultilevel"/>
    <w:lvl w:ilvl="0">
      <w:lvlJc w:val="left"/>
      <w:lvlText w:val="•"/>
      <w:numFmt w:val="bullet"/>
      <w:start w:val="1"/>
    </w:lvl>
  </w:abstractNum>
  <w:abstractNum w:abstractNumId="82">
    <w:nsid w:val="5399C654"/>
    <w:multiLevelType w:val="hybridMultilevel"/>
    <w:lvl w:ilvl="0">
      <w:lvlJc w:val="left"/>
      <w:lvlText w:val="•"/>
      <w:numFmt w:val="bullet"/>
      <w:start w:val="1"/>
    </w:lvl>
  </w:abstractNum>
  <w:abstractNum w:abstractNumId="83">
    <w:nsid w:val="20EE1348"/>
    <w:multiLevelType w:val="hybridMultilevel"/>
    <w:lvl w:ilvl="0">
      <w:lvlJc w:val="left"/>
      <w:lvlText w:val="•"/>
      <w:numFmt w:val="bullet"/>
      <w:start w:val="1"/>
    </w:lvl>
  </w:abstractNum>
  <w:abstractNum w:abstractNumId="84">
    <w:nsid w:val="4427069A"/>
    <w:multiLevelType w:val="hybridMultilevel"/>
    <w:lvl w:ilvl="0">
      <w:lvlJc w:val="left"/>
      <w:lvlText w:val="•"/>
      <w:numFmt w:val="bullet"/>
      <w:start w:val="1"/>
    </w:lvl>
  </w:abstractNum>
  <w:abstractNum w:abstractNumId="85">
    <w:nsid w:val="B37E80A"/>
    <w:multiLevelType w:val="hybridMultilevel"/>
    <w:lvl w:ilvl="0">
      <w:lvlJc w:val="left"/>
      <w:lvlText w:val="(%1)"/>
      <w:numFmt w:val="lowerRoman"/>
      <w:start w:val="2"/>
    </w:lvl>
  </w:abstractNum>
  <w:abstractNum w:abstractNumId="86">
    <w:nsid w:val="2157F6BC"/>
    <w:multiLevelType w:val="hybridMultilevel"/>
    <w:lvl w:ilvl="0">
      <w:lvlJc w:val="left"/>
      <w:lvlText w:val="•"/>
      <w:numFmt w:val="bullet"/>
      <w:start w:val="1"/>
    </w:lvl>
  </w:abstractNum>
  <w:abstractNum w:abstractNumId="87">
    <w:nsid w:val="704E1DD5"/>
    <w:multiLevelType w:val="hybridMultilevel"/>
    <w:lvl w:ilvl="0">
      <w:lvlJc w:val="left"/>
      <w:lvlText w:val="•"/>
      <w:numFmt w:val="bullet"/>
      <w:start w:val="1"/>
    </w:lvl>
  </w:abstractNum>
  <w:abstractNum w:abstractNumId="88">
    <w:nsid w:val="57D2F10E"/>
    <w:multiLevelType w:val="hybridMultilevel"/>
    <w:lvl w:ilvl="0">
      <w:lvlJc w:val="left"/>
      <w:lvlText w:val="•"/>
      <w:numFmt w:val="bullet"/>
      <w:start w:val="1"/>
    </w:lvl>
  </w:abstractNum>
  <w:abstractNum w:abstractNumId="89">
    <w:nsid w:val="BFFAE18"/>
    <w:multiLevelType w:val="hybridMultilevel"/>
    <w:lvl w:ilvl="0">
      <w:lvlJc w:val="left"/>
      <w:lvlText w:val="•"/>
      <w:numFmt w:val="bullet"/>
      <w:start w:val="1"/>
    </w:lvl>
  </w:abstractNum>
  <w:abstractNum w:abstractNumId="90">
    <w:nsid w:val="E3E47A8"/>
    <w:multiLevelType w:val="hybridMultilevel"/>
    <w:lvl w:ilvl="0">
      <w:lvlJc w:val="left"/>
      <w:lvlText w:val="•"/>
      <w:numFmt w:val="bullet"/>
      <w:start w:val="1"/>
    </w:lvl>
  </w:abstractNum>
  <w:abstractNum w:abstractNumId="91">
    <w:nsid w:val="2E48F044"/>
    <w:multiLevelType w:val="hybridMultilevel"/>
    <w:lvl w:ilvl="0">
      <w:lvlJc w:val="left"/>
      <w:lvlText w:val="&amp;"/>
      <w:numFmt w:val="bullet"/>
      <w:start w:val="1"/>
    </w:lvl>
  </w:abstractNum>
  <w:abstractNum w:abstractNumId="92">
    <w:nsid w:val="49D0FEAC"/>
    <w:multiLevelType w:val="hybridMultilevel"/>
    <w:lvl w:ilvl="0">
      <w:lvlJc w:val="left"/>
      <w:lvlText w:val="•"/>
      <w:numFmt w:val="bullet"/>
      <w:start w:val="1"/>
    </w:lvl>
  </w:abstractNum>
  <w:abstractNum w:abstractNumId="93">
    <w:nsid w:val="4BEE5A5B"/>
    <w:multiLevelType w:val="hybridMultilevel"/>
    <w:lvl w:ilvl="0">
      <w:lvlJc w:val="left"/>
      <w:lvlText w:val="•"/>
      <w:numFmt w:val="bullet"/>
      <w:start w:val="1"/>
    </w:lvl>
  </w:abstractNum>
  <w:abstractNum w:abstractNumId="94">
    <w:nsid w:val="5551B9F3"/>
    <w:multiLevelType w:val="hybridMultilevel"/>
    <w:lvl w:ilvl="0">
      <w:lvlJc w:val="left"/>
      <w:lvlText w:val="•"/>
      <w:numFmt w:val="bullet"/>
      <w:start w:val="1"/>
    </w:lvl>
  </w:abstractNum>
  <w:abstractNum w:abstractNumId="95">
    <w:nsid w:val="24F6AB8E"/>
    <w:multiLevelType w:val="hybridMultilevel"/>
    <w:lvl w:ilvl="0">
      <w:lvlJc w:val="left"/>
      <w:lvlText w:val="•"/>
      <w:numFmt w:val="bullet"/>
      <w:start w:val="1"/>
    </w:lvl>
  </w:abstractNum>
  <w:abstractNum w:abstractNumId="96">
    <w:nsid w:val="634C574C"/>
    <w:multiLevelType w:val="hybridMultilevel"/>
    <w:lvl w:ilvl="0">
      <w:lvlJc w:val="left"/>
      <w:lvlText w:val="•"/>
      <w:numFmt w:val="bullet"/>
      <w:start w:val="1"/>
    </w:lvl>
  </w:abstractNum>
  <w:abstractNum w:abstractNumId="97">
    <w:nsid w:val="24E99DD7"/>
    <w:multiLevelType w:val="hybridMultilevel"/>
    <w:lvl w:ilvl="0">
      <w:lvlJc w:val="left"/>
      <w:lvlText w:val="$"/>
      <w:numFmt w:val="bullet"/>
      <w:start w:val="1"/>
    </w:lvl>
  </w:abstractNum>
  <w:abstractNum w:abstractNumId="98">
    <w:nsid w:val="2A31B62D"/>
    <w:multiLevelType w:val="hybridMultilevel"/>
    <w:lvl w:ilvl="0">
      <w:lvlJc w:val="left"/>
      <w:lvlText w:val="(%1)"/>
      <w:numFmt w:val="lowerLetter"/>
      <w:start w:val="2"/>
    </w:lvl>
  </w:abstractNum>
  <w:abstractNum w:abstractNumId="99">
    <w:nsid w:val="1849C29B"/>
    <w:multiLevelType w:val="hybridMultilevel"/>
    <w:lvl w:ilvl="0">
      <w:lvlJc w:val="left"/>
      <w:lvlText w:val="(%1)"/>
      <w:numFmt w:val="lowerLetter"/>
      <w:start w:val="4"/>
    </w:lvl>
  </w:abstractNum>
  <w:abstractNum w:abstractNumId="100">
    <w:nsid w:val="7DFF9D09"/>
    <w:multiLevelType w:val="hybridMultilevel"/>
    <w:lvl w:ilvl="0">
      <w:lvlJc w:val="left"/>
      <w:lvlText w:val="(%1)"/>
      <w:numFmt w:val="lowerLetter"/>
      <w:start w:val="8"/>
    </w:lvl>
  </w:abstractNum>
  <w:abstractNum w:abstractNumId="101">
    <w:nsid w:val="754342"/>
    <w:multiLevelType w:val="hybridMultilevel"/>
    <w:lvl w:ilvl="0">
      <w:lvlJc w:val="left"/>
      <w:lvlText w:val="(%1)"/>
      <w:numFmt w:val="lowerRoman"/>
      <w:start w:val="1"/>
    </w:lvl>
  </w:abstractNum>
  <w:abstractNum w:abstractNumId="102">
    <w:nsid w:val="69E7F3E5"/>
    <w:multiLevelType w:val="hybridMultilevel"/>
    <w:lvl w:ilvl="0">
      <w:lvlJc w:val="left"/>
      <w:lvlText w:val="(%1)"/>
      <w:numFmt w:val="lowerLetter"/>
      <w:start w:val="10"/>
    </w:lvl>
  </w:abstractNum>
  <w:abstractNum w:abstractNumId="103">
    <w:nsid w:val="2A6DE806"/>
    <w:multiLevelType w:val="hybridMultilevel"/>
    <w:lvl w:ilvl="0">
      <w:lvlJc w:val="left"/>
      <w:lvlText w:val="(%1)"/>
      <w:numFmt w:val="lowerLetter"/>
      <w:start w:val="11"/>
    </w:lvl>
  </w:abstractNum>
  <w:abstractNum w:abstractNumId="104">
    <w:nsid w:val="1816F8C4"/>
    <w:multiLevelType w:val="hybridMultilevel"/>
    <w:lvl w:ilvl="0">
      <w:lvlJc w:val="left"/>
      <w:lvlText w:val="(%1)"/>
      <w:numFmt w:val="lowerLetter"/>
      <w:start w:val="12"/>
    </w:lvl>
  </w:abstractNum>
  <w:abstractNum w:abstractNumId="105">
    <w:nsid w:val="37DF2233"/>
    <w:multiLevelType w:val="hybridMultilevel"/>
    <w:lvl w:ilvl="0">
      <w:lvlJc w:val="left"/>
      <w:lvlText w:val="•"/>
      <w:numFmt w:val="bullet"/>
      <w:start w:val="1"/>
    </w:lvl>
  </w:abstractNum>
  <w:abstractNum w:abstractNumId="106">
    <w:nsid w:val="7AB49DAF"/>
    <w:multiLevelType w:val="hybridMultilevel"/>
    <w:lvl w:ilvl="0">
      <w:lvlJc w:val="left"/>
      <w:lvlText w:val="•"/>
      <w:numFmt w:val="bullet"/>
      <w:start w:val="1"/>
    </w:lvl>
  </w:abstractNum>
  <w:abstractNum w:abstractNumId="107">
    <w:nsid w:val="759F82CD"/>
    <w:multiLevelType w:val="hybridMultilevel"/>
    <w:lvl w:ilvl="0">
      <w:lvlJc w:val="left"/>
      <w:lvlText w:val="•"/>
      <w:numFmt w:val="bullet"/>
      <w:start w:val="1"/>
    </w:lvl>
  </w:abstractNum>
  <w:abstractNum w:abstractNumId="108">
    <w:nsid w:val="61E74EA3"/>
    <w:multiLevelType w:val="hybridMultilevel"/>
    <w:lvl w:ilvl="0">
      <w:lvlJc w:val="left"/>
      <w:lvlText w:val="•"/>
      <w:numFmt w:val="bullet"/>
      <w:start w:val="1"/>
    </w:lvl>
  </w:abstractNum>
  <w:abstractNum w:abstractNumId="109">
    <w:nsid w:val="597B4D84"/>
    <w:multiLevelType w:val="hybridMultilevel"/>
    <w:lvl w:ilvl="0">
      <w:lvlJc w:val="left"/>
      <w:lvlText w:val="•"/>
      <w:numFmt w:val="bullet"/>
      <w:start w:val="1"/>
    </w:lvl>
  </w:abstractNum>
  <w:abstractNum w:abstractNumId="110">
    <w:nsid w:val="F819E7F"/>
    <w:multiLevelType w:val="hybridMultilevel"/>
    <w:lvl w:ilvl="0">
      <w:lvlJc w:val="left"/>
      <w:lvlText w:val="•"/>
      <w:numFmt w:val="bullet"/>
      <w:start w:val="1"/>
    </w:lvl>
  </w:abstractNum>
  <w:abstractNum w:abstractNumId="111">
    <w:nsid w:val="57C7D42D"/>
    <w:multiLevelType w:val="hybridMultilevel"/>
    <w:lvl w:ilvl="0">
      <w:lvlJc w:val="left"/>
      <w:lvlText w:val="•"/>
      <w:numFmt w:val="bullet"/>
      <w:start w:val="1"/>
    </w:lvl>
  </w:abstractNum>
  <w:abstractNum w:abstractNumId="112">
    <w:nsid w:val="312167AD"/>
    <w:multiLevelType w:val="hybridMultilevel"/>
    <w:lvl w:ilvl="0">
      <w:lvlJc w:val="left"/>
      <w:lvlText w:val="•"/>
      <w:numFmt w:val="bullet"/>
      <w:start w:val="1"/>
    </w:lvl>
  </w:abstractNum>
  <w:abstractNum w:abstractNumId="113">
    <w:nsid w:val="631B64D4"/>
    <w:multiLevelType w:val="hybridMultilevel"/>
    <w:lvl w:ilvl="0">
      <w:lvlJc w:val="left"/>
      <w:lvlText w:val="•"/>
      <w:numFmt w:val="bullet"/>
      <w:start w:val="1"/>
    </w:lvl>
  </w:abstractNum>
  <w:abstractNum w:abstractNumId="114">
    <w:nsid w:val="78B5E776"/>
    <w:multiLevelType w:val="hybridMultilevel"/>
    <w:lvl w:ilvl="0">
      <w:lvlJc w:val="left"/>
      <w:lvlText w:val="•"/>
      <w:numFmt w:val="bullet"/>
      <w:start w:val="1"/>
    </w:lvl>
  </w:abstractNum>
  <w:abstractNum w:abstractNumId="115">
    <w:nsid w:val="75486E47"/>
    <w:multiLevelType w:val="hybridMultilevel"/>
    <w:lvl w:ilvl="0">
      <w:lvlJc w:val="left"/>
      <w:lvlText w:val="•"/>
      <w:numFmt w:val="bullet"/>
      <w:start w:val="1"/>
    </w:lvl>
  </w:abstractNum>
  <w:abstractNum w:abstractNumId="116">
    <w:nsid w:val="6E534CDE"/>
    <w:multiLevelType w:val="hybridMultilevel"/>
    <w:lvl w:ilvl="0">
      <w:lvlJc w:val="left"/>
      <w:lvlText w:val="•"/>
      <w:numFmt w:val="bullet"/>
      <w:start w:val="1"/>
    </w:lvl>
  </w:abstractNum>
  <w:abstractNum w:abstractNumId="117">
    <w:nsid w:val="1A0DDE32"/>
    <w:multiLevelType w:val="hybridMultilevel"/>
    <w:lvl w:ilvl="0">
      <w:lvlJc w:val="left"/>
      <w:lvlText w:val="•"/>
      <w:numFmt w:val="bullet"/>
      <w:start w:val="1"/>
    </w:lvl>
  </w:abstractNum>
  <w:abstractNum w:abstractNumId="118">
    <w:nsid w:val="65968C1C"/>
    <w:multiLevelType w:val="hybridMultilevel"/>
    <w:lvl w:ilvl="0">
      <w:lvlJc w:val="left"/>
      <w:lvlText w:val="•"/>
      <w:numFmt w:val="bullet"/>
      <w:start w:val="1"/>
    </w:lvl>
  </w:abstractNum>
  <w:abstractNum w:abstractNumId="119">
    <w:nsid w:val="46263DEC"/>
    <w:multiLevelType w:val="hybridMultilevel"/>
    <w:lvl w:ilvl="0">
      <w:lvlJc w:val="left"/>
      <w:lvlText w:val="•"/>
      <w:numFmt w:val="bullet"/>
      <w:start w:val="1"/>
    </w:lvl>
  </w:abstractNum>
  <w:abstractNum w:abstractNumId="120">
    <w:nsid w:val="260D8C4A"/>
    <w:multiLevelType w:val="hybridMultilevel"/>
    <w:lvl w:ilvl="0">
      <w:lvlJc w:val="left"/>
      <w:lvlText w:val="(%1)"/>
      <w:numFmt w:val="lowerRoman"/>
      <w:start w:val="4"/>
    </w:lvl>
  </w:abstractNum>
  <w:abstractNum w:abstractNumId="121">
    <w:nsid w:val="73D4D3C4"/>
    <w:multiLevelType w:val="hybridMultilevel"/>
    <w:lvl w:ilvl="0">
      <w:lvlJc w:val="left"/>
      <w:lvlText w:val="•"/>
      <w:numFmt w:val="bullet"/>
      <w:start w:val="1"/>
    </w:lvl>
  </w:abstractNum>
  <w:abstractNum w:abstractNumId="122">
    <w:nsid w:val="746F2E30"/>
    <w:multiLevelType w:val="hybridMultilevel"/>
    <w:lvl w:ilvl="0">
      <w:lvlJc w:val="left"/>
      <w:lvlText w:val="(%1)"/>
      <w:numFmt w:val="decimal"/>
      <w:start w:val="1"/>
    </w:lvl>
  </w:abstractNum>
  <w:abstractNum w:abstractNumId="123">
    <w:nsid w:val="6FDE8AF6"/>
    <w:multiLevelType w:val="hybridMultilevel"/>
    <w:lvl w:ilvl="0">
      <w:lvlJc w:val="left"/>
      <w:lvlText w:val="$"/>
      <w:numFmt w:val="bullet"/>
      <w:start w:val="1"/>
    </w:lvl>
  </w:abstractNum>
  <w:abstractNum w:abstractNumId="124">
    <w:nsid w:val="3FC32E20"/>
    <w:multiLevelType w:val="hybridMultilevel"/>
    <w:lvl w:ilvl="0">
      <w:lvlJc w:val="left"/>
      <w:lvlText w:val="•"/>
      <w:numFmt w:val="bullet"/>
      <w:start w:val="1"/>
    </w:lvl>
  </w:abstractNum>
  <w:abstractNum w:abstractNumId="125">
    <w:nsid w:val="49C0E823"/>
    <w:multiLevelType w:val="hybridMultilevel"/>
    <w:lvl w:ilvl="0">
      <w:lvlJc w:val="left"/>
      <w:lvlText w:val="•"/>
      <w:numFmt w:val="bullet"/>
      <w:start w:val="1"/>
    </w:lvl>
  </w:abstractNum>
  <w:abstractNum w:abstractNumId="126">
    <w:nsid w:val="14D53685"/>
    <w:multiLevelType w:val="hybridMultilevel"/>
    <w:lvl w:ilvl="0">
      <w:lvlJc w:val="left"/>
      <w:lvlText w:val="•"/>
      <w:numFmt w:val="bullet"/>
      <w:start w:val="1"/>
    </w:lvl>
  </w:abstractNum>
  <w:abstractNum w:abstractNumId="127">
    <w:nsid w:val="230F856C"/>
    <w:multiLevelType w:val="hybridMultilevel"/>
    <w:lvl w:ilvl="0">
      <w:lvlJc w:val="left"/>
      <w:lvlText w:val="•"/>
      <w:numFmt w:val="bullet"/>
      <w:start w:val="1"/>
    </w:lvl>
  </w:abstractNum>
  <w:abstractNum w:abstractNumId="128">
    <w:nsid w:val="6EAA85FB"/>
    <w:multiLevelType w:val="hybridMultilevel"/>
    <w:lvl w:ilvl="0">
      <w:lvlJc w:val="left"/>
      <w:lvlText w:val="%1."/>
      <w:numFmt w:val="decimal"/>
      <w:start w:val="1"/>
    </w:lvl>
  </w:abstractNum>
  <w:abstractNum w:abstractNumId="129">
    <w:nsid w:val="3F06ECB2"/>
    <w:multiLevelType w:val="hybridMultilevel"/>
    <w:lvl w:ilvl="0">
      <w:lvlJc w:val="left"/>
      <w:lvlText w:val="(%1)"/>
      <w:numFmt w:val="decimal"/>
      <w:start w:val="1"/>
    </w:lvl>
  </w:abstractNum>
  <w:abstractNum w:abstractNumId="130">
    <w:nsid w:val="3B594807"/>
    <w:multiLevelType w:val="hybridMultilevel"/>
    <w:lvl w:ilvl="0">
      <w:lvlJc w:val="left"/>
      <w:lvlText w:val="(%1)"/>
      <w:numFmt w:val="decimal"/>
      <w:start w:val="1"/>
    </w:lvl>
  </w:abstractNum>
  <w:abstractNum w:abstractNumId="131">
    <w:nsid w:val="6CAA2304"/>
    <w:multiLevelType w:val="hybridMultilevel"/>
    <w:lvl w:ilvl="0">
      <w:lvlJc w:val="left"/>
      <w:lvlText w:val="(%1)"/>
      <w:numFmt w:val="decimal"/>
      <w:start w:val="1"/>
    </w:lvl>
  </w:abstractNum>
  <w:abstractNum w:abstractNumId="132">
    <w:nsid w:val="3F7C2FF4"/>
    <w:multiLevelType w:val="hybridMultilevel"/>
    <w:lvl w:ilvl="0">
      <w:lvlJc w:val="left"/>
      <w:lvlText w:val="(%1)"/>
      <w:numFmt w:val="decimal"/>
      <w:start w:val="1"/>
    </w:lvl>
  </w:abstractNum>
  <w:abstractNum w:abstractNumId="133">
    <w:nsid w:val="25413BEC"/>
    <w:multiLevelType w:val="hybridMultilevel"/>
    <w:lvl w:ilvl="0">
      <w:lvlJc w:val="left"/>
      <w:lvlText w:val="(%1)"/>
      <w:numFmt w:val="decimal"/>
      <w:start w:val="1"/>
    </w:lvl>
  </w:abstractNum>
  <w:abstractNum w:abstractNumId="134">
    <w:nsid w:val="17180B0B"/>
    <w:multiLevelType w:val="hybridMultilevel"/>
    <w:lvl w:ilvl="0">
      <w:lvlJc w:val="left"/>
      <w:lvlText w:val="(%1)"/>
      <w:numFmt w:val="decimal"/>
      <w:start w:val="1"/>
    </w:lvl>
  </w:abstractNum>
  <w:abstractNum w:abstractNumId="135">
    <w:nsid w:val="579328B9"/>
    <w:multiLevelType w:val="hybridMultilevel"/>
    <w:lvl w:ilvl="0">
      <w:lvlJc w:val="left"/>
      <w:lvlText w:val="(%1)"/>
      <w:numFmt w:val="decimal"/>
      <w:start w:val="1"/>
    </w:lvl>
  </w:abstractNum>
  <w:abstractNum w:abstractNumId="136">
    <w:nsid w:val="5D205E20"/>
    <w:multiLevelType w:val="hybridMultilevel"/>
    <w:lvl w:ilvl="0">
      <w:lvlJc w:val="left"/>
      <w:lvlText w:val="(%1)"/>
      <w:numFmt w:val="decimal"/>
      <w:start w:val="3"/>
    </w:lvl>
  </w:abstractNum>
  <w:abstractNum w:abstractNumId="137">
    <w:nsid w:val="11CCA8BA"/>
    <w:multiLevelType w:val="hybridMultilevel"/>
    <w:lvl w:ilvl="0">
      <w:lvlJc w:val="left"/>
      <w:lvlText w:val="•"/>
      <w:numFmt w:val="bullet"/>
      <w:start w:val="1"/>
    </w:lvl>
  </w:abstractNum>
  <w:abstractNum w:abstractNumId="138">
    <w:nsid w:val="4D32AB86"/>
    <w:multiLevelType w:val="hybridMultilevel"/>
    <w:lvl w:ilvl="0">
      <w:lvlJc w:val="left"/>
      <w:lvlText w:val="•"/>
      <w:numFmt w:val="bullet"/>
      <w:start w:val="1"/>
    </w:lvl>
  </w:abstractNum>
  <w:abstractNum w:abstractNumId="139">
    <w:nsid w:val="3F07ACC3"/>
    <w:multiLevelType w:val="hybridMultilevel"/>
    <w:lvl w:ilvl="0">
      <w:lvlJc w:val="left"/>
      <w:lvlText w:val="•"/>
      <w:numFmt w:val="bullet"/>
      <w:start w:val="1"/>
    </w:lvl>
  </w:abstractNum>
  <w:abstractNum w:abstractNumId="140">
    <w:nsid w:val="6B47F63E"/>
    <w:multiLevelType w:val="hybridMultilevel"/>
    <w:lvl w:ilvl="0">
      <w:lvlJc w:val="left"/>
      <w:lvlText w:val="•"/>
      <w:numFmt w:val="bullet"/>
      <w:start w:val="1"/>
    </w:lvl>
  </w:abstractNum>
  <w:abstractNum w:abstractNumId="141">
    <w:nsid w:val="5CB44A05"/>
    <w:multiLevelType w:val="hybridMultilevel"/>
    <w:lvl w:ilvl="0">
      <w:lvlJc w:val="left"/>
      <w:lvlText w:val="•"/>
      <w:numFmt w:val="bullet"/>
      <w:start w:val="1"/>
    </w:lvl>
  </w:abstractNum>
  <w:abstractNum w:abstractNumId="142">
    <w:nsid w:val="16CF80F1"/>
    <w:multiLevelType w:val="hybridMultilevel"/>
    <w:lvl w:ilvl="0">
      <w:lvlJc w:val="left"/>
      <w:lvlText w:val="•"/>
      <w:numFmt w:val="bullet"/>
      <w:start w:val="1"/>
    </w:lvl>
  </w:abstractNum>
  <w:abstractNum w:abstractNumId="143">
    <w:nsid w:val="1C695DEC"/>
    <w:multiLevelType w:val="hybridMultilevel"/>
    <w:lvl w:ilvl="0">
      <w:lvlJc w:val="left"/>
      <w:lvlText w:val="•"/>
      <w:numFmt w:val="bullet"/>
      <w:start w:val="1"/>
    </w:lvl>
  </w:abstractNum>
  <w:abstractNum w:abstractNumId="144">
    <w:nsid w:val="3FCFAED9"/>
    <w:multiLevelType w:val="hybridMultilevel"/>
    <w:lvl w:ilvl="0">
      <w:lvlJc w:val="left"/>
      <w:lvlText w:val="•"/>
      <w:numFmt w:val="bullet"/>
      <w:start w:val="1"/>
    </w:lvl>
  </w:abstractNum>
  <w:abstractNum w:abstractNumId="145">
    <w:nsid w:val="F856867"/>
    <w:multiLevelType w:val="hybridMultilevel"/>
    <w:lvl w:ilvl="0">
      <w:lvlJc w:val="left"/>
      <w:lvlText w:val="•"/>
      <w:numFmt w:val="bullet"/>
      <w:start w:val="1"/>
    </w:lvl>
  </w:abstractNum>
  <w:abstractNum w:abstractNumId="146">
    <w:nsid w:val="11B1CC33"/>
    <w:multiLevelType w:val="hybridMultilevel"/>
    <w:lvl w:ilvl="0">
      <w:lvlJc w:val="left"/>
      <w:lvlText w:val="•"/>
      <w:numFmt w:val="bullet"/>
      <w:start w:val="1"/>
    </w:lvl>
  </w:abstractNum>
  <w:abstractNum w:abstractNumId="147">
    <w:nsid w:val="2E22FBB7"/>
    <w:multiLevelType w:val="hybridMultilevel"/>
    <w:lvl w:ilvl="0">
      <w:lvlJc w:val="left"/>
      <w:lvlText w:val="•"/>
      <w:numFmt w:val="bullet"/>
      <w:start w:val="1"/>
    </w:lvl>
  </w:abstractNum>
  <w:abstractNum w:abstractNumId="148">
    <w:nsid w:val="29934699"/>
    <w:multiLevelType w:val="hybridMultilevel"/>
    <w:lvl w:ilvl="0">
      <w:lvlJc w:val="left"/>
      <w:lvlText w:val="(%1)"/>
      <w:numFmt w:val="lowerRoman"/>
      <w:start w:val="3"/>
    </w:lvl>
  </w:abstractNum>
  <w:abstractNum w:abstractNumId="149">
    <w:nsid w:val="77485850"/>
    <w:multiLevelType w:val="hybridMultilevel"/>
    <w:lvl w:ilvl="0">
      <w:lvlJc w:val="left"/>
      <w:lvlText w:val="•"/>
      <w:numFmt w:val="bullet"/>
      <w:start w:val="1"/>
    </w:lvl>
  </w:abstractNum>
  <w:abstractNum w:abstractNumId="150">
    <w:nsid w:val="744939A3"/>
    <w:multiLevelType w:val="hybridMultilevel"/>
    <w:lvl w:ilvl="0">
      <w:lvlJc w:val="left"/>
      <w:lvlText w:val="•"/>
      <w:numFmt w:val="bullet"/>
      <w:start w:val="1"/>
    </w:lvl>
  </w:abstractNum>
  <w:abstractNum w:abstractNumId="151">
    <w:nsid w:val="4FA0D2E3"/>
    <w:multiLevelType w:val="hybridMultilevel"/>
    <w:lvl w:ilvl="0">
      <w:lvlJc w:val="left"/>
      <w:lvlText w:val="•"/>
      <w:numFmt w:val="bullet"/>
      <w:start w:val="1"/>
    </w:lvl>
  </w:abstractNum>
  <w:abstractNum w:abstractNumId="152">
    <w:nsid w:val="6B1D2C14"/>
    <w:multiLevelType w:val="hybridMultilevel"/>
    <w:lvl w:ilvl="0">
      <w:lvlJc w:val="left"/>
      <w:lvlText w:val="•"/>
      <w:numFmt w:val="bullet"/>
      <w:start w:val="1"/>
    </w:lvl>
  </w:abstractNum>
  <w:abstractNum w:abstractNumId="153">
    <w:nsid w:val="68B867D3"/>
    <w:multiLevelType w:val="hybridMultilevel"/>
    <w:lvl w:ilvl="0">
      <w:lvlJc w:val="left"/>
      <w:lvlText w:val="•"/>
      <w:numFmt w:val="bullet"/>
      <w:start w:val="1"/>
    </w:lvl>
  </w:abstractNum>
  <w:abstractNum w:abstractNumId="154">
    <w:nsid w:val="3F7F5DD9"/>
    <w:multiLevelType w:val="hybridMultilevel"/>
    <w:lvl w:ilvl="0">
      <w:lvlJc w:val="left"/>
      <w:lvlText w:val="•"/>
      <w:numFmt w:val="bullet"/>
      <w:start w:val="1"/>
    </w:lvl>
  </w:abstractNum>
  <w:abstractNum w:abstractNumId="155">
    <w:nsid w:val="2AE05A34"/>
    <w:multiLevelType w:val="hybridMultilevel"/>
    <w:lvl w:ilvl="0">
      <w:lvlJc w:val="left"/>
      <w:lvlText w:val="•"/>
      <w:numFmt w:val="bullet"/>
      <w:start w:val="1"/>
    </w:lvl>
  </w:abstractNum>
  <w:abstractNum w:abstractNumId="156">
    <w:nsid w:val="32794FF7"/>
    <w:multiLevelType w:val="hybridMultilevel"/>
    <w:lvl w:ilvl="0">
      <w:lvlJc w:val="left"/>
      <w:lvlText w:val="•"/>
      <w:numFmt w:val="bullet"/>
      <w:start w:val="1"/>
    </w:lvl>
  </w:abstractNum>
  <w:abstractNum w:abstractNumId="157">
    <w:nsid w:val="5454945E"/>
    <w:multiLevelType w:val="hybridMultilevel"/>
    <w:lvl w:ilvl="0">
      <w:lvlJc w:val="left"/>
      <w:lvlText w:val="▪"/>
      <w:numFmt w:val="bullet"/>
      <w:start w:val="1"/>
    </w:lvl>
  </w:abstractNum>
  <w:abstractNum w:abstractNumId="158">
    <w:nsid w:val="4DEFDFA0"/>
    <w:multiLevelType w:val="hybridMultilevel"/>
    <w:lvl w:ilvl="0">
      <w:lvlJc w:val="left"/>
      <w:lvlText w:val="(%1)"/>
      <w:numFmt w:val="lowerRoman"/>
      <w:start w:val="2"/>
    </w:lvl>
  </w:abstractNum>
  <w:abstractNum w:abstractNumId="159">
    <w:nsid w:val="2123D5F2"/>
    <w:multiLevelType w:val="hybridMultilevel"/>
    <w:lvl w:ilvl="0">
      <w:lvlJc w:val="left"/>
      <w:lvlText w:val="•"/>
      <w:numFmt w:val="bullet"/>
      <w:start w:val="1"/>
    </w:lvl>
  </w:abstractNum>
  <w:abstractNum w:abstractNumId="160">
    <w:nsid w:val="135B8110"/>
    <w:multiLevelType w:val="hybridMultilevel"/>
    <w:lvl w:ilvl="0">
      <w:lvlJc w:val="left"/>
      <w:lvlText w:val="•"/>
      <w:numFmt w:val="bullet"/>
      <w:start w:val="1"/>
    </w:lvl>
  </w:abstractNum>
  <w:abstractNum w:abstractNumId="161">
    <w:nsid w:val="94927A8"/>
    <w:multiLevelType w:val="hybridMultilevel"/>
    <w:lvl w:ilvl="0">
      <w:lvlJc w:val="left"/>
      <w:lvlText w:val="•"/>
      <w:numFmt w:val="bullet"/>
      <w:start w:val="1"/>
    </w:lvl>
  </w:abstractNum>
  <w:abstractNum w:abstractNumId="162">
    <w:nsid w:val="DCDF8F6"/>
    <w:multiLevelType w:val="hybridMultilevel"/>
    <w:lvl w:ilvl="0">
      <w:lvlJc w:val="left"/>
      <w:lvlText w:val="•"/>
      <w:numFmt w:val="bullet"/>
      <w:start w:val="1"/>
    </w:lvl>
  </w:abstractNum>
  <w:abstractNum w:abstractNumId="163">
    <w:nsid w:val="52D7B105"/>
    <w:multiLevelType w:val="hybridMultilevel"/>
    <w:lvl w:ilvl="0">
      <w:lvlJc w:val="left"/>
      <w:lvlText w:val="•"/>
      <w:numFmt w:val="bullet"/>
      <w:start w:val="1"/>
    </w:lvl>
  </w:abstractNum>
  <w:abstractNum w:abstractNumId="164">
    <w:nsid w:val="2E8A6394"/>
    <w:multiLevelType w:val="hybridMultilevel"/>
    <w:lvl w:ilvl="0">
      <w:lvlJc w:val="left"/>
      <w:lvlText w:val="•"/>
      <w:numFmt w:val="bullet"/>
      <w:start w:val="1"/>
    </w:lvl>
    <w:lvl w:ilvl="1">
      <w:lvlJc w:val="left"/>
      <w:lvlText w:val="◦"/>
      <w:numFmt w:val="bullet"/>
      <w:start w:val="1"/>
    </w:lvl>
  </w:abstractNum>
  <w:abstractNum w:abstractNumId="165">
    <w:nsid w:val="24E60401"/>
    <w:multiLevelType w:val="hybridMultilevel"/>
    <w:lvl w:ilvl="0">
      <w:lvlJc w:val="left"/>
      <w:lvlText w:val="&amp;"/>
      <w:numFmt w:val="bullet"/>
      <w:start w:val="1"/>
    </w:lvl>
  </w:abstractNum>
  <w:abstractNum w:abstractNumId="166">
    <w:nsid w:val="2A6AD9BE"/>
    <w:multiLevelType w:val="hybridMultilevel"/>
    <w:lvl w:ilvl="0">
      <w:lvlJc w:val="left"/>
      <w:lvlText w:val="&amp;"/>
      <w:numFmt w:val="bullet"/>
      <w:start w:val="1"/>
    </w:lvl>
  </w:abstractNum>
  <w:abstractNum w:abstractNumId="167">
    <w:nsid w:val="BAAC1B4"/>
    <w:multiLevelType w:val="hybridMultilevel"/>
    <w:lvl w:ilvl="0">
      <w:lvlJc w:val="left"/>
      <w:lvlText w:val="(%1)"/>
      <w:numFmt w:val="decimal"/>
      <w:start w:val="1"/>
    </w:lvl>
  </w:abstractNum>
  <w:abstractNum w:abstractNumId="168">
    <w:nsid w:val="36B2ACBC"/>
    <w:multiLevelType w:val="hybridMultilevel"/>
    <w:lvl w:ilvl="0">
      <w:lvlJc w:val="left"/>
      <w:lvlText w:val="(%1)"/>
      <w:numFmt w:val="lowerRoman"/>
      <w:start w:val="1"/>
    </w:lvl>
  </w:abstractNum>
  <w:abstractNum w:abstractNumId="169">
    <w:nsid w:val="779D8544"/>
    <w:multiLevelType w:val="hybridMultilevel"/>
    <w:lvl w:ilvl="0">
      <w:lvlJc w:val="left"/>
      <w:lvlText w:val="(%1)"/>
      <w:numFmt w:val="decimal"/>
      <w:start w:val="1"/>
    </w:lvl>
  </w:abstractNum>
  <w:abstractNum w:abstractNumId="170">
    <w:nsid w:val="4AB26E78"/>
    <w:multiLevelType w:val="hybridMultilevel"/>
    <w:lvl w:ilvl="0">
      <w:lvlJc w:val="left"/>
      <w:lvlText w:val="(%1)"/>
      <w:numFmt w:val="decimal"/>
      <w:start w:val="1"/>
    </w:lvl>
  </w:abstractNum>
  <w:abstractNum w:abstractNumId="171">
    <w:nsid w:val="21FAA2FA"/>
    <w:multiLevelType w:val="hybridMultilevel"/>
    <w:lvl w:ilvl="0">
      <w:lvlJc w:val="left"/>
      <w:lvlText w:val="•"/>
      <w:numFmt w:val="bullet"/>
      <w:start w:val="1"/>
    </w:lvl>
  </w:abstractNum>
  <w:abstractNum w:abstractNumId="172">
    <w:nsid w:val="5451CF49"/>
    <w:multiLevelType w:val="hybridMultilevel"/>
    <w:lvl w:ilvl="0">
      <w:lvlJc w:val="left"/>
      <w:lvlText w:val="•"/>
      <w:numFmt w:val="bullet"/>
      <w:start w:val="1"/>
    </w:lvl>
  </w:abstractNum>
  <w:abstractNum w:abstractNumId="173">
    <w:nsid w:val="6181EF69"/>
    <w:multiLevelType w:val="hybridMultilevel"/>
    <w:lvl w:ilvl="0">
      <w:lvlJc w:val="left"/>
      <w:lvlText w:val="(%1)"/>
      <w:numFmt w:val="decimal"/>
      <w:start w:val="1"/>
    </w:lvl>
  </w:abstractNum>
  <w:abstractNum w:abstractNumId="174">
    <w:nsid w:val="3E6400E6"/>
    <w:multiLevelType w:val="hybridMultilevel"/>
    <w:lvl w:ilvl="0">
      <w:lvlJc w:val="left"/>
      <w:lvlText w:val="(%1)"/>
      <w:numFmt w:val="decimal"/>
      <w:start w:val="1"/>
    </w:lvl>
  </w:abstractNum>
  <w:abstractNum w:abstractNumId="175">
    <w:nsid w:val="14217E23"/>
    <w:multiLevelType w:val="hybridMultilevel"/>
    <w:lvl w:ilvl="0">
      <w:lvlJc w:val="left"/>
      <w:lvlText w:val="(%1)"/>
      <w:numFmt w:val="decimal"/>
      <w:start w:val="1"/>
    </w:lvl>
  </w:abstractNum>
  <w:abstractNum w:abstractNumId="176">
    <w:nsid w:val="710757D0"/>
    <w:multiLevelType w:val="hybridMultilevel"/>
    <w:lvl w:ilvl="0">
      <w:lvlJc w:val="left"/>
      <w:lvlText w:val="(%1)"/>
      <w:numFmt w:val="decimal"/>
      <w:start w:val="1"/>
    </w:lvl>
  </w:abstractNum>
  <w:abstractNum w:abstractNumId="177">
    <w:nsid w:val="5015CD1A"/>
    <w:multiLevelType w:val="hybridMultilevel"/>
    <w:lvl w:ilvl="0">
      <w:lvlJc w:val="left"/>
      <w:lvlText w:val="(%1)"/>
      <w:numFmt w:val="decimal"/>
      <w:start w:val="1"/>
    </w:lvl>
  </w:abstractNum>
  <w:abstractNum w:abstractNumId="178">
    <w:nsid w:val="424479DA"/>
    <w:multiLevelType w:val="hybridMultilevel"/>
    <w:lvl w:ilvl="0">
      <w:lvlJc w:val="left"/>
      <w:lvlText w:val="(%1)"/>
      <w:numFmt w:val="decimal"/>
      <w:start w:val="1"/>
    </w:lvl>
  </w:abstractNum>
  <w:abstractNum w:abstractNumId="179">
    <w:nsid w:val="1A9A9E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2026-02-11T16:27:19Z</dcterms:created>
  <dcterms:modified xsi:type="dcterms:W3CDTF">2026-02-11T16:27:19Z</dcterms:modified>
</cp:coreProperties>
</file>