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001-43124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98-1878833</w:t>
            </w:r>
          </w:p>
        </w:tc>
      </w:tr>
      <w:tr>
        <w:trPr>
          <w:trHeight w:val="189"/>
        </w:trPr>
        <w:tc>
          <w:tcPr>
            <w:tcW w:w="4120" w:type="dxa"/>
            <w:vAlign w:val="bottom"/>
          </w:tcPr>
          <w:p>
            <w:pPr>
              <w:jc w:val="center"/>
              <w:ind w:right="1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Alabama 35758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1"/>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4"/>
        </w:trPr>
        <w:tc>
          <w:tcPr>
            <w:tcW w:w="556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B Ordinary Shares</w:t>
            </w:r>
          </w:p>
        </w:tc>
        <w:tc>
          <w:tcPr>
            <w:tcW w:w="1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jc w:val="both"/>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CROSS-REFERENCE SHEET BETWEEN ITEMS OF FORM 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ATTACHED INFORMATION STATEMENT.</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the following Form 10 Registration Statement items is contained in the information statement sections identified below, each of which is incorporated in this report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“Management’s Discussion and Analysis of Financial Condition and Results of Operations,” “Business of Octave,” “Where You Can Find More Information” and “Index to Combined Financial Statements.”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“Risk Factors.”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“Management’s Discussion and Analysis of Financial Condition and Results of Operations.”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Octave—Properties.”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“Security Ownership of Certain Beneficial Owners and Management and Related Shareholder Matters.”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“Corporate Governance and Management.”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“Compensation Discussion and Analysis,” “Executive Compensation” and “Director Compensation”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“Certain Relationships and Related Party Transactions” and “Security Ownership of Certain Beneficial Owners and Management and Related Shareholder Matters.”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Octave—Legal Proceedings.” That section is incorporated herein by reference.</w:t>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Shareholder Matters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Separation and the Distribution,” “Business of Octave,” “Compensation Discussion and Analysis” and “Description of Our Share Capital.”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“Description of Material Indebtedness” and “Description of Our Share Capital—Sale of Unregistered Securities.”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Separation and the Distribution” and “Description of Our Share Capital.”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“Indemnification of Directors and Officers.”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7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under the sections of the information statement entitled “Management’s Discussion and Analysis of Financial Condition and Results of Operations” and “Index to Combined Financial Statements.” Those sections are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75" w:lineRule="exact"/>
        <w:rPr>
          <w:sz w:val="20"/>
          <w:szCs w:val="20"/>
          <w:color w:val="auto"/>
        </w:rPr>
      </w:pPr>
    </w:p>
    <w:p>
      <w:pPr>
        <w:ind w:left="660" w:right="14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under the section “Index to Combined Financial Statements” beginning on page F-1 of the information statement. That section is incorporated herein by reference.</w:t>
      </w:r>
    </w:p>
    <w:p>
      <w:pPr>
        <w:sectPr>
          <w:pgSz w:w="11900" w:h="16838" w:orient="portrait"/>
          <w:cols w:equalWidth="0" w:num="1">
            <w:col w:w="11200"/>
          </w:cols>
          <w:pgMar w:left="320" w:top="141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1064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11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tc>
      </w:tr>
      <w:tr>
        <w:trPr>
          <w:trHeight w:val="36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gridSpan w:val="13"/>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3"/>
        </w:trPr>
        <w:tc>
          <w:tcPr>
            <w:tcW w:w="6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20"/>
          </w:tcPr>
          <w:p>
            <w:pPr>
              <w:spacing w:after="0" w:line="18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Distribution Agreement by and between Hexagon AB and Octave Intelligence plc</w:t>
              </w:r>
            </w:hyperlink>
            <w:r>
              <w:rPr>
                <w:rFonts w:ascii="Times New Roman" w:cs="Times New Roman" w:eastAsia="Times New Roman" w:hAnsi="Times New Roman"/>
                <w:sz w:val="18"/>
                <w:szCs w:val="18"/>
                <w:color w:val="000000"/>
              </w:rPr>
              <w:t>*</w:t>
            </w: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Articles and Memorandum of Association of Octave Intelligence plc</w:t>
              </w:r>
            </w:hyperlink>
            <w:r>
              <w:rPr>
                <w:rFonts w:ascii="Times New Roman" w:cs="Times New Roman" w:eastAsia="Times New Roman" w:hAnsi="Times New Roman"/>
                <w:sz w:val="18"/>
                <w:szCs w:val="18"/>
                <w:color w:val="000000"/>
              </w:rPr>
              <w:t>*</w:t>
            </w:r>
          </w:p>
        </w:tc>
        <w:tc>
          <w:tcPr>
            <w:tcW w:w="3500" w:type="dxa"/>
            <w:vAlign w:val="bottom"/>
            <w:gridSpan w:val="11"/>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General Terms and Conditions for Swedish Depository Receipts in Octave Intelligence plc</w:t>
              </w:r>
            </w:hyperlink>
            <w:r>
              <w:rPr>
                <w:rFonts w:ascii="Times New Roman" w:cs="Times New Roman" w:eastAsia="Times New Roman" w:hAnsi="Times New Roman"/>
                <w:sz w:val="18"/>
                <w:szCs w:val="18"/>
                <w:color w:val="000000"/>
              </w:rPr>
              <w:t>*</w:t>
            </w: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4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Tax Disaffiliation Agreement, by and between Hexagon AB and Octave Intelligence plc</w:t>
              </w:r>
            </w:hyperlink>
            <w:r>
              <w:rPr>
                <w:rFonts w:ascii="Times New Roman" w:cs="Times New Roman" w:eastAsia="Times New Roman" w:hAnsi="Times New Roman"/>
                <w:sz w:val="18"/>
                <w:szCs w:val="18"/>
                <w:color w:val="000000"/>
              </w:rPr>
              <w:t>*</w:t>
            </w:r>
          </w:p>
        </w:tc>
        <w:tc>
          <w:tcPr>
            <w:tcW w:w="2880" w:type="dxa"/>
            <w:vAlign w:val="bottom"/>
            <w:gridSpan w:val="8"/>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Employee Matters Agreement, by and between Hexagon AB and Octave Intelligence plc</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of Master Transition Services Agreement, by and between Hexagon AB and Octave Intelligence plc</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Deed of Indemnification entered into by Octave Intelligence plc for the benefit of certain individual directors and officers</w:t>
              </w:r>
            </w:hyperlink>
            <w:r>
              <w:rPr>
                <w:rFonts w:ascii="Times New Roman" w:cs="Times New Roman" w:eastAsia="Times New Roman" w:hAnsi="Times New Roman"/>
                <w:sz w:val="18"/>
                <w:szCs w:val="18"/>
                <w:color w:val="000000"/>
              </w:rPr>
              <w:t>*</w:t>
            </w: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of Indemnification Agreement between Intergraph Corporation and certain individual directors and officers</w:t>
              </w:r>
            </w:hyperlink>
            <w:r>
              <w:rPr>
                <w:rFonts w:ascii="Times New Roman" w:cs="Times New Roman" w:eastAsia="Times New Roman" w:hAnsi="Times New Roman"/>
                <w:sz w:val="18"/>
                <w:szCs w:val="18"/>
                <w:color w:val="000000"/>
              </w:rPr>
              <w:t>*</w:t>
            </w:r>
          </w:p>
        </w:tc>
        <w:tc>
          <w:tcPr>
            <w:tcW w:w="660" w:type="dxa"/>
            <w:vAlign w:val="bottom"/>
            <w:gridSpan w:val="3"/>
          </w:tcPr>
          <w:p>
            <w:pPr>
              <w:spacing w:after="0"/>
              <w:rPr>
                <w:sz w:val="22"/>
                <w:szCs w:val="22"/>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Form of Registration Rights Agreement by and between Octave Intelligence plc and Melker Schörling AB</w:t>
              </w:r>
            </w:hyperlink>
            <w:r>
              <w:rPr>
                <w:rFonts w:ascii="Times New Roman" w:cs="Times New Roman" w:eastAsia="Times New Roman" w:hAnsi="Times New Roman"/>
                <w:sz w:val="18"/>
                <w:szCs w:val="18"/>
                <w:color w:val="000000"/>
              </w:rPr>
              <w:t>*</w:t>
            </w:r>
          </w:p>
        </w:tc>
        <w:tc>
          <w:tcPr>
            <w:tcW w:w="1860" w:type="dxa"/>
            <w:vAlign w:val="bottom"/>
            <w:gridSpan w:val="4"/>
          </w:tcPr>
          <w:p>
            <w:pPr>
              <w:spacing w:after="0"/>
              <w:rPr>
                <w:sz w:val="22"/>
                <w:szCs w:val="22"/>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6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Form of Executive Employment Agreement</w:t>
              </w:r>
            </w:hyperlink>
            <w:r>
              <w:rPr>
                <w:rFonts w:ascii="Times New Roman" w:cs="Times New Roman" w:eastAsia="Times New Roman" w:hAnsi="Times New Roman"/>
                <w:sz w:val="18"/>
                <w:szCs w:val="18"/>
                <w:color w:val="000000"/>
              </w:rPr>
              <w:t>*</w:t>
            </w:r>
          </w:p>
        </w:tc>
        <w:tc>
          <w:tcPr>
            <w:tcW w:w="2360" w:type="dxa"/>
            <w:vAlign w:val="bottom"/>
            <w:gridSpan w:val="6"/>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Executive Employment Agreement, dated as of March 22, 2026, by and between Mattias Stenberg and Intergraph Corporation D/B/A</w:t>
              </w:r>
            </w:hyperlink>
          </w:p>
        </w:tc>
      </w:tr>
      <w:tr>
        <w:trPr>
          <w:trHeight w:val="155"/>
        </w:trPr>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Octave</w:t>
              </w:r>
              <w:r>
                <w:rPr>
                  <w:rFonts w:ascii="Times New Roman" w:cs="Times New Roman" w:eastAsia="Times New Roman" w:hAnsi="Times New Roman"/>
                  <w:sz w:val="18"/>
                  <w:szCs w:val="18"/>
                  <w:color w:val="000000"/>
                </w:rPr>
                <w:t>*</w:t>
              </w:r>
            </w:hyperlink>
          </w:p>
        </w:tc>
        <w:tc>
          <w:tcPr>
            <w:tcW w:w="40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77"/>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Octave Intelligence plc Long-Term Incentive Plan</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20"/>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Octave Intelligence plc Employee Share Purchase Plan</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0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Credit Agreement, dated April 27, 2026, by and between Hexagon AB, Octave Intelligence plc, Borrowers, Borrowing Subsidiaries,</w:t>
            </w:r>
          </w:p>
        </w:tc>
      </w:tr>
      <w:tr>
        <w:trPr>
          <w:trHeight w:val="156"/>
        </w:trPr>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Lenders and Bank</w:t>
            </w:r>
          </w:p>
        </w:tc>
        <w:tc>
          <w:tcPr>
            <w:tcW w:w="81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of America, N.A.</w:t>
            </w:r>
          </w:p>
        </w:tc>
        <w:tc>
          <w:tcPr>
            <w:tcW w:w="500" w:type="dxa"/>
            <w:vAlign w:val="bottom"/>
            <w:gridSpan w:val="2"/>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r>
      <w:tr>
        <w:trPr>
          <w:trHeight w:val="277"/>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Subsidiaries of Octave Intelligence plc</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Information Statement of Octave Intelligence plc, preliminary and subject to completion, dated April 27, 2026</w:t>
            </w:r>
          </w:p>
        </w:tc>
        <w:tc>
          <w:tcPr>
            <w:tcW w:w="2080" w:type="dxa"/>
            <w:vAlign w:val="bottom"/>
            <w:gridSpan w:val="5"/>
          </w:tcPr>
          <w:p>
            <w:pPr>
              <w:spacing w:after="0"/>
              <w:rPr>
                <w:sz w:val="22"/>
                <w:szCs w:val="22"/>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ectPr>
          <w:pgSz w:w="11900" w:h="16838" w:orient="portrait"/>
          <w:cols w:equalWidth="0" w:num="1">
            <w:col w:w="11240"/>
          </w:cols>
          <w:pgMar w:left="320" w:top="1417" w:right="33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2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Octave Intelligence plc</w:t>
            </w:r>
          </w:p>
        </w:tc>
      </w:tr>
      <w:tr>
        <w:trPr>
          <w:trHeight w:val="446"/>
        </w:trPr>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Mattias Stenberg</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27, 2026</w:t>
            </w: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14"/>
        </w:trPr>
        <w:tc>
          <w:tcPr>
            <w:tcW w:w="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448310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474345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Published Deal CUSIP Number: G2284RAA4</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Revolving Facility CUSIP Number: G2284RAB2</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Dollar Tranche Term Loan Facility CUSIP Number: G2284RAC0</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Euro Tranche Term Loan Facility CUSIP Number: G2284RAD8</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dated as of</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April 27, 2026,</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HEXAGON AB,</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Parent,</w:t>
      </w:r>
    </w:p>
    <w:p>
      <w:pPr>
        <w:spacing w:after="0" w:line="200" w:lineRule="exact"/>
        <w:rPr>
          <w:sz w:val="20"/>
          <w:szCs w:val="20"/>
          <w:color w:val="auto"/>
        </w:rPr>
      </w:pPr>
    </w:p>
    <w:p>
      <w:pPr>
        <w:spacing w:after="0" w:line="2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OCTAVE INTELLIGENCE PLC,</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Company,</w:t>
      </w:r>
    </w:p>
    <w:p>
      <w:pPr>
        <w:spacing w:after="0" w:line="200" w:lineRule="exact"/>
        <w:rPr>
          <w:sz w:val="20"/>
          <w:szCs w:val="20"/>
          <w:color w:val="auto"/>
        </w:rPr>
      </w:pPr>
    </w:p>
    <w:p>
      <w:pPr>
        <w:spacing w:after="0" w:line="23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the other BORROWERS Party Hereto,</w:t>
      </w:r>
    </w:p>
    <w:p>
      <w:pPr>
        <w:spacing w:after="0" w:line="11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the BORROWING SUBSIDIARIES Party Hereto,</w:t>
      </w:r>
    </w:p>
    <w:p>
      <w:pPr>
        <w:spacing w:after="0" w:line="1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1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and</w:t>
      </w:r>
    </w:p>
    <w:p>
      <w:pPr>
        <w:spacing w:after="0" w:line="1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8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1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1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and</w:t>
      </w:r>
    </w:p>
    <w:p>
      <w:pPr>
        <w:spacing w:after="0" w:line="1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BNP PARIBAS SECURITIES CORP.,</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BNP PARIBAS SECURITIES CORP., DEUTSCHE BANK LUXEMBOURG S.A.,</w:t>
      </w:r>
    </w:p>
    <w:p>
      <w:pPr>
        <w:spacing w:after="0" w:line="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NORDEA BANK ABP, FILIAL I SVERIGE and</w:t>
      </w:r>
    </w:p>
    <w:p>
      <w:pPr>
        <w:ind w:left="3200"/>
        <w:spacing w:after="0" w:line="217" w:lineRule="auto"/>
        <w:rPr>
          <w:sz w:val="20"/>
          <w:szCs w:val="20"/>
          <w:color w:val="auto"/>
        </w:rPr>
      </w:pPr>
      <w:r>
        <w:rPr>
          <w:rFonts w:ascii="Times New Roman" w:cs="Times New Roman" w:eastAsia="Times New Roman" w:hAnsi="Times New Roman"/>
          <w:sz w:val="22"/>
          <w:szCs w:val="22"/>
          <w:color w:val="auto"/>
        </w:rPr>
        <w:t>SKANDINAVISKA ENSKILDA BANKEN AB</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as Syndication Agents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DANSKE BANK A/S, DANMARK, SVERIGE FILIAL, PNC BANK, NATIONAL ASSOCIATION, ROYAL BANK OF</w:t>
      </w:r>
    </w:p>
    <w:p>
      <w:pPr>
        <w:spacing w:after="0" w:line="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CANADA and</w:t>
      </w:r>
    </w:p>
    <w:p>
      <w:pPr>
        <w:jc w:val="center"/>
        <w:ind w:right="320"/>
        <w:spacing w:after="0" w:line="230" w:lineRule="auto"/>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Documentation Agents</w:t>
      </w:r>
    </w:p>
    <w:p>
      <w:pPr>
        <w:sectPr>
          <w:pgSz w:w="11900" w:h="16838" w:orient="portrait"/>
          <w:cols w:equalWidth="0" w:num="1">
            <w:col w:w="10920"/>
          </w:cols>
          <w:pgMar w:left="640" w:top="11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2908935</wp:posOffset>
            </wp:positionV>
            <wp:extent cx="7140575" cy="1209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4057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NOTICE: Under the Credit Reporting Act 2013 of Ireland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 The personal and credit information to be provided by lenders includes details of any guarantees provided in connection with such credit applications and credit agreements.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The Central Credit Register is owned and operated by the Central Bank of Ireland. For information, including on how your data is processed, see </w:t>
      </w:r>
      <w:r>
        <w:rPr>
          <w:rFonts w:ascii="Times New Roman" w:cs="Times New Roman" w:eastAsia="Times New Roman" w:hAnsi="Times New Roman"/>
          <w:sz w:val="18"/>
          <w:szCs w:val="18"/>
          <w:b w:val="1"/>
          <w:bCs w:val="1"/>
          <w:u w:val="single" w:color="auto"/>
          <w:color w:val="0563C1"/>
        </w:rPr>
        <w:t>www.centralcreditregister</w:t>
      </w:r>
    </w:p>
    <w:p>
      <w:pPr>
        <w:sectPr>
          <w:pgSz w:w="11900" w:h="16838" w:orient="portrait"/>
          <w:cols w:equalWidth="0" w:num="1">
            <w:col w:w="10880"/>
          </w:cols>
          <w:pgMar w:left="420" w:top="1440" w:right="599" w:bottom="1440" w:gutter="0" w:footer="0" w:header="0"/>
        </w:sectPr>
      </w:pPr>
    </w:p>
    <w:bookmarkStart w:id="7" w:name="page8"/>
    <w:bookmarkEnd w:id="7"/>
    <w:p>
      <w:pPr>
        <w:ind w:left="458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 Definitions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color w:val="auto"/>
        </w:rPr>
        <w:t>Defined Terms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color w:val="auto"/>
        </w:rPr>
        <w:t>Classification of Loans and Borrowings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color w:val="auto"/>
        </w:rPr>
        <w:t>Terms Generally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color w:val="auto"/>
        </w:rPr>
        <w:t>Accounting Terms; GAAP; Pro Forma Calculations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color w:val="auto"/>
        </w:rPr>
        <w:t>Currency Translation</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color w:val="auto"/>
        </w:rPr>
        <w:t>Interest Rates; Licensing</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color w:val="auto"/>
        </w:rPr>
        <w:t>Divisions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1.08</w:t>
      </w:r>
      <w:r>
        <w:rPr>
          <w:sz w:val="20"/>
          <w:szCs w:val="20"/>
          <w:color w:val="auto"/>
        </w:rPr>
        <w:tab/>
      </w:r>
      <w:r>
        <w:rPr>
          <w:rFonts w:ascii="Times New Roman" w:cs="Times New Roman" w:eastAsia="Times New Roman" w:hAnsi="Times New Roman"/>
          <w:sz w:val="21"/>
          <w:szCs w:val="21"/>
          <w:color w:val="auto"/>
        </w:rPr>
        <w:t>Irish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 The Credits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color w:val="auto"/>
        </w:rPr>
        <w:t>Commitments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color w:val="auto"/>
        </w:rPr>
        <w:t>Loans and Borrowings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color w:val="auto"/>
        </w:rPr>
        <w:t>Requests for Borrowings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color w:val="auto"/>
        </w:rPr>
        <w:t>Funding of Borrowings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color w:val="auto"/>
        </w:rPr>
        <w:t>Interest Elections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color w:val="auto"/>
        </w:rPr>
        <w:t>Termination and Reduction of Commitments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color w:val="auto"/>
        </w:rPr>
        <w:t>Repayment of Loans; Evidence of Debt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color w:val="auto"/>
        </w:rPr>
        <w:t>Prepayment of Loans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color w:val="auto"/>
        </w:rPr>
        <w:t>Fees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color w:val="auto"/>
        </w:rPr>
        <w:t>Interest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color w:val="auto"/>
        </w:rPr>
        <w:t>Alternate Rate of Interest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color w:val="auto"/>
        </w:rPr>
        <w:t>Increased Costs; Illegality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color w:val="auto"/>
        </w:rPr>
        <w:t>Break Funding Payments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19"/>
          <w:szCs w:val="19"/>
          <w:color w:val="auto"/>
        </w:rPr>
        <w:t>Taxes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color w:val="auto"/>
        </w:rPr>
        <w:t>Payments Generally; Pro Rata Treatment; Sharing of Setoffs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color w:val="auto"/>
        </w:rPr>
        <w:t>Mitigation Obligations; Replacement of Lenders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color w:val="auto"/>
        </w:rPr>
        <w:t>Defaulting Lenders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color w:val="auto"/>
        </w:rPr>
        <w:t>Incremental Facilities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color w:val="auto"/>
        </w:rPr>
        <w:t>Requests for Extension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31115</wp:posOffset>
            </wp:positionV>
            <wp:extent cx="462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1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43</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43</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44</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44</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46</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47</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48</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50</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50</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53</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54</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58</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61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62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70</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72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73</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76</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78</w:t>
      </w:r>
    </w:p>
    <w:p>
      <w:pPr>
        <w:sectPr>
          <w:pgSz w:w="11900" w:h="16838" w:orient="portrait"/>
          <w:cols w:equalWidth="0" w:num="2">
            <w:col w:w="9840" w:space="720"/>
            <w:col w:w="320"/>
          </w:cols>
          <w:pgMar w:left="340" w:top="1422" w:right="679" w:bottom="1440" w:gutter="0" w:footer="0" w:header="0"/>
        </w:sectPr>
      </w:pPr>
    </w:p>
    <w:bookmarkStart w:id="8" w:name="page9"/>
    <w:bookmarkEnd w:id="8"/>
    <w:p>
      <w:pPr>
        <w:spacing w:after="0" w:line="23"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color w:val="auto"/>
        </w:rPr>
        <w:t>Letters of Credit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2.21</w:t>
      </w:r>
      <w:r>
        <w:rPr>
          <w:sz w:val="20"/>
          <w:szCs w:val="20"/>
          <w:color w:val="auto"/>
        </w:rPr>
        <w:tab/>
      </w:r>
      <w:r>
        <w:rPr>
          <w:rFonts w:ascii="Times New Roman" w:cs="Times New Roman" w:eastAsia="Times New Roman" w:hAnsi="Times New Roman"/>
          <w:sz w:val="21"/>
          <w:szCs w:val="21"/>
          <w:color w:val="auto"/>
        </w:rPr>
        <w:t>Swingline Loans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2.22</w:t>
      </w:r>
      <w:r>
        <w:rPr>
          <w:sz w:val="20"/>
          <w:szCs w:val="20"/>
          <w:color w:val="auto"/>
        </w:rPr>
        <w:tab/>
      </w:r>
      <w:r>
        <w:rPr>
          <w:rFonts w:ascii="Times New Roman" w:cs="Times New Roman" w:eastAsia="Times New Roman" w:hAnsi="Times New Roman"/>
          <w:sz w:val="21"/>
          <w:szCs w:val="21"/>
          <w:color w:val="auto"/>
        </w:rPr>
        <w:t>Borrowing Subsidiaries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Representations and Warranties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color w:val="auto"/>
        </w:rPr>
        <w:t>Organization; Corporate Powers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color w:val="auto"/>
        </w:rPr>
        <w:t>Authorization and Validity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color w:val="auto"/>
        </w:rPr>
        <w:t>No Conflict; Government Consent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color w:val="auto"/>
        </w:rPr>
        <w:t>Financial Statements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color w:val="auto"/>
        </w:rPr>
        <w:t>No Material Adverse Effect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19"/>
          <w:szCs w:val="19"/>
          <w:color w:val="auto"/>
        </w:rPr>
        <w:t>Taxes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color w:val="auto"/>
        </w:rPr>
        <w:t>Litigation and Contingent Obligations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color w:val="auto"/>
        </w:rPr>
        <w:t>Employee Benefits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color w:val="auto"/>
        </w:rPr>
        <w:t>Accuracy of Information</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color w:val="auto"/>
        </w:rPr>
        <w:t>Federal Reserve Regulations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color w:val="auto"/>
        </w:rPr>
        <w:t>Compliance with Laws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color w:val="auto"/>
        </w:rPr>
        <w:t>Ownership of Properties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color w:val="auto"/>
        </w:rPr>
        <w:t>Investment Company Act Status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color w:val="auto"/>
        </w:rPr>
        <w:t>Environmental Matters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color w:val="auto"/>
        </w:rPr>
        <w:t>Use of Proceeds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color w:val="auto"/>
        </w:rPr>
        <w:t>Solvency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color w:val="auto"/>
        </w:rPr>
        <w:t>Affected Financial Institutions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color w:val="auto"/>
        </w:rPr>
        <w:t>Anti-Corruption Laws and Sanctions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color w:val="auto"/>
        </w:rPr>
        <w:t>Representations and Warranties of each Borrowing Subsidiary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color w:val="auto"/>
        </w:rPr>
        <w:t>Covered Entities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 Conditions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color w:val="auto"/>
        </w:rPr>
        <w:t>Conditions to Effective Date</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color w:val="auto"/>
        </w:rPr>
        <w:t>Conditions to Each Revolving Credit Event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color w:val="auto"/>
        </w:rPr>
        <w:t>Conditions to Initial Revolving Credit Event to each Borrowing Subsidiary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color w:val="auto"/>
        </w:rPr>
        <w:t>Conditions to Closing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80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86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88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97</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98</w:t>
      </w:r>
    </w:p>
    <w:p>
      <w:pPr>
        <w:spacing w:after="0" w:line="200" w:lineRule="exact"/>
        <w:rPr>
          <w:sz w:val="20"/>
          <w:szCs w:val="20"/>
          <w:color w:val="auto"/>
        </w:rPr>
      </w:pPr>
    </w:p>
    <w:p>
      <w:pPr>
        <w:sectPr>
          <w:pgSz w:w="11900" w:h="16838" w:orient="portrait"/>
          <w:cols w:equalWidth="0" w:num="2">
            <w:col w:w="9880" w:space="720"/>
            <w:col w:w="2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840"/>
          </w:cols>
          <w:pgMar w:left="340" w:top="1440" w:right="719" w:bottom="1440" w:gutter="0" w:footer="0" w:header="0"/>
          <w:type w:val="continuous"/>
        </w:sectPr>
      </w:pPr>
    </w:p>
    <w:bookmarkStart w:id="9" w:name="page10"/>
    <w:bookmarkEnd w:id="9"/>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 Affirmative Covenants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color w:val="auto"/>
        </w:rPr>
        <w:t>Financial Reporting</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color w:val="auto"/>
        </w:rPr>
        <w:t>Notice of Material Events; Other Information</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color w:val="auto"/>
        </w:rPr>
        <w:t>Corporate Existence, Etc</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color w:val="auto"/>
        </w:rPr>
        <w:t>Corporate Powers; Conduct of Business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color w:val="auto"/>
        </w:rPr>
        <w:t>Compliance with Laws, Etc</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color w:val="auto"/>
        </w:rPr>
        <w:t>Payment of Taxes and Claims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color w:val="auto"/>
        </w:rPr>
        <w:t>Insurance</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color w:val="auto"/>
        </w:rPr>
        <w:t>Inspection of Property; Books and Records; Discussions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color w:val="auto"/>
        </w:rPr>
        <w:t>Maintenance of Property</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color w:val="auto"/>
        </w:rPr>
        <w:t>Use of Proceeds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color w:val="auto"/>
        </w:rPr>
        <w:t>Governmental Approvals and Authorizations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Negative Covenants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color w:val="auto"/>
        </w:rPr>
        <w:t>Liens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color w:val="auto"/>
        </w:rPr>
        <w:t>Indebtedness of Subsidiaries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color w:val="auto"/>
        </w:rPr>
        <w:t>Asset Sales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color w:val="auto"/>
        </w:rPr>
        <w:t>Use of Proceeds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color w:val="auto"/>
        </w:rPr>
        <w:t>Restriction on Fundamental Changes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color w:val="auto"/>
        </w:rPr>
        <w:t>Margin Regulations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color w:val="auto"/>
        </w:rPr>
        <w:t>Financial Covenant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 Events of Default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color w:val="auto"/>
        </w:rPr>
        <w:t>Defaults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VIII The Administrative Agent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IX Guarantee</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color w:val="auto"/>
        </w:rPr>
        <w:t>Guarantee</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color w:val="auto"/>
        </w:rPr>
        <w:t>Waivers</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color w:val="auto"/>
        </w:rPr>
        <w:t>Guarantee Absolute</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color w:val="auto"/>
        </w:rPr>
        <w:t>Acceleration</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color w:val="auto"/>
        </w:rPr>
        <w:t>Marshaling; Reinstatement</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color w:val="auto"/>
        </w:rPr>
        <w:t>Subrogation</w:t>
      </w:r>
    </w:p>
    <w:p>
      <w:pPr>
        <w:spacing w:after="0" w:line="139" w:lineRule="exact"/>
        <w:rPr>
          <w:sz w:val="20"/>
          <w:szCs w:val="20"/>
          <w:color w:val="auto"/>
        </w:rPr>
      </w:pPr>
    </w:p>
    <w:p>
      <w:pPr>
        <w:ind w:left="280"/>
        <w:spacing w:after="0"/>
        <w:tabs>
          <w:tab w:leader="none" w:pos="2380" w:val="left"/>
        </w:tabs>
        <w:rPr>
          <w:sz w:val="20"/>
          <w:szCs w:val="20"/>
          <w:color w:val="auto"/>
        </w:rPr>
      </w:pPr>
      <w:r>
        <w:rPr>
          <w:rFonts w:ascii="Times New Roman" w:cs="Times New Roman" w:eastAsia="Times New Roman" w:hAnsi="Times New Roman"/>
          <w:sz w:val="22"/>
          <w:szCs w:val="22"/>
          <w:color w:val="auto"/>
        </w:rPr>
        <w:t>Section 9.07</w:t>
      </w:r>
      <w:r>
        <w:rPr>
          <w:sz w:val="20"/>
          <w:szCs w:val="20"/>
          <w:color w:val="auto"/>
        </w:rPr>
        <w:tab/>
      </w:r>
      <w:r>
        <w:rPr>
          <w:rFonts w:ascii="Times New Roman" w:cs="Times New Roman" w:eastAsia="Times New Roman" w:hAnsi="Times New Roman"/>
          <w:sz w:val="21"/>
          <w:szCs w:val="21"/>
          <w:color w:val="auto"/>
        </w:rPr>
        <w:t>Termination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99</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color w:val="auto"/>
        </w:rPr>
        <w:t>99</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100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109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110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110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113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119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119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122</w:t>
      </w:r>
    </w:p>
    <w:p>
      <w:pPr>
        <w:spacing w:after="0" w:line="200" w:lineRule="exact"/>
        <w:rPr>
          <w:sz w:val="20"/>
          <w:szCs w:val="20"/>
          <w:color w:val="auto"/>
        </w:rPr>
      </w:pPr>
    </w:p>
    <w:p>
      <w:pPr>
        <w:sectPr>
          <w:pgSz w:w="11900" w:h="16838" w:orient="portrait"/>
          <w:cols w:equalWidth="0" w:num="2">
            <w:col w:w="9820" w:space="720"/>
            <w:col w:w="360"/>
          </w:cols>
          <w:pgMar w:left="340" w:top="1440" w:right="659" w:bottom="9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900"/>
          </w:cols>
          <w:pgMar w:left="340" w:top="1440" w:right="659" w:bottom="989" w:gutter="0" w:footer="0" w:header="0"/>
          <w:type w:val="continuous"/>
        </w:sectPr>
      </w:pPr>
    </w:p>
    <w:bookmarkStart w:id="10" w:name="page11"/>
    <w:bookmarkEnd w:id="1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9.08</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Pre-Spin and Post-Spin Guarantors</w:t>
            </w:r>
          </w:p>
        </w:tc>
      </w:tr>
      <w:tr>
        <w:trPr>
          <w:trHeight w:val="392"/>
        </w:trPr>
        <w:tc>
          <w:tcPr>
            <w:tcW w:w="89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X Miscellaneous</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10.01</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Notices</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10.02</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Waivers; Amendments</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10.03</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Expenses; Indemnity; Damage Waiver</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10.04</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Successors and Assigns</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10.05</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Survival</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10.06</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Counterparts; Integration; Effectiveness; Electronic Execution</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10.07</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Severability</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10.08</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Right of Setoff</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10.09</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10.10</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 OF JURY TRIAL</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10.11</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Headings</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10.12</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Confidentiality</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10.13</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Rate Limitation</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10.14</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USA PATRIOT Act Notice</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10.15</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Fiduciary Relationship</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10.16</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r>
      <w:tr>
        <w:trPr>
          <w:trHeight w:val="391"/>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10.17</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Conversion of Currencies</w:t>
            </w:r>
          </w:p>
        </w:tc>
      </w:tr>
      <w:tr>
        <w:trPr>
          <w:trHeight w:val="392"/>
        </w:trPr>
        <w:tc>
          <w:tcPr>
            <w:tcW w:w="1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Section 10.18</w:t>
            </w:r>
          </w:p>
        </w:tc>
        <w:tc>
          <w:tcPr>
            <w:tcW w:w="50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Acknowledgement and Consent to Bail-In of Affected Financial Institutions</w:t>
            </w:r>
          </w:p>
        </w:tc>
      </w:tr>
      <w:tr>
        <w:trPr>
          <w:trHeight w:val="798"/>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5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545"/>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2.01 —</w:t>
            </w:r>
          </w:p>
        </w:tc>
        <w:tc>
          <w:tcPr>
            <w:tcW w:w="50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Commitments</w:t>
            </w:r>
          </w:p>
        </w:tc>
      </w:tr>
      <w:tr>
        <w:trPr>
          <w:trHeight w:val="29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6.01 —</w:t>
            </w:r>
          </w:p>
        </w:tc>
        <w:tc>
          <w:tcPr>
            <w:tcW w:w="50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Permitted Existing Liens</w:t>
            </w:r>
          </w:p>
        </w:tc>
      </w:tr>
      <w:tr>
        <w:trPr>
          <w:trHeight w:val="29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6.02 —</w:t>
            </w:r>
          </w:p>
        </w:tc>
        <w:tc>
          <w:tcPr>
            <w:tcW w:w="50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Permitted Existing Indebtedness</w:t>
            </w:r>
          </w:p>
        </w:tc>
      </w:tr>
      <w:tr>
        <w:trPr>
          <w:trHeight w:val="29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10.01 —</w:t>
            </w:r>
          </w:p>
        </w:tc>
        <w:tc>
          <w:tcPr>
            <w:tcW w:w="50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 Information</w:t>
            </w:r>
          </w:p>
        </w:tc>
      </w:tr>
      <w:tr>
        <w:trPr>
          <w:trHeight w:val="67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EXHIBITS:</w:t>
            </w:r>
          </w:p>
        </w:tc>
        <w:tc>
          <w:tcPr>
            <w:tcW w:w="5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546"/>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Exhibit A</w:t>
            </w:r>
          </w:p>
        </w:tc>
        <w:tc>
          <w:tcPr>
            <w:tcW w:w="720" w:type="dxa"/>
            <w:vAlign w:val="bottom"/>
            <w:gridSpan w:val="2"/>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9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B</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Borrowing Request</w:t>
            </w:r>
          </w:p>
        </w:tc>
      </w:tr>
      <w:tr>
        <w:trPr>
          <w:trHeight w:val="297"/>
        </w:trPr>
        <w:tc>
          <w:tcPr>
            <w:tcW w:w="1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C-1</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Borrowing Subsidiary Accession Agreement</w:t>
            </w: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color w:val="auto"/>
        </w:rPr>
        <w:t>122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127</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129</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134</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136</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137</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138</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140</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142</w:t>
      </w:r>
    </w:p>
    <w:p>
      <w:pPr>
        <w:spacing w:after="0" w:line="4316" w:lineRule="exact"/>
        <w:rPr>
          <w:sz w:val="20"/>
          <w:szCs w:val="20"/>
          <w:color w:val="auto"/>
        </w:rPr>
      </w:pPr>
    </w:p>
    <w:p>
      <w:pPr>
        <w:sectPr>
          <w:pgSz w:w="11900" w:h="16838" w:orient="portrait"/>
          <w:cols w:equalWidth="0" w:num="2">
            <w:col w:w="9820" w:space="720"/>
            <w:col w:w="360"/>
          </w:cols>
          <w:pgMar w:left="34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900"/>
          </w:cols>
          <w:pgMar w:left="340" w:top="1440" w:right="659" w:bottom="1440" w:gutter="0" w:footer="0" w:header="0"/>
          <w:type w:val="continuous"/>
        </w:sectPr>
      </w:pPr>
    </w:p>
    <w:bookmarkStart w:id="11" w:name="page12"/>
    <w:bookmarkEnd w:id="1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C-2</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Borrowing Subsidiary Termination</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Compliance Certificate</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Interest Election Request</w:t>
            </w: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F-1</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US Tax Compliance Certificate for Foreign Lenders that are not Partnerships for US</w:t>
            </w:r>
          </w:p>
        </w:tc>
      </w:tr>
      <w:tr>
        <w:trPr>
          <w:trHeight w:val="282"/>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Federal Income</w:t>
            </w: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F-2</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Form of US Tax Compliance Certificate for Non-US Participants that are not Partnerships for US</w:t>
            </w:r>
          </w:p>
        </w:tc>
      </w:tr>
      <w:tr>
        <w:trPr>
          <w:trHeight w:val="282"/>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F-3</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US Tax Compliance Certificate for Non-US Participants that are Partnerships for US</w:t>
            </w:r>
          </w:p>
        </w:tc>
      </w:tr>
      <w:tr>
        <w:trPr>
          <w:trHeight w:val="282"/>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F-4</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Form of US Tax Compliance Certificate for Foreign Lenders that are Partnerships for US Federal</w:t>
            </w:r>
          </w:p>
        </w:tc>
      </w:tr>
      <w:tr>
        <w:trPr>
          <w:trHeight w:val="282"/>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Income Tax Purposes</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Solvency Certificate</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H</w:t>
            </w:r>
          </w:p>
        </w:tc>
        <w:tc>
          <w:tcPr>
            <w:tcW w:w="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8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Swingline Borrowing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980"/>
          </w:cols>
          <w:pgMar w:left="340" w:top="1440" w:right="579" w:bottom="1440" w:gutter="0" w:footer="0" w:header="0"/>
        </w:sectPr>
      </w:pPr>
    </w:p>
    <w:bookmarkStart w:id="12" w:name="page13"/>
    <w:bookmarkEnd w:id="1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CREDIT AGREEMENT dated as of April 27, 2026, among HEXAGON AB, a Swedish public limited liability company with corporate registration number 556190-4771, OCTAVE INTELLIGENCE PLC, an Irish public limited company, the other BORROWERS party hereto, the BORROWING SUBSIDIARIES party hereto, the LENDERS party hereto and BANK OF AMERICA, N.A., as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Alternate Base Rate.</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any series of related transactions, by which the Company or any of its Subsidiaries (a) acquires any going business concern or all or substantially all of the assets of any Person or division thereof, whether through purchase of assets, merger or otherwise, or (b) acquires (in one transaction or as the most recent transaction in a series of transactions) at least a majority (in number of votes) of the securities of any Person which have ordinary voting power for the election of directors (other than securities having such power only by reason of the happening of a contingency) or a majority (by percentage of voting power) of the outstanding Capital Stock in another Person.</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Indebtedness</w:t>
      </w:r>
      <w:r>
        <w:rPr>
          <w:rFonts w:ascii="Times New Roman" w:cs="Times New Roman" w:eastAsia="Times New Roman" w:hAnsi="Times New Roman"/>
          <w:sz w:val="22"/>
          <w:szCs w:val="22"/>
          <w:color w:val="auto"/>
        </w:rPr>
        <w:t xml:space="preserve">” means any Indebtedness of the Company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either (a) the release of the proceeds thereof to the Company and the Subsidiaries is contingent upon the substantially concurrent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then, in each 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such Acquisition is otherwise not consummated by the date so specified, such Indebtedness is, and pursuant to such “special mandatory redemption” (or similar) provision</w:t>
      </w:r>
    </w:p>
    <w:p>
      <w:pPr>
        <w:sectPr>
          <w:pgSz w:w="11900" w:h="16838" w:orient="portrait"/>
          <w:cols w:equalWidth="0" w:num="1">
            <w:col w:w="11240"/>
          </w:cols>
          <w:pgMar w:left="320" w:top="1422" w:right="339" w:bottom="1440" w:gutter="0" w:footer="0" w:header="0"/>
        </w:sectPr>
      </w:pPr>
    </w:p>
    <w:bookmarkStart w:id="13" w:name="page14"/>
    <w:bookmarkEnd w:id="1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is required to be, redeemed or otherwise satisfied and discharged within 90 days of such termination or such specified date, as the case may be).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Commitment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Bank of America, in its capacity as the administrative agent hereunder and under the other Loan Documents, and its successors in such capacity as provided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Unless the context requires otherwise, the term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shall include any Affiliate of Bank of America or any such successor through which Bank of America or such successor shall perform any of its obligations in such capacity hereunder or under the other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Controls, is Controlled by or is under common Control with the Person specified.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Commitment</w:t>
      </w:r>
      <w:r>
        <w:rPr>
          <w:rFonts w:ascii="Times New Roman" w:cs="Times New Roman" w:eastAsia="Times New Roman" w:hAnsi="Times New Roman"/>
          <w:sz w:val="22"/>
          <w:szCs w:val="22"/>
          <w:color w:val="auto"/>
        </w:rPr>
        <w:t>” means the sum of the Revolving Commitments of all the Revolving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Exposure</w:t>
      </w:r>
      <w:r>
        <w:rPr>
          <w:rFonts w:ascii="Times New Roman" w:cs="Times New Roman" w:eastAsia="Times New Roman" w:hAnsi="Times New Roman"/>
          <w:sz w:val="22"/>
          <w:szCs w:val="22"/>
          <w:color w:val="auto"/>
        </w:rPr>
        <w:t>” means the sum of the Revolving Exposures of all the Revolving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Currency</w:t>
      </w:r>
      <w:r>
        <w:rPr>
          <w:rFonts w:ascii="Times New Roman" w:cs="Times New Roman" w:eastAsia="Times New Roman" w:hAnsi="Times New Roman"/>
          <w:sz w:val="22"/>
          <w:szCs w:val="22"/>
          <w:color w:val="auto"/>
        </w:rPr>
        <w:t>” means US Dollars or any Alternative Currency,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and (c) Term SOFR for such date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Alternate Base Rate is being used as an alternate rate of interest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xml:space="preserve"> hereof, then the Alternate Base Rate shall be the greater of clauses (a) and (b) above and shall be determined without reference to clause (c)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Alternate Base Rate as determined pursuant to the foregoing would otherwise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4" w:name="page15"/>
    <w:bookmarkEnd w:id="14"/>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means (a) Euro, (b) Sterling and (c) any Eligible Currency that the Company requests the Administrative Agent to include as an Alternative Currency hereunder and that is agreed to be designated as an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xml:space="preserve">” by all the Revolving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promptly notify each Revolving Lender of each such request and each Revolving Lender shall be deemed not to have agreed to such request unless and until its written consent thereto has been received by the Administrative Agent. If, after the designation pursuant to the terms of this Agreement of any currency as an Alternative Currency, currency control or other exchange regulations are imposed in the country in which such currency is issued with the result that different types of such currency are introduced, or such country’s currency is, in the determination of the Administrative Agent, no longer readily available or freely traded or otherwise ceases to be an Eligible Currency (any of the foregoing being referred to as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Administrative Agent shall promptly notify the Revolving Lenders and the Company thereof, and such currency shall no longer be an Alternative Currency until such time as such Disqualifying Event no longer exists, and, not later than five Business Days after receipt of such notice from the Administrative Agent, the applicable Borrowers shall repay all Revolving Loans denominated in such currency, together with accrued interest thereon.</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Subsidiaries from time to time concerning or relating to bribery, corruption or money laundering, including the Foreign Corrupt Practices Act of 1977, as amended, and the rules and regulations thereunder and the UK Bribery Act 2010.</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Authority</w:t>
      </w:r>
      <w:r>
        <w:rPr>
          <w:rFonts w:ascii="Times New Roman" w:cs="Times New Roman" w:eastAsia="Times New Roman" w:hAnsi="Times New Roman"/>
          <w:sz w:val="22"/>
          <w:szCs w:val="22"/>
          <w:color w:val="auto"/>
        </w:rPr>
        <w:t>” means (a) with respect to SOFR, the SOFR Administrator or any Governmental Authority having jurisdiction over the Administrative Agent or the SOFR Administrator and (b) with respect to any Alternative Currency, the applicable administrator for the Relevant Rate for such Alternative Currency or any Governmental Authority having jurisdiction over the Administrative Agent or such administrator.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Creditor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at any time, with respect to any Revolving Lender, the percentage of the Aggregate Revolving Commitment represented by such Lender’s Revolving Commitment at such time. If all the Revolving Commitments have terminated or expired, the Applicable Percentages shall be determined based upon the Revolving Commitments most recently in effect, giving effect to any assignments.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with respect to Revolving Commitment Fees, Letter of Credit Fees, or with respect to any Term Loan, Revolving Loan or Swingline Loan that is an ABR Loan, a Term SOFR Loan, a SONIA Loan or EURIBOR Loan, (in each case, subject to the final paragraph of this definition) the applicable rate per annum set forth below under the applicable caption “</w:t>
      </w:r>
      <w:r>
        <w:rPr>
          <w:rFonts w:ascii="Times New Roman" w:cs="Times New Roman" w:eastAsia="Times New Roman" w:hAnsi="Times New Roman"/>
          <w:sz w:val="22"/>
          <w:szCs w:val="22"/>
          <w:u w:val="single" w:color="auto"/>
          <w:color w:val="auto"/>
        </w:rPr>
        <w:t>Revolving Commitment Fees and Ticking Fees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Letter of Credit Fee, Term SOFR Loans, SONIA Loans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EURIBOR Loans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as the case may be, determined by reference to the Pricing Category corresponding to the Leverage Ratio as of the end of the most recent fiscal quarter of the Company for which financial statements of the Company shall have been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purposes of determining the Applicable Rate prior to the delivery of the consolidated financial statements of the Company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for the first fiscal quarter or fiscal year ended after the Closing Date, the Leverage Ratio shall be deemed to be in Pricing Category 1.</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Letter of Credit</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Revolving</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Fee, Term SOFR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Loans, SONIA</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Commitment Fees</w:t>
            </w:r>
          </w:p>
        </w:tc>
        <w:tc>
          <w:tcPr>
            <w:tcW w:w="2080" w:type="dxa"/>
            <w:vAlign w:val="bottom"/>
            <w:gridSpan w:val="2"/>
            <w:vMerge w:val="continue"/>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Loans and</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and Ticking Fees</w:t>
            </w:r>
          </w:p>
        </w:tc>
        <w:tc>
          <w:tcPr>
            <w:tcW w:w="2080" w:type="dxa"/>
            <w:vAlign w:val="bottom"/>
            <w:gridSpan w:val="2"/>
            <w:vMerge w:val="continue"/>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Leverage</w:t>
            </w:r>
          </w:p>
        </w:tc>
        <w:tc>
          <w:tcPr>
            <w:tcW w:w="2100" w:type="dxa"/>
            <w:vAlign w:val="bottom"/>
            <w:gridSpan w:val="2"/>
            <w:vMerge w:val="continue"/>
          </w:tcPr>
          <w:p>
            <w:pPr>
              <w:spacing w:after="0"/>
              <w:rPr>
                <w:sz w:val="17"/>
                <w:szCs w:val="17"/>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EURIBOR Loans</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ABR Loans</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(percent per</w:t>
            </w:r>
          </w:p>
        </w:tc>
        <w:tc>
          <w:tcPr>
            <w:tcW w:w="2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(percent per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(percent per</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rPr>
              <w:t>Ratio</w:t>
            </w:r>
          </w:p>
        </w:tc>
        <w:tc>
          <w:tcPr>
            <w:tcW w:w="2100" w:type="dxa"/>
            <w:vAlign w:val="bottom"/>
            <w:gridSpan w:val="2"/>
            <w:vMerge w:val="continue"/>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Pricing Category</w:t>
            </w:r>
          </w:p>
        </w:tc>
        <w:tc>
          <w:tcPr>
            <w:tcW w:w="120" w:type="dxa"/>
            <w:vAlign w:val="bottom"/>
            <w:vMerge w:val="restart"/>
          </w:tcPr>
          <w:p>
            <w:pPr>
              <w:spacing w:after="0"/>
              <w:rPr>
                <w:sz w:val="2"/>
                <w:szCs w:val="2"/>
                <w:color w:val="auto"/>
              </w:rPr>
            </w:pPr>
          </w:p>
        </w:tc>
        <w:tc>
          <w:tcPr>
            <w:tcW w:w="2080" w:type="dxa"/>
            <w:vAlign w:val="bottom"/>
            <w:gridSpan w:val="2"/>
            <w:vMerge w:val="continue"/>
          </w:tcPr>
          <w:p>
            <w:pPr>
              <w:spacing w:after="0"/>
              <w:rPr>
                <w:sz w:val="2"/>
                <w:szCs w:val="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annum)</w:t>
            </w:r>
          </w:p>
        </w:tc>
        <w:tc>
          <w:tcPr>
            <w:tcW w:w="120" w:type="dxa"/>
            <w:vAlign w:val="bottom"/>
            <w:vMerge w:val="restart"/>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annum)</w:t>
            </w:r>
          </w:p>
        </w:tc>
        <w:tc>
          <w:tcPr>
            <w:tcW w:w="140" w:type="dxa"/>
            <w:vAlign w:val="bottom"/>
            <w:vMerge w:val="restart"/>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annum)</w:t>
            </w:r>
          </w:p>
        </w:tc>
        <w:tc>
          <w:tcPr>
            <w:tcW w:w="0" w:type="dxa"/>
            <w:vAlign w:val="bottom"/>
          </w:tcPr>
          <w:p>
            <w:pPr>
              <w:spacing w:after="0" w:line="20" w:lineRule="exact"/>
              <w:rPr>
                <w:sz w:val="1"/>
                <w:szCs w:val="1"/>
                <w:color w:val="auto"/>
              </w:rPr>
            </w:pPr>
          </w:p>
        </w:tc>
      </w:tr>
      <w:tr>
        <w:trPr>
          <w:trHeight w:val="213"/>
        </w:trPr>
        <w:tc>
          <w:tcPr>
            <w:tcW w:w="1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(__:1.00)</w:t>
            </w:r>
          </w:p>
        </w:tc>
        <w:tc>
          <w:tcPr>
            <w:tcW w:w="120" w:type="dxa"/>
            <w:vAlign w:val="bottom"/>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Category 1</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&lt; 1.000</w:t>
            </w:r>
          </w:p>
        </w:tc>
        <w:tc>
          <w:tcPr>
            <w:tcW w:w="12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0.150%</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0.250%</w:t>
            </w:r>
          </w:p>
        </w:tc>
        <w:tc>
          <w:tcPr>
            <w:tcW w:w="0" w:type="dxa"/>
            <w:vAlign w:val="bottom"/>
          </w:tcPr>
          <w:p>
            <w:pPr>
              <w:spacing w:after="0"/>
              <w:rPr>
                <w:sz w:val="1"/>
                <w:szCs w:val="1"/>
                <w:color w:val="auto"/>
              </w:rPr>
            </w:pPr>
          </w:p>
        </w:tc>
      </w:tr>
      <w:tr>
        <w:trPr>
          <w:trHeight w:val="216"/>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Category 2</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1.000 and &lt;2.000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0.175%</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1.375%</w:t>
            </w: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0.375%</w:t>
            </w:r>
          </w:p>
        </w:tc>
        <w:tc>
          <w:tcPr>
            <w:tcW w:w="0" w:type="dxa"/>
            <w:vAlign w:val="bottom"/>
          </w:tcPr>
          <w:p>
            <w:pPr>
              <w:spacing w:after="0"/>
              <w:rPr>
                <w:sz w:val="1"/>
                <w:szCs w:val="1"/>
                <w:color w:val="auto"/>
              </w:rPr>
            </w:pPr>
          </w:p>
        </w:tc>
      </w:tr>
      <w:tr>
        <w:trPr>
          <w:trHeight w:val="216"/>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Category 3</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2.000 and &lt;3.000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0.200%</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0.500%</w:t>
            </w:r>
          </w:p>
        </w:tc>
        <w:tc>
          <w:tcPr>
            <w:tcW w:w="0" w:type="dxa"/>
            <w:vAlign w:val="bottom"/>
          </w:tcPr>
          <w:p>
            <w:pPr>
              <w:spacing w:after="0"/>
              <w:rPr>
                <w:sz w:val="1"/>
                <w:szCs w:val="1"/>
                <w:color w:val="auto"/>
              </w:rPr>
            </w:pPr>
          </w:p>
        </w:tc>
      </w:tr>
      <w:tr>
        <w:trPr>
          <w:trHeight w:val="216"/>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Category 4</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 3.000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0.250%</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1.750%</w:t>
            </w: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0.750%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change in the applicable Pricing Category (as corresponding to the Leverage Ratio) resulting from a change in the Leverage Ratio shall be effective during the period commencing on and including the fifth Business Day following the date of delivery to the Administrative Agent of the consolidated financial statements of the Company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and the related Compliance Certificate pursuant to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xml:space="preserve"> indicating such change and ending on the date immediately preceding the effective date of the next such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shall not have timely delivered its consolidated financial statements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as applicable, or the related Compliance Certificate pursuant to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commencing on the date upon which such financial statements or Compliance Certificate should have been so delivered and continuing until such financial statements or Compliance Certificate, as applicable, are actually delivered, the Leverage Ratio shall be deemed to be in Pricing Category 4.</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BofA Securities, Inc., and BNP Paribas Securities Corp., in their capacities as the joint lead arrangers and joint bookrunners for the Revolving Facility and the Term Facilities.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Person whose consent is required by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and accepted by the Administrative Agent, in the form of Exhibit A or any other form (including electronic records generated by the use of an electronic platform)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(a) any of the Chairman of the Board, the Chief Executive Officer, the President, the Treasurer, Assistant Treasurer, any Vice President, any director or the Chief Financial Officer of the Company, acting singly; provided that, when such term is used in reference to any document executed by, or a certification of, an Authorized Officer, upon request of the Administrative Agent, the secretary or assistant secretary of the Company shall have delivered (which delivery may be made on the Effective Date) an incumbency certificate to the Administrative Agent as to the authority of such individual or (b) in relation to the Parent only, any authorized signatory (</w:t>
      </w:r>
      <w:r>
        <w:rPr>
          <w:rFonts w:ascii="Times New Roman" w:cs="Times New Roman" w:eastAsia="Times New Roman" w:hAnsi="Times New Roman"/>
          <w:sz w:val="22"/>
          <w:szCs w:val="22"/>
          <w:i w:val="1"/>
          <w:iCs w:val="1"/>
          <w:color w:val="auto"/>
        </w:rPr>
        <w:t>Sw. firmatecknare</w:t>
      </w:r>
      <w:r>
        <w:rPr>
          <w:rFonts w:ascii="Times New Roman" w:cs="Times New Roman" w:eastAsia="Times New Roman" w:hAnsi="Times New Roman"/>
          <w:sz w:val="22"/>
          <w:szCs w:val="22"/>
          <w:color w:val="auto"/>
        </w:rPr>
        <w:t>) as evidenced by a certificate of registration (</w:t>
      </w:r>
      <w:r>
        <w:rPr>
          <w:rFonts w:ascii="Times New Roman" w:cs="Times New Roman" w:eastAsia="Times New Roman" w:hAnsi="Times New Roman"/>
          <w:sz w:val="22"/>
          <w:szCs w:val="22"/>
          <w:i w:val="1"/>
          <w:iCs w:val="1"/>
          <w:color w:val="auto"/>
        </w:rPr>
        <w:t>Sw.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registreringsbevis</w:t>
      </w:r>
      <w:r>
        <w:rPr>
          <w:rFonts w:ascii="Times New Roman" w:cs="Times New Roman" w:eastAsia="Times New Roman" w:hAnsi="Times New Roman"/>
          <w:sz w:val="22"/>
          <w:szCs w:val="22"/>
          <w:color w:val="auto"/>
        </w:rPr>
        <w:t>) or any person having been duly authorized by the board of directors.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which has implemented, or which at any time implements,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that such Person has become the subject of a bankruptcy or insolvency proceeding, or has had a receiver, liquidator, conservator, trustee, administrator, examiner, process adviser (for entities incorporated under the laws of Ireland), custodian, assignee for the benefit of creditors or similar Person charged with the reorganization, examinership, rescue process or liquidation of its business appointed for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process adviser (for entities incorporated under the laws of Ireland);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 defined benefit plan as defined in Section 3(35) of ERISA (other than a Multiemployer Plan) and in respect of which the Company or any other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Controlled Group is, or within the immediately preceding six years was, an “employer” as defined in Section 3(5) of ERISA.</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means, with respect to any Person, an “affiliate” (as such term is defined under, and interpreted in accordance with 12 U.S.C. § 1841(k))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any Revolving Borrower or any Term Loan Borrower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DTTP Filing</w:t>
      </w:r>
      <w:r>
        <w:rPr>
          <w:rFonts w:ascii="Times New Roman" w:cs="Times New Roman" w:eastAsia="Times New Roman" w:hAnsi="Times New Roman"/>
          <w:sz w:val="21"/>
          <w:szCs w:val="21"/>
          <w:color w:val="auto"/>
        </w:rPr>
        <w:t>” means an HMRC Form DTTP2 duly completed and filed by the relevant UK Borrower, which:</w:t>
      </w:r>
    </w:p>
    <w:p>
      <w:pPr>
        <w:spacing w:after="0" w:line="39" w:lineRule="exact"/>
        <w:rPr>
          <w:sz w:val="20"/>
          <w:szCs w:val="20"/>
          <w:color w:val="auto"/>
        </w:rPr>
      </w:pPr>
    </w:p>
    <w:p>
      <w:pPr>
        <w:jc w:val="both"/>
        <w:ind w:firstLine="8"/>
        <w:spacing w:after="0" w:line="246" w:lineRule="auto"/>
        <w:tabs>
          <w:tab w:leader="none" w:pos="3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it relates to a UK Treaty Lender that is a Lender on the date of this Agreement, contains the HMRC DTTP Scheme reference number and jurisdiction of tax residence provided in Schedule 2.01, and (A) where the relevant UK Borrower is a Borrower on the date of this Agreement, is filed with HMRC within 30 days of the date of this Agreement, or (B) where the relevant UK Borrower is not a Borrower at the date of this Agreement, is filed with HMRC within 30 days of the date on which that UK Borrower becomes a Borrower under this Agreement; or (b) where it relates to a UK Treaty Lender that is not a Lender at the date of this Agreement, contains the HMRC DTTP Scheme reference number and jurisdiction of tax residence stated in respect of that Lender in the documentation which it executes on becoming a Party as a Lender, and (A) where the relevant UK Borrower is a Borrower as at the date on which that UK Treaty Lender becomes a Party as a Lender, is filed with HM Revenue &amp; Customs within 30 days of that date, or (B) where the relevant UK Borrower is not a Borrower as at the date on which that UK Treaty Lender becomes a Party as a Lender, is filed with HMRC within 30 days of the date on which that UK Borrower becomes a Borrower under this Agreement.</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Loans of the same Type and currency made, converted or continued on the same date and, in the case of Term SOFR Loans or EURIBOR Loans, as to which a single Interest Period is in effect.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Minimum</w:t>
      </w:r>
      <w:r>
        <w:rPr>
          <w:rFonts w:ascii="Times New Roman" w:cs="Times New Roman" w:eastAsia="Times New Roman" w:hAnsi="Times New Roman"/>
          <w:sz w:val="22"/>
          <w:szCs w:val="22"/>
          <w:color w:val="auto"/>
        </w:rPr>
        <w:t>” means (a) with respect to the Revolving Facility, (i) in the case of a Borrowing denominated in US Dollars, US$5,000,000 and (ii) in the case of a Borrowing denominated in an Alternative Currency, the smallest amount of such Alternative Currency that is a multiple of 5,000,000 units of such currency and that has a US Dollar Equivalent of US$5,000,000 or more, (b) with respect to the Dollar Tranche Term Loan Facility, US$1,000,000 and (c) with respect to the Euro Tranche Term Loan Facility, €1,000,000.</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Multiple</w:t>
      </w:r>
      <w:r>
        <w:rPr>
          <w:rFonts w:ascii="Times New Roman" w:cs="Times New Roman" w:eastAsia="Times New Roman" w:hAnsi="Times New Roman"/>
          <w:sz w:val="22"/>
          <w:szCs w:val="22"/>
          <w:color w:val="auto"/>
        </w:rPr>
        <w:t>” means (a) in the case of a Borrowing denominated in US Dollars, US$1,000,000, (b) in the case of a Borrowing denominated in Euro, €1,000,000 and (c) in the case of a Borrowing denominated in any other Alternative Currency, the smallest amount of such Alternative Currency that is a multiple of 1,000,000 units of such currency and that has a US Dollar Equivalent of US$1,000,000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Request</w:t>
      </w:r>
      <w:r>
        <w:rPr>
          <w:rFonts w:ascii="Times New Roman" w:cs="Times New Roman" w:eastAsia="Times New Roman" w:hAnsi="Times New Roman"/>
          <w:sz w:val="21"/>
          <w:szCs w:val="21"/>
          <w:color w:val="auto"/>
        </w:rPr>
        <w:t xml:space="preserve">” means a request by or on behalf of a Borrower for a Term Borrowing or Revolving Borrowing in accordance with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which shall be in the form of Exhibit B or any other form approved by the Administrative Agent.</w:t>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Subsidiary</w:t>
      </w:r>
      <w:r>
        <w:rPr>
          <w:rFonts w:ascii="Times New Roman" w:cs="Times New Roman" w:eastAsia="Times New Roman" w:hAnsi="Times New Roman"/>
          <w:sz w:val="22"/>
          <w:szCs w:val="22"/>
          <w:color w:val="auto"/>
        </w:rPr>
        <w:t xml:space="preserve">” means Intergraph Corporation, Octave Intelligence Finance Ltd and each Subsidiary that has become a Borrowing Subsidiary pursuant to </w:t>
      </w:r>
      <w:r>
        <w:rPr>
          <w:rFonts w:ascii="Times New Roman" w:cs="Times New Roman" w:eastAsia="Times New Roman" w:hAnsi="Times New Roman"/>
          <w:sz w:val="22"/>
          <w:szCs w:val="22"/>
          <w:u w:val="single" w:color="auto"/>
          <w:color w:val="auto"/>
        </w:rPr>
        <w:t>Section 2.22(a)</w:t>
      </w:r>
      <w:r>
        <w:rPr>
          <w:rFonts w:ascii="Times New Roman" w:cs="Times New Roman" w:eastAsia="Times New Roman" w:hAnsi="Times New Roman"/>
          <w:sz w:val="22"/>
          <w:szCs w:val="22"/>
          <w:color w:val="auto"/>
        </w:rPr>
        <w:t xml:space="preserve">, other than any such Subsidiary that has ceased to be a Borrowing Subsidiary as provided in </w:t>
      </w:r>
      <w:r>
        <w:rPr>
          <w:rFonts w:ascii="Times New Roman" w:cs="Times New Roman" w:eastAsia="Times New Roman" w:hAnsi="Times New Roman"/>
          <w:sz w:val="22"/>
          <w:szCs w:val="22"/>
          <w:u w:val="single" w:color="auto"/>
          <w:color w:val="auto"/>
        </w:rPr>
        <w:t>Section 2.22(b)</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Subsidiary Accession Agreement</w:t>
      </w:r>
      <w:r>
        <w:rPr>
          <w:rFonts w:ascii="Times New Roman" w:cs="Times New Roman" w:eastAsia="Times New Roman" w:hAnsi="Times New Roman"/>
          <w:sz w:val="22"/>
          <w:szCs w:val="22"/>
          <w:color w:val="auto"/>
        </w:rPr>
        <w:t>” means a Borrowing Subsidiary Accession Agreement, substantially the form of Exhibit C-1, duly executed by the Company and the applicable Subsidiary and accepted by the Administrative Agent, pursuant to which such Subsidiary agrees to become a Borrowing Subsidiary and agrees to be bound by the terms and conditions hereof.</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Subsidiary Termination</w:t>
      </w:r>
      <w:r>
        <w:rPr>
          <w:rFonts w:ascii="Times New Roman" w:cs="Times New Roman" w:eastAsia="Times New Roman" w:hAnsi="Times New Roman"/>
          <w:sz w:val="22"/>
          <w:szCs w:val="22"/>
          <w:color w:val="auto"/>
        </w:rPr>
        <w:t>” means a Borrowing Subsidiary Termination, substantially in the form of Exhibit C-2, duly executed by the Company.</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or Stockholm, Sweden or Luxembourg are authorized or required by law to remain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when used in connection with a SONIA Loan, 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also exclude any day banks are closed for general business in London because such day is a Saturday, Sunday or a legal holiday under the laws of the United Kingdom, and (b) when used in connection with a EURIBOR Loan, 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also exclude any day which is not a TARGET Day.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xml:space="preserve">” means (a) in the case of a corporation, corporate stock, (b) in the case of an association or business entity, any and all shares, interests, participations, rights or other equivalents (however designated) of corporate stock, (c) in the case of a partnership, partnership interests (whether general or limited) and (d) any other interest or participation that confers on a Person the right to receive a share of the profits and losses of, or distributions of assets of, the issuing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shall not include any debt securities convertible into Capital Stock, cash or a combination of Capital Stock and cash prior to such conversion.</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w:t>
      </w:r>
      <w:r>
        <w:rPr>
          <w:rFonts w:ascii="Times New Roman" w:cs="Times New Roman" w:eastAsia="Times New Roman" w:hAnsi="Times New Roman"/>
          <w:sz w:val="22"/>
          <w:szCs w:val="22"/>
          <w:color w:val="auto"/>
        </w:rPr>
        <w:t>” of a Person means any lease of property by such Person as lessee that would be capitalized on a balance sheet of such Person prepared in accordance with GAAP.</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Obligations</w:t>
      </w:r>
      <w:r>
        <w:rPr>
          <w:rFonts w:ascii="Times New Roman" w:cs="Times New Roman" w:eastAsia="Times New Roman" w:hAnsi="Times New Roman"/>
          <w:sz w:val="22"/>
          <w:szCs w:val="22"/>
          <w:color w:val="auto"/>
        </w:rPr>
        <w:t>” of a Person means the amount of the obligations of such Person under Capitalized Leases that would be capitalized on a balance sheet of such Person prepared in accordance with GAAP.</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 marketable direct obligations issued or unconditionally guaranteed by the government of the United States and backed by the full faith and credit of the United States, (b) domestic and eurocurrency certificates of deposit and time deposits, bankers’ acceptances and floating rate certificates of deposit issued by any commercial bank organized under the laws of the United States, any state thereof or the District of Columbia, or any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21"/>
          <w:szCs w:val="21"/>
          <w:color w:val="auto"/>
        </w:rPr>
        <w:t>bank or its branches or agencies the long-term indebtedness of which institution at the time of acquisition is rated A- (or better) by S&amp;P or A3 (or better) by Moody’s, and which certificates of deposit and time deposits are fully protected against currency fluctuations for any such deposits with a term of more than 90 days; (c) shares of money market, mutual or similar funds having assets in excess of US$100,000,000 and the investments of which are principally limited to (i) investment grade securities (i.e., securities rated at least BBB- by S&amp;P or Baa3 by Moody’s) and (ii) commercial paper of United States and foreign banks and bank holding companies and their subsidiaries and United States and foreign finance, commercial industrial or utility companies which, at the time of acquisition, are rated A-1 (or better) by S&amp;P or P-1 (or better) by Moody’s (all such institutions being “</w:t>
      </w:r>
      <w:r>
        <w:rPr>
          <w:rFonts w:ascii="Times New Roman" w:cs="Times New Roman" w:eastAsia="Times New Roman" w:hAnsi="Times New Roman"/>
          <w:sz w:val="21"/>
          <w:szCs w:val="21"/>
          <w:u w:val="single" w:color="auto"/>
          <w:color w:val="auto"/>
        </w:rPr>
        <w:t>Qualified Institutions</w:t>
      </w:r>
      <w:r>
        <w:rPr>
          <w:rFonts w:ascii="Times New Roman" w:cs="Times New Roman" w:eastAsia="Times New Roman" w:hAnsi="Times New Roman"/>
          <w:sz w:val="21"/>
          <w:szCs w:val="21"/>
          <w:color w:val="auto"/>
        </w:rPr>
        <w:t>”); (d) commercial paper of Qualified Institutions with maturities not exceeding 365 days from the date of acquisition thereof and (e) other investments properly classified as “cash” or “cash equivalents” in accordance with GAAP and made in accordance with the Company’s investment policy, as approved by the Company’s Board of Directors from time to time.</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regardless of the date enacted, adopted, promulgated or issued.</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by which (i) prior to the consummation of the Spin-Off, any Person other than the Parent or any of its wholly owned Subsidiaries shall have acquired ownership, directly or indirectly, beneficially or of record, of any of the Equity Interests in the Company or (ii) after the consummation of the Spin-Off, any “person” or “group” (as such terms are used in Sections 13(d) and 14(d) of the Exchange Act and the rules thereunder) other than the Permitted Holder becomes the “beneficial owner” (as defined in Rules 13d-3 and 13d-5 under the Exchange Act), directly or indirectly, beneficially or of record, of 35% or more of the combined voting power of the Company’s outstanding Capital Stock ordinarily having the right to vote at an election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Dollar Tranche Term Loans, Euro Tranche Term Loans or Revolving Loans, (b) any Commitment, refers to whether such Commitment is a Dollar Tranche Term Commitment, Euro Tranche Term Commitment or a Revolving Commitment and (c) any Lender, refers to whether such Lender has a Loan or Commitment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0" w:name="page21"/>
    <w:bookmarkEnd w:id="2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particular Class. Additional Classes of Loans, Borrowings, Commitments and Lenders may be established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CME Group Benchmark Administration Limited.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with respect to any Lender, such Lender’s Revolving Commitment, Dollar Tranche Term Commitment, Euro Tranche Term Commitment, commitment in respect of any Incremental Revolving Loans or commitment in respect of any Incremental Term Loans or any combination thereof (as the context requires).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means that certain Commitment Letter, dated as of March 17, 2026, by and among the Company and the Arrangers.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means, collectively, any notice, demand, communication, information, document or other material provided by or on behalf of the Company pursuant to any Loan Document or the transactions contemplated therein that is distributed to the Administrative Agent, any Lender or any Issuing Bank by means of electronic communications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including through the Platform.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Octave Intelligence plc, an Irish public limited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Compliance Certificate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or any other form approved by the Administrative Agent.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the use, administration of or any conventions associated with SOFR, SONIA, EURIBOR or any proposed Successor Rate for Term SOFR, SONIA or EURIBOR, as applicable, any conforming changes to the definitions of “Alternate Base Rate”, “SOFR”, “Term SOFR”, “SONIA” “EURIBOR”, “EURIBO Rate” and “Interest Period”, timing and frequency of determining rates and making payments of interest and other technical, administrative or operational matters (including the definitions of “Business Day” and “U.S. Government Securities Business Day”, timing of borrowing requests or prepayment, 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for such Agreed Currency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1" w:name="page22"/>
    <w:bookmarkEnd w:id="2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Tangible Assets</w:t>
      </w:r>
      <w:r>
        <w:rPr>
          <w:rFonts w:ascii="Times New Roman" w:cs="Times New Roman" w:eastAsia="Times New Roman" w:hAnsi="Times New Roman"/>
          <w:sz w:val="22"/>
          <w:szCs w:val="22"/>
          <w:color w:val="auto"/>
        </w:rPr>
        <w:t>” means the total assets of the Company and its Subsidiaries, determined on a consolidated basis in accordance with GAAP, but excluding therefrom all goodwill and other intangible assets under GAAP.</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Contaminant</w:t>
      </w:r>
      <w:r>
        <w:rPr>
          <w:rFonts w:ascii="Times New Roman" w:cs="Times New Roman" w:eastAsia="Times New Roman" w:hAnsi="Times New Roman"/>
          <w:sz w:val="22"/>
          <w:szCs w:val="22"/>
          <w:color w:val="auto"/>
        </w:rPr>
        <w:t>” means any waste, pollutant, hazardous substance, toxic substance, hazardous waste, special waste, petroleum or petroleum-derived substance or waste, asbestos, polychlorinated biphenyls, or any constituent of any such substance or waste (including as these terms are defined in the definition of Environmental Laws) and any other substance, material or waste regulated or prohibited by or pursuant to any Environmental Law.</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equity or debt securities issued by such Person or any indenture, mortgage, deed of trust, security agreement, pledge agreement, guarantee, contract, undertaking, agreement or instrument, in any case in writing, to which such Person is a party or by which it or any of its properties is bound, or to which it or any of its properties is subject.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 For the avoidance of doubt, “Control” does not exist solely because of the right to designate a minority of the board of directors (or equivalent body) of such Person or to approve or disapprove significant transactions.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xml:space="preserve">” means the group consisting of (a) any corporation which is a member of the same controlled group of corporations (within the meaning of Section 414(b) of the Code) as the Company, (b) a partnership or other trade or business (whether or not incorporated) which is under common control (within the meaning of Section 414(c) of the Code) with the Company, and (c) for purposes of provisions relating to Section 412 of the Code or Section 302 of ERISA, a member of the same affiliated service group (within the meaning of Section 414(m) of the Code) as the Company, in each case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giving effect to the consummation of the transactions contemplated by the Loan Documents.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Convertible Indebtedness</w:t>
      </w:r>
      <w:r>
        <w:rPr>
          <w:rFonts w:ascii="Times New Roman" w:cs="Times New Roman" w:eastAsia="Times New Roman" w:hAnsi="Times New Roman"/>
          <w:sz w:val="22"/>
          <w:szCs w:val="22"/>
          <w:color w:val="auto"/>
        </w:rPr>
        <w:t>” means Indebtedness convertible at the option of the holder thereof into Capital Stock of the Company, cash or a combination of Capital Stock of the Company and cash (or other equity or equity-linked securities or property following a merger event, reclassification or other change of the Capital Stock and cash in lieu of fractional shares) (as provided in the documentation governing such Indebtedness).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 a “covered entity” as that term is defined in, and interpreted in accordance with, 12 C.F.R. § 252.82(b), (b) a “covered bank” as that term is defined 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22"/>
          <w:szCs w:val="22"/>
          <w:color w:val="auto"/>
        </w:rPr>
        <w:t>interpreted in accordance with, 12 C.F.R. § 47.3(b), or (c) a “covered FSI” as that term is defined in, and interpreted in accordance with, 12 C.F.R. § 382.2(b).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each Issuing Bank, the Swingline Lender and each other Lender.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CTA</w:t>
      </w:r>
      <w:r>
        <w:rPr>
          <w:rFonts w:ascii="Times New Roman" w:cs="Times New Roman" w:eastAsia="Times New Roman" w:hAnsi="Times New Roman"/>
          <w:sz w:val="22"/>
          <w:szCs w:val="22"/>
          <w:color w:val="auto"/>
        </w:rPr>
        <w:t>” means the United Kingdom Corporation Tax Act 2009.</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on the Federal Reserve Bank of New York’s website (or any successor source). Any change in Daily Simple SOFR shall be effective from and including the date of such change without further notice.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or upon notice, lapse of time or both would constitute, an Event of Default.</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Lender that (a) has failed, within two Business Days of the date required to be funded or paid, (i) to fund any portion of its Loans, (ii) to fund any portion of its participations in Letters of Credit or Swingline Loans or</w:t>
      </w:r>
    </w:p>
    <w:p>
      <w:pPr>
        <w:spacing w:after="0" w:line="2" w:lineRule="exact"/>
        <w:rPr>
          <w:sz w:val="20"/>
          <w:szCs w:val="20"/>
          <w:color w:val="auto"/>
        </w:rPr>
      </w:pPr>
    </w:p>
    <w:p>
      <w:pPr>
        <w:jc w:val="both"/>
        <w:ind w:firstLine="8"/>
        <w:spacing w:after="0" w:line="257" w:lineRule="auto"/>
        <w:tabs>
          <w:tab w:leader="none" w:pos="38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pay to any Credit Party any other amount required to be paid by it hereunder, unless,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the Administrative Agent, the Swingline Lender or any Issuing Bank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the Swingline Lender or any Issuing Bank made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upon such Credit Party’s receipt of such certification in form and substance satisfactory to it and the Administrative Agent,</w:t>
      </w:r>
    </w:p>
    <w:p>
      <w:pPr>
        <w:spacing w:after="0" w:line="15" w:lineRule="exact"/>
        <w:rPr>
          <w:rFonts w:ascii="Times New Roman" w:cs="Times New Roman" w:eastAsia="Times New Roman" w:hAnsi="Times New Roman"/>
          <w:sz w:val="22"/>
          <w:szCs w:val="22"/>
          <w:u w:val="single" w:color="auto"/>
          <w:color w:val="auto"/>
        </w:rPr>
      </w:pPr>
    </w:p>
    <w:p>
      <w:pPr>
        <w:ind w:firstLine="8"/>
        <w:spacing w:after="0" w:line="248" w:lineRule="auto"/>
        <w:tabs>
          <w:tab w:leader="none" w:pos="3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or has a Lender Parent that has, become the subject of a Bankruptcy Event or (e) has, or has a Lender Parent that has, become the subject of a Bail-In Action.</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exclusive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Agreement</w:t>
      </w:r>
      <w:r>
        <w:rPr>
          <w:rFonts w:ascii="Times New Roman" w:cs="Times New Roman" w:eastAsia="Times New Roman" w:hAnsi="Times New Roman"/>
          <w:sz w:val="22"/>
          <w:szCs w:val="22"/>
          <w:color w:val="auto"/>
        </w:rPr>
        <w:t>” means the Distribution Agreement, by and between the Parent and the Company, to be entered into in connection with the Spin-Off.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has the meaning assigned to it in the definition of “Division.”</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the division of the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Documentation Agents</w:t>
      </w:r>
      <w:r>
        <w:rPr>
          <w:rFonts w:ascii="Times New Roman" w:cs="Times New Roman" w:eastAsia="Times New Roman" w:hAnsi="Times New Roman"/>
          <w:sz w:val="22"/>
          <w:szCs w:val="22"/>
          <w:color w:val="auto"/>
        </w:rPr>
        <w:t>” means, collectively, Danske Bank A/S, Danmark, Sverige Filial, PNC Bank, National Association, Royal Bank of Canada and Wells Fargo Bank, National Association.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Tranche Term Commitment</w:t>
      </w:r>
      <w:r>
        <w:rPr>
          <w:rFonts w:ascii="Times New Roman" w:cs="Times New Roman" w:eastAsia="Times New Roman" w:hAnsi="Times New Roman"/>
          <w:sz w:val="22"/>
          <w:szCs w:val="22"/>
          <w:color w:val="auto"/>
        </w:rPr>
        <w:t xml:space="preserve">” means, for each Lender, the amount set forth under the heading “Dollar Tranche Term Commitment”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became a party to this Agreement, as such amount may be reduced or adjusted from time to time in accordance with the terms of this Agreement (collectively, the “</w:t>
      </w:r>
      <w:r>
        <w:rPr>
          <w:rFonts w:ascii="Times New Roman" w:cs="Times New Roman" w:eastAsia="Times New Roman" w:hAnsi="Times New Roman"/>
          <w:sz w:val="22"/>
          <w:szCs w:val="22"/>
          <w:u w:val="single" w:color="auto"/>
          <w:color w:val="auto"/>
        </w:rPr>
        <w:t>Dollar Tranche Term Commitments</w:t>
      </w:r>
      <w:r>
        <w:rPr>
          <w:rFonts w:ascii="Times New Roman" w:cs="Times New Roman" w:eastAsia="Times New Roman" w:hAnsi="Times New Roman"/>
          <w:sz w:val="22"/>
          <w:szCs w:val="22"/>
          <w:color w:val="auto"/>
        </w:rPr>
        <w:t>”). As of the Effective Date, the aggregate amount of the Dollar Tranche Term Commitments of all Lenders is $350,000,000.</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Tranche Term Lender</w:t>
      </w:r>
      <w:r>
        <w:rPr>
          <w:rFonts w:ascii="Times New Roman" w:cs="Times New Roman" w:eastAsia="Times New Roman" w:hAnsi="Times New Roman"/>
          <w:sz w:val="22"/>
          <w:szCs w:val="22"/>
          <w:color w:val="auto"/>
        </w:rPr>
        <w:t>” means a Lender with a Dollar Tranche Term Commitment or holding a Dollar Tranche Term Loan.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Tranche Term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Tranche Term Loan Facility</w:t>
      </w:r>
      <w:r>
        <w:rPr>
          <w:rFonts w:ascii="Times New Roman" w:cs="Times New Roman" w:eastAsia="Times New Roman" w:hAnsi="Times New Roman"/>
          <w:sz w:val="22"/>
          <w:szCs w:val="22"/>
          <w:color w:val="auto"/>
        </w:rPr>
        <w:t>” means the senior unsecured term loan facility provided for herein in respect of the Dollar Tranche Term Commitments and the Dollar Tranche Term Loans.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 Subsidiary of the Company organized under the laws of a jurisdiction located in the United States of America.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Borrowing Subsidiary</w:t>
      </w:r>
      <w:r>
        <w:rPr>
          <w:rFonts w:ascii="Times New Roman" w:cs="Times New Roman" w:eastAsia="Times New Roman" w:hAnsi="Times New Roman"/>
          <w:sz w:val="22"/>
          <w:szCs w:val="22"/>
          <w:color w:val="auto"/>
        </w:rPr>
        <w:t>” means any Borrowing Subsidiary that is a Domestic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Termination Date</w:t>
      </w:r>
      <w:r>
        <w:rPr>
          <w:rFonts w:ascii="Times New Roman" w:cs="Times New Roman" w:eastAsia="Times New Roman" w:hAnsi="Times New Roman"/>
          <w:sz w:val="22"/>
          <w:szCs w:val="22"/>
          <w:color w:val="auto"/>
        </w:rPr>
        <w:t>” means the date that is six months following the Effective Date if the Spin-Off Effective Date has not occurred on or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means, for any period, on a consolidated basis for the Company and its Subsidiaries, without duplication,</w:t>
      </w:r>
    </w:p>
    <w:p>
      <w:pPr>
        <w:spacing w:after="0" w:line="2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such period, plus (b) to the extent deducted in computing Net Income for such period, (i) Interest Expense,</w:t>
      </w:r>
    </w:p>
    <w:p>
      <w:pPr>
        <w:spacing w:after="0" w:line="3" w:lineRule="exact"/>
        <w:rPr>
          <w:rFonts w:ascii="Times New Roman" w:cs="Times New Roman" w:eastAsia="Times New Roman" w:hAnsi="Times New Roman"/>
          <w:sz w:val="22"/>
          <w:szCs w:val="22"/>
          <w:color w:val="auto"/>
        </w:rPr>
      </w:pPr>
    </w:p>
    <w:p>
      <w:pPr>
        <w:jc w:val="both"/>
        <w:ind w:firstLine="8"/>
        <w:spacing w:after="0" w:line="257" w:lineRule="auto"/>
        <w:tabs>
          <w:tab w:leader="none" w:pos="36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charges against income for foreign, federal, state and local taxes, (iii) depreciation expense, (iv) amortization expense, including, without limitation, amortization of goodwill, capitalized assets, other intangible assets, and internal use SaaS cost amortization, (v) other non-cash charges, expenses or losses, (vi) non-cash expenses in connection with stock options, restricted shares or other share based compensation granted or provided to employees or directors, (vii) any unusual, extraordinary or non-recurring charges, expenses or losses, (viii) transaction fees, costs and expenses related to Acquisitions and dispositions, whether or not any such Acquisition or disposition are consummated, (ix) transaction fees, costs and expenses related to the Transactions,</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business optimization, restructuring, integration and related charges or expenses (which include retention, severance, systems establishment costs, cost savings programs, contract termination costs, future lease commitments, and costs to shut down, dispose of or consolidate facilities and relocate employees) and (B) the amount of pro forma run rate cost savings achieved or expected to be achieved within eighteen (18) months as a result of such business optimization, restructuring, integration and related charges or expenses under clause (A)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charges or expenses added back pursuant to this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shall not exceed 15% of EBITDA (prior to giving effect to such add back) for any period of four consecutive fiscal quarters, and (xi) any currency translation losses net of gains, minus (c) to the extent added in computing Net Income for such period, unusual, extraordinary or non-recurring cash or non-cash income, gains or credits. If during any period of four consecutive fiscal quarters the Company or any Subsidiary shall have consummated a Material Acquisition or a Material Disposition, EBITDA for such period shall, solely for purposes of determining the Leverage Ratio, be calculated giving pro forma effect to such transaction as if it had occurred on the first day of such period.</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that is subject to the supervision of an EEA Resolution Authority, (b) any entity established in an EEA Member Country that is a parent of any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(c) any entity established in an EEA Member Country that is a subsidiary of any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which is the date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5" w:name="page26"/>
    <w:bookmarkEnd w:id="2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shall have the meanings assigned to them, respectively, by 15 USC §7006, as it may be amended from time to time.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a Lender, (b) an Affiliate of a Lender, (c) an Approved Fund and (d) any other Person, other than, in each case, a natural person (including any holding company, investment vehicle or trust for, or owned and operated for the primary benefit of, such natural person), a Defaulting Lender (or a Person that would constitute a Defaulting Lender upon the consummation of such assignment), the Company, any Subsidiary or any other Affiliate of the Company.</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Currency</w:t>
      </w:r>
      <w:r>
        <w:rPr>
          <w:rFonts w:ascii="Times New Roman" w:cs="Times New Roman" w:eastAsia="Times New Roman" w:hAnsi="Times New Roman"/>
          <w:sz w:val="22"/>
          <w:szCs w:val="22"/>
          <w:color w:val="auto"/>
        </w:rPr>
        <w:t>” means any currency other than US Dollars that is readily available and freely traded, in which deposits are customarily offered to banks in the London interbank market, that is convertible into US Dollars in the international interbank market and as to which a US Dollar Equivalent may be readily calculated.</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xml:space="preserve">” means all rules, regulations, codes, ordinances, judgments, orders, decrees, directives, laws, injunctions or binding agreements entered into with any Governmental Authority relating to or addressing pollution or protection of the environment, or protection of worker health or safety, including, but not limited to, the Comprehensive Environmental Response, Compensation and Liability Act, 42 U.S.C. § 9601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the Occupational Safety and Health Act of 1970, 29 U.S.C.</w:t>
      </w:r>
    </w:p>
    <w:p>
      <w:pPr>
        <w:spacing w:after="0" w:line="1" w:lineRule="exact"/>
        <w:rPr>
          <w:sz w:val="20"/>
          <w:szCs w:val="20"/>
          <w:color w:val="auto"/>
        </w:rPr>
      </w:pPr>
    </w:p>
    <w:p>
      <w:pPr>
        <w:jc w:val="both"/>
        <w:ind w:firstLine="8"/>
        <w:spacing w:after="0" w:line="252" w:lineRule="auto"/>
        <w:tabs>
          <w:tab w:leader="none" w:pos="17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and the Resource Conservation and Recovery Act of 1976, 42 U.S.C. § 6901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in each case including any amendments thereto, any successor statutes, any regulations or guidance promulgated thereunder, and any state or local equivalent thereof.</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Lien</w:t>
      </w:r>
      <w:r>
        <w:rPr>
          <w:rFonts w:ascii="Times New Roman" w:cs="Times New Roman" w:eastAsia="Times New Roman" w:hAnsi="Times New Roman"/>
          <w:sz w:val="22"/>
          <w:szCs w:val="22"/>
          <w:color w:val="auto"/>
        </w:rPr>
        <w:t>” means a Lien in favor of any Governmental Authority for (a) any liability under Environmental Laws or (b) damages arising from, or costs incurred by such Governmental Authority in response to, a Release or threatened Release of a Contaminant.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Capital Stock and all warrants, options or other rights to acquire Capital Stock (but excluding any Convertible Indebtedness).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rules and regulations promulgated thereunder.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 Rate</w:t>
      </w:r>
      <w:r>
        <w:rPr>
          <w:rFonts w:ascii="Times New Roman" w:cs="Times New Roman" w:eastAsia="Times New Roman" w:hAnsi="Times New Roman"/>
          <w:sz w:val="22"/>
          <w:szCs w:val="22"/>
          <w:color w:val="auto"/>
        </w:rPr>
        <w:t>” means, with respect to any EURIBOR Borrowing for any Interest Period, the applicable Screen Rate as of the Specified Time on the Quotation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6" w:name="page27"/>
    <w:bookmarkEnd w:id="2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EURIBO Rate.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single currency unit of the member States of the European Community that adopt or have adopted the Euro as their lawful currency in accordance with legislation of the European Community relating to Economic and Monetary Union.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“EUR Term Borrower</w:t>
      </w:r>
      <w:r>
        <w:rPr>
          <w:rFonts w:ascii="Times New Roman" w:cs="Times New Roman" w:eastAsia="Times New Roman" w:hAnsi="Times New Roman"/>
          <w:sz w:val="22"/>
          <w:szCs w:val="22"/>
          <w:color w:val="auto"/>
        </w:rPr>
        <w:t>” has the meaning assigned to such term in the definition of “Term Loan Borrowers”.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Tranche Term Commitment</w:t>
      </w:r>
      <w:r>
        <w:rPr>
          <w:rFonts w:ascii="Times New Roman" w:cs="Times New Roman" w:eastAsia="Times New Roman" w:hAnsi="Times New Roman"/>
          <w:sz w:val="22"/>
          <w:szCs w:val="22"/>
          <w:color w:val="auto"/>
        </w:rPr>
        <w:t xml:space="preserve">” means, for each Lender, the amount set forth under the heading “Euro Tranche Term Commitment”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became a party to this Agreement, as such amount may be reduced or adjusted from time to time in accordance with the terms of this Agreement (collectively, the “Euro Tranche Term Commitments”). As of the Effective Date, the aggregate amount of the Euro Tranche Term Commitments of all Lenders is €150,000,000.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Tranche Term Lender</w:t>
      </w:r>
      <w:r>
        <w:rPr>
          <w:rFonts w:ascii="Times New Roman" w:cs="Times New Roman" w:eastAsia="Times New Roman" w:hAnsi="Times New Roman"/>
          <w:sz w:val="22"/>
          <w:szCs w:val="22"/>
          <w:color w:val="auto"/>
        </w:rPr>
        <w:t>” means a Lender with a Euro Tranche Term Commitment or holding a Euro Tranche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Tranche Term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Tranche Term Loan Facility</w:t>
      </w:r>
      <w:r>
        <w:rPr>
          <w:rFonts w:ascii="Times New Roman" w:cs="Times New Roman" w:eastAsia="Times New Roman" w:hAnsi="Times New Roman"/>
          <w:sz w:val="22"/>
          <w:szCs w:val="22"/>
          <w:color w:val="auto"/>
        </w:rPr>
        <w:t>” means the senior unsecured term loan facility provided for herein in respect of the Euro Tranche Term Commitments and the Euro Tranche Term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means, on any day, for purposes of determining the US Dollar Equivalent of any other currency, the rate at which such other currency may be exchanged into US Dollars at the time of determination on such day as provided by ICE Data Services for such currency. In the event that such rate is not provided by ICE Data Services, (a) the Exchange Rate shall be determined by reference to such other publicly available service for providing exchange rates as may be agreed upon by the Administrative Agent and the Company or (b) in the absence of such an agreement, the Exchange Rate shall instead be the arithmetic average of the spot rates of exchange of the Administrative Agent or one of its Affiliates in the market where its, or its Affiliate’s, foreign currency exchange operations in respect of such currency are then being conducted, at or as near as practicable to such time of determination, on such day for the purchase of US Dollars for delivery two Business Days later,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time of such determination, for any reason, no such spot rate is being quoted, the Administrative Agent may use any reasonable method it reasonably deems appropriate to determine such rate, and such determination shall be conclusive absent manifest error.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provisions of this definition, each Issuing Bank may, solely for purposes of computing the fronting fees owed to it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2.09(c)</w:t>
      </w:r>
      <w:r>
        <w:rPr>
          <w:rFonts w:ascii="Times New Roman" w:cs="Times New Roman" w:eastAsia="Times New Roman" w:hAnsi="Times New Roman"/>
          <w:sz w:val="22"/>
          <w:szCs w:val="22"/>
          <w:color w:val="auto"/>
        </w:rPr>
        <w:t>, compute the US Dollar Equivalent of the LC Exposure attributable to Letters of Credit issued by it by reference to exchange rates determined using any reasonable method customarily employed by it for such purpose.</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Irish Taxes</w:t>
      </w:r>
      <w:r>
        <w:rPr>
          <w:rFonts w:ascii="Times New Roman" w:cs="Times New Roman" w:eastAsia="Times New Roman" w:hAnsi="Times New Roman"/>
          <w:sz w:val="22"/>
          <w:szCs w:val="22"/>
          <w:color w:val="auto"/>
        </w:rPr>
        <w:t>” means, with respect to any Loan made to an Irish Borrower, any deduction or withholding for or on account of Tax imposed by Ireland on any amounts payable (which may include part of a payment) to or for the account of such Lender, if on the date on which the payment falls due (x) the payment could have been made to the Lender without any withholding or deduction for or on account of such Tax if the Lender had been an Irish Qualifying Lender, but on that date the Lender is not (or has ceased to be) an Irish Qualifying Lender other than as a result of any change after the date it became a Lender under this Agreement in (or in the interpretation, administration, or application of) any law or treaty or any published practice or published concession of any relevant Governmental Authority) or (y) the relevant Lender is an Irish Qualifying Lender solely by virtue of being an Irish Treaty Lender and the Loan Party making the payment is able to demonstrate that the payment could have been made to the Lender without such deduction or withholding had the Lender complied with its obligations in Section 2.14(h)(E).</w:t>
      </w:r>
    </w:p>
    <w:p>
      <w:pPr>
        <w:spacing w:after="0" w:line="19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otherwise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Company under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acquired the applicable interest in such Loan or Commitment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2.14(f)</w:t>
      </w:r>
      <w:r>
        <w:rPr>
          <w:rFonts w:ascii="Times New Roman" w:cs="Times New Roman" w:eastAsia="Times New Roman" w:hAnsi="Times New Roman"/>
          <w:sz w:val="22"/>
          <w:szCs w:val="22"/>
          <w:color w:val="auto"/>
        </w:rPr>
        <w:t>, (d) any withholding Taxes imposed under FATCA, (e) Excluded UK Taxes and (f) Excluded Irish Taxes.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UK Taxes</w:t>
      </w:r>
      <w:r>
        <w:rPr>
          <w:rFonts w:ascii="Times New Roman" w:cs="Times New Roman" w:eastAsia="Times New Roman" w:hAnsi="Times New Roman"/>
          <w:sz w:val="22"/>
          <w:szCs w:val="22"/>
          <w:color w:val="auto"/>
        </w:rPr>
        <w:t>” means any withholding Tax imposed by the UK on an interest payment (which may include part of an interest payment) made by or in respect of a UK Borrower where, on the date the payment falls due: (a) the payment could have been made to the relevant Lender without such withholding if the Lender had been a UK Qualifying Lender, but on that date such Lender is not or has ceased to be a UK Qualifying Lender other than as a result of any change after the date it became a Lender under this Agreement in (or in the interpretation, administration, or application of) any law or Treaty or published practice or published concession of any relevant tax authority; (b) the relevant Lender is a UK Qualifying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48" w:lineRule="auto"/>
        <w:rPr>
          <w:sz w:val="20"/>
          <w:szCs w:val="20"/>
          <w:color w:val="auto"/>
        </w:rPr>
      </w:pPr>
      <w:r>
        <w:rPr>
          <w:rFonts w:ascii="Times New Roman" w:cs="Times New Roman" w:eastAsia="Times New Roman" w:hAnsi="Times New Roman"/>
          <w:sz w:val="22"/>
          <w:szCs w:val="22"/>
          <w:color w:val="auto"/>
        </w:rPr>
        <w:t>solely by virtue of clause (a)(B) of the definition of “UK Qualifying Lender” and: (A) an officer of HMRC has given (and not revoked) a direction (a “Direction”) under section 931 of the ITA which relates to the payment and such Lender has received from the applicable Loan Party making the payment or from the Administrative Agent a certified copy of such Direction; and (B) the payment could have been made to the Lender without such withholding if that Direction had not been made; (c) the relevant Lender is a UK Qualifying Lender solely by virtue of clause (a)(B) of the definition of “UK Qualifying Lender” and: (A) the relevant Lender has not given a UK Tax Confirmation to the Administrative Agent and (B) the payment could have been made to the Lender without such withholding if the Lender had given a UK Tax Confirmation to the Administrative Agent, on the basis that the UK Tax Confirmation would have enabled the Administrative Agent or the relevant Loan Party to have formed a reasonable belief that the payment was an “excepted payment” for the purpose of section 930 of the ITA; or (d) the relevant Lender is a UK Treaty Lender and the applicable Loan Party making the payment is able to demonstrate that the payment could have been made to the Lender without such withholding had that Lender complied with its obligations under Section 2.14(g)(i), (ii) or (iii) (as applicable).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Revolving Borrowings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 of the Code, any intergovernmental agreement entered into in connection with the implementation of such Sections of the Code or any fiscal or regulatory legislation, rules or official practices adopted pursuant to any such intergovernmental agreement.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(a) the Fee Letter dated March 17, 2026, among the Company and the Arrangers, (b) the Agent Fee Letter dated March 17, 2026, among the Company, Bank of America, N.A. and BofA Securities, Inc. and (c) the BNP Fee Letter dated March 17, 2026, among the Company, BNP Paribas and BNP Paribas Securities Corp.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Borrowing Subsidiary</w:t>
      </w:r>
      <w:r>
        <w:rPr>
          <w:rFonts w:ascii="Times New Roman" w:cs="Times New Roman" w:eastAsia="Times New Roman" w:hAnsi="Times New Roman"/>
          <w:sz w:val="22"/>
          <w:szCs w:val="22"/>
          <w:color w:val="auto"/>
        </w:rPr>
        <w:t>” means any Borrowing Subsidiary that is a Foreign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not a US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 Subsidiary of the Company which is not a Domestic Subsidiary.</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generally accepted accounting principles in the United States of America, applied in accordance with the consistency requirements thereof.</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 any nation or government, any federal, state, local or other political subdivision thereof and any entity exercising executive, legislative, judicial, taxing, regulatory or administrative authority or functions of or pertaining to government, including any authority or other quasi-governmental entity established to perform any of such functions and (b) any supra-national body exercising such powers or functions, such as the European Union or the European Central Bank.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xml:space="preserve">” means the guarantee and other obligations of the Guarantors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(a) with respect to the Term Facilities, (i) the Company and (ii) solely prior to the consummation of the Spin-Off, the Parent and (b) with respect to the Revolving Facility, (i) the Company (solely in respect of any of the obligations of the applicable Borrowing Subsidiary) and (ii) solely prior to the consummation of the Spin-Off, the Parent.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Agreement</w:t>
      </w:r>
      <w:r>
        <w:rPr>
          <w:rFonts w:ascii="Times New Roman" w:cs="Times New Roman" w:eastAsia="Times New Roman" w:hAnsi="Times New Roman"/>
          <w:sz w:val="21"/>
          <w:szCs w:val="21"/>
          <w:color w:val="auto"/>
        </w:rPr>
        <w:t xml:space="preserve">” means any agreement with respect to any swap, forward, future or derivative transaction, or any option or similar agreement, involving, or settled by reference to, one or more rates, currencies, commodities, prices of equity or debt securities or instruments, or economic, financial or pricing indices or measures of economic, financial or pricing risk or value, or any similar transaction or combination of the foregoing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the following shall constitute a Hedging Agreement: (a) any phantom stock or similar plan providing for payments only on account of services provided by, or any stock option or stock compensation plan providing for grants to, current or former directors, officers, employees or consultants of the Company or the Subsidiaries; (b) any issuance by the Company of Convertible Indebtedness or warrants or options entitling third parties to purchase the Company’s common stock (or, at the Company’s option, to receive cash in lieu thereof); (c) any purchase of Equity Interests or Indebtedness (including Convertible Indebtedness) of the Company pursuant to delayed delivery contracts, accelerated stock repurchase agreements, prepaid put options, forward contracts or other similar agreements; (d) any of the foregoing to the extent it constitutes a derivative embedded in a convertible security issued by the Company; or (e) any Permitted Bond Hedge Transactions and Permitted Warrant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of a Person means any and all obligations of such Person, whether absolute or contingent and howsoever and whensoever created, arising, evidenced or acquired (including all renewals, extensions and modifications thereof and substitutions therefor), under any and all Hedging Agreements.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means HM Revenue &amp; Customs of the United Kingdom.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 DTTP Scheme</w:t>
      </w:r>
      <w:r>
        <w:rPr>
          <w:rFonts w:ascii="Times New Roman" w:cs="Times New Roman" w:eastAsia="Times New Roman" w:hAnsi="Times New Roman"/>
          <w:sz w:val="22"/>
          <w:szCs w:val="22"/>
          <w:color w:val="auto"/>
        </w:rPr>
        <w:t>” means HMRC’s double taxation treaty passport scheme, as modified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Commitment</w:t>
      </w:r>
      <w:r>
        <w:rPr>
          <w:rFonts w:ascii="Times New Roman" w:cs="Times New Roman" w:eastAsia="Times New Roman" w:hAnsi="Times New Roman"/>
          <w:sz w:val="22"/>
          <w:szCs w:val="22"/>
          <w:color w:val="auto"/>
        </w:rPr>
        <w:t>” means any Incremental Revolving Commitment and/or any Incremental Term Commitment, as the context may require.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Agreement</w:t>
      </w:r>
      <w:r>
        <w:rPr>
          <w:rFonts w:ascii="Times New Roman" w:cs="Times New Roman" w:eastAsia="Times New Roman" w:hAnsi="Times New Roman"/>
          <w:sz w:val="22"/>
          <w:szCs w:val="22"/>
          <w:color w:val="auto"/>
        </w:rPr>
        <w:t>” means an Incremental Facility Agreement, in form and substance reasonably satisfactory to the Company and the Administrative Agent, among the Company, the Administrative Agent and one or more Incremental Lenders, establishing Incremental Commitments.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Lender</w:t>
      </w:r>
      <w:r>
        <w:rPr>
          <w:rFonts w:ascii="Times New Roman" w:cs="Times New Roman" w:eastAsia="Times New Roman" w:hAnsi="Times New Roman"/>
          <w:sz w:val="22"/>
          <w:szCs w:val="22"/>
          <w:color w:val="auto"/>
        </w:rPr>
        <w:t>” means any Incremental Revolving Lender and/or any Incremental Term Lender, as the context may require.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xml:space="preserve">” means, with respect to any Lender, the commitment, if any, of such Lender, established pursuant to an Incremental Facility Agreement and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to make Revolving Loans and to acquire participations in Letters of Credit and Swingline Loans hereunder.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Lender</w:t>
      </w:r>
      <w:r>
        <w:rPr>
          <w:rFonts w:ascii="Times New Roman" w:cs="Times New Roman" w:eastAsia="Times New Roman" w:hAnsi="Times New Roman"/>
          <w:sz w:val="22"/>
          <w:szCs w:val="22"/>
          <w:color w:val="auto"/>
        </w:rPr>
        <w:t>” means a Lender with an Incremental Revolving Commitment.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Commitment</w:t>
      </w:r>
      <w:r>
        <w:rPr>
          <w:rFonts w:ascii="Times New Roman" w:cs="Times New Roman" w:eastAsia="Times New Roman" w:hAnsi="Times New Roman"/>
          <w:sz w:val="22"/>
          <w:szCs w:val="22"/>
          <w:color w:val="auto"/>
        </w:rPr>
        <w:t xml:space="preserve">” means, with respect to any Lender, the commitment, if any, of such Lender, established pursuant to an Incremental Facility Agreement and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to make Term Loans of any Tranche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Lender</w:t>
      </w:r>
      <w:r>
        <w:rPr>
          <w:rFonts w:ascii="Times New Roman" w:cs="Times New Roman" w:eastAsia="Times New Roman" w:hAnsi="Times New Roman"/>
          <w:sz w:val="21"/>
          <w:szCs w:val="21"/>
          <w:color w:val="auto"/>
        </w:rPr>
        <w:t>” means a Lender with an Incremental Term Commitment or an outstanding Incremental Term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means a Loan made pursuant to an Incremental Term Commitment.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 Person means, without duplication, such Person’s (a) obligations for borrowed money, (b) obligations representing the deferred purchase price of property or services (other than accounts payable arising in the ordinary course of such Person’s business payable on customary terms, earn-out or other contingent payment obligations arising in connection with an Acquisition or a Disposition, and deferred or equity compensation arrangements payable to directors, officers, employees, advisors, consultants or other providers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1" w:name="page32"/>
    <w:bookmarkEnd w:id="31"/>
    <w:p>
      <w:pPr>
        <w:jc w:val="both"/>
        <w:ind w:right="20" w:firstLine="8"/>
        <w:spacing w:after="0" w:line="263" w:lineRule="auto"/>
        <w:tabs>
          <w:tab w:leader="none" w:pos="297"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of a type set forth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of this definition, whether or not assumed, secured by Liens on property now or hereafter owned or acquired by such Person, (d) obligations that are evidenced by notes, bonds, or other similar instruments, (e) Capitalized Lease Obligations, (f) net mark-to-market liability in connection with Hedging Obligations,</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2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actual and contingent reimbursement obligations in respect of letters of credit, (h) [reserved] and (i) guarantees and similar obligations in respect of items of the type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shall not include (i) any accrued or deferred interest or other expenses, unless capitalized in accordance with GAAP, (ii) any lease properly classified as an operating lease in accordance with GAAP, (iii) any surety or appeal bond or performance bond, (iv) obligations in respect of non-competes and similar agreements or (v) deferred revenue, customer prepayments or other similar obligations. The amount of any item of Indebtedness, except for any item of Indebtedness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shall be the amount of any liability in respect thereof appearing on a balance sheet properly prepared in accordance with GAAP. The amount of any item of Indebtedness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be determined as the lesser of (x) the principal amount of the obligations expressly referred to in such clause (it being understood that the principal amount of such obligations shall be determined in accordance with the other provisions of this definition) and (y) the fair value of the property of such Person subject to the Liens referred to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amount of any item of Indebtedness described in clause (f) above at any time shall be the maximum aggregate amount (giving effect to any legally enforceable netting agreement) that the relevant Person would be required to pay if the relevant Hedging Agreement were terminated at such time.</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Borrower under any Loan Document and (b) to the extent not otherwise described in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Other Taxes.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or on behalf of a Borrower to convert or continue a Borrowing in accordance with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which shall be in the form of Exhibit E or any other form approved by the Administrative Agent.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the total interest expense of the Company and its consolidated Subsidiaries for such period, whether paid or accrued (including the interest component of Capitalized Leases, commitment fees and fees for stand-by letters of credit), all as determined in accordance with GAAP.</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the first Business Day following the last day of each March, June, September and December, (b) with respect to any SONIA Loan, the first Business Day following the last day of each month and (c) with respect to any Term SOFR Loan or EURIBOR Loan, the last day of the Interest Period applicable to the Borrowing of which such Loan is a part (and in the case of a EURIBOR Borrowing with an Interest Period of more than three months’ duration, such day or days prior to the last day of such Interest Period as shall occur at intervals of three months’ duration after the first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32" w:name="page33"/>
    <w:bookmarkEnd w:id="32"/>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(a) Term SOFR Borrowing, the period commencing on the date of such Borrowing and ending on the numerically corresponding day in the calendar month that is one, three or six months thereafter or</w:t>
      </w:r>
    </w:p>
    <w:p>
      <w:pPr>
        <w:spacing w:after="0" w:line="2" w:lineRule="exact"/>
        <w:rPr>
          <w:sz w:val="20"/>
          <w:szCs w:val="20"/>
          <w:color w:val="auto"/>
        </w:rPr>
      </w:pPr>
    </w:p>
    <w:p>
      <w:pPr>
        <w:jc w:val="both"/>
        <w:ind w:firstLine="8"/>
        <w:spacing w:after="0" w:line="246" w:lineRule="auto"/>
        <w:tabs>
          <w:tab w:leader="none" w:pos="31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EURIBOR Borrowing, the period commencing on the date of such Borrowing and ending on the numerically corresponding day in the calendar month that is one, three or six months thereafter (or, in each case, such shorter or longer period as shall have been consented to by each Lender participating in such Borrowing), as the applicable Borrower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(y)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Intergraph Corporation</w:t>
      </w:r>
      <w:r>
        <w:rPr>
          <w:rFonts w:ascii="Times New Roman" w:cs="Times New Roman" w:eastAsia="Times New Roman" w:hAnsi="Times New Roman"/>
          <w:sz w:val="22"/>
          <w:szCs w:val="22"/>
          <w:color w:val="auto"/>
        </w:rPr>
        <w:t>” means Intergraph Corporation,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Ireland</w:t>
      </w:r>
      <w:r>
        <w:rPr>
          <w:rFonts w:ascii="Times New Roman" w:cs="Times New Roman" w:eastAsia="Times New Roman" w:hAnsi="Times New Roman"/>
          <w:sz w:val="22"/>
          <w:szCs w:val="22"/>
          <w:color w:val="auto"/>
        </w:rPr>
        <w:t>” means Ireland, exclusive of Northern Ireland.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Borrower</w:t>
      </w:r>
      <w:r>
        <w:rPr>
          <w:rFonts w:ascii="Times New Roman" w:cs="Times New Roman" w:eastAsia="Times New Roman" w:hAnsi="Times New Roman"/>
          <w:sz w:val="22"/>
          <w:szCs w:val="22"/>
          <w:color w:val="auto"/>
        </w:rPr>
        <w:t>” means a Borrower which is organized or incorporated in Ireland.</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Qualifying Lender</w:t>
      </w:r>
      <w:r>
        <w:rPr>
          <w:rFonts w:ascii="Times New Roman" w:cs="Times New Roman" w:eastAsia="Times New Roman" w:hAnsi="Times New Roman"/>
          <w:sz w:val="22"/>
          <w:szCs w:val="22"/>
          <w:color w:val="auto"/>
        </w:rPr>
        <w:t>” means a Lender which is beneficially entitled to interest payable to it in respect of an advance under the Loan Documents to an Irish Borrower and is (a) a bank within the meaning of Section 246 TCA which is carrying on a bona fide banking business in Ireland for the purposes of Section 246(3)(a) TCA, (b) a body corporate (x) which, by virtue of the law of a Qualifying Jurisdiction, is resident in the Qualifying Jurisdiction for the purposes of tax and that jurisdiction imposes a tax that generally applies to interest receivable in that jurisdiction by bodies corporate from sources outside that jurisdiction or (y) where the interest payable under the Loan Documents: (1) is exempted from the charge to Irish income tax under an Irish Treaty in force on the date the interest is paid or (2)would be exempted from the charge to Irish income tax under an Irish Treaty which has been signed but is not yet in force had if such Treaty had the force of law on the date the interest is paid by virtue of Section 826(1) TCA, except where interest is paid under a Loan Document to the body corporate in connection with a trade or business which is carried on by it in Ireland through a branch or agency, (c) a company which is incorporated in the United States and is taxed in the United States (“US Company”) on its worldwide income except where interest is paid under a Loan Document to the US company in connection with a trade or business which is carried on by it in Ireland through a branch or agency; (d) a US limited liability company (“LLC”) where the ultimate recipients of the interest payable under the Loan Document would themselves be Irish Qualifying Lenders under sub-paragraphs (b) or (c) of this definition and business is conducted through the LLC for non-tax commercial reasons and not for tax avoidance purposes, except where interest is paid under a Loan Document to the LLC in connection with a trade or business which is carried on by it in Ireland through a branch or agency, (e) a body corporate (x) which advances money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22"/>
          <w:szCs w:val="22"/>
          <w:color w:val="auto"/>
        </w:rPr>
        <w:t>ordinary course of a trade which includes the lending of money, (y) in whose hands any interest payable in respect of monies so advanced is taken into account in computing the trading income of such body corporate and (z) such body corporate has complied with the notification requirements under section 246(5) TCA to the Irish Revenue Commissioners and the Irish Borrower, (f) an investment undertaking (within the meaning of section 739B TCA), (g) an exempt approved scheme (within the meaning of section 774 TCA), or (h) an Irish Treaty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Revenue Commissioners</w:t>
      </w:r>
      <w:r>
        <w:rPr>
          <w:rFonts w:ascii="Times New Roman" w:cs="Times New Roman" w:eastAsia="Times New Roman" w:hAnsi="Times New Roman"/>
          <w:sz w:val="22"/>
          <w:szCs w:val="22"/>
          <w:color w:val="auto"/>
        </w:rPr>
        <w:t>” means the Revenue Commissioners of Ireland.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Treaty</w:t>
      </w:r>
      <w:r>
        <w:rPr>
          <w:rFonts w:ascii="Times New Roman" w:cs="Times New Roman" w:eastAsia="Times New Roman" w:hAnsi="Times New Roman"/>
          <w:sz w:val="22"/>
          <w:szCs w:val="22"/>
          <w:color w:val="auto"/>
        </w:rPr>
        <w:t>” has the meaning specified in the definition of “Irish Treaty State”.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Treaty Lender</w:t>
      </w:r>
      <w:r>
        <w:rPr>
          <w:rFonts w:ascii="Times New Roman" w:cs="Times New Roman" w:eastAsia="Times New Roman" w:hAnsi="Times New Roman"/>
          <w:sz w:val="22"/>
          <w:szCs w:val="22"/>
          <w:color w:val="auto"/>
        </w:rPr>
        <w:t>” means a Lender which (a) is treated as resident of an Irish Treaty State for the purposes of an Irish Treaty; (b) does not carry on a business in Ireland through a permanent establishment with which that Lender’s participation in any Loan is effectively connected; and (c) meets all other conditions of the Irish Treaty which must be fulfilled for residents of that Irish Treaty State to be paid interest without the deduction of Tax subject to the completion of any necessary procedural formalities.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Treaty State</w:t>
      </w:r>
      <w:r>
        <w:rPr>
          <w:rFonts w:ascii="Times New Roman" w:cs="Times New Roman" w:eastAsia="Times New Roman" w:hAnsi="Times New Roman"/>
          <w:sz w:val="22"/>
          <w:szCs w:val="22"/>
          <w:color w:val="auto"/>
        </w:rPr>
        <w:t>” means a jurisdiction have a double taxation agreement (an “Irish Treaty”) with Ireland that has force of law and makes provision for full exemption from tax imposed by Ireland on interest.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Companies Act</w:t>
      </w:r>
      <w:r>
        <w:rPr>
          <w:rFonts w:ascii="Times New Roman" w:cs="Times New Roman" w:eastAsia="Times New Roman" w:hAnsi="Times New Roman"/>
          <w:sz w:val="22"/>
          <w:szCs w:val="22"/>
          <w:color w:val="auto"/>
        </w:rPr>
        <w:t>” means the Companies Act 2014 (as amended) of Ireland.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Irish Loan Parties</w:t>
      </w:r>
      <w:r>
        <w:rPr>
          <w:rFonts w:ascii="Times New Roman" w:cs="Times New Roman" w:eastAsia="Times New Roman" w:hAnsi="Times New Roman"/>
          <w:sz w:val="22"/>
          <w:szCs w:val="22"/>
          <w:color w:val="auto"/>
        </w:rPr>
        <w:t>” means any Loan Party incorporated in Ireland.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 and any Person succeeding to the functions thereof.</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w:t>
      </w:r>
      <w:r>
        <w:rPr>
          <w:rFonts w:ascii="Times New Roman" w:cs="Times New Roman" w:eastAsia="Times New Roman" w:hAnsi="Times New Roman"/>
          <w:sz w:val="22"/>
          <w:szCs w:val="22"/>
          <w:u w:val="single" w:color="auto"/>
          <w:color w:val="auto"/>
        </w:rPr>
        <w:t>International Standby Practices 1998</w:t>
      </w:r>
      <w:r>
        <w:rPr>
          <w:rFonts w:ascii="Times New Roman" w:cs="Times New Roman" w:eastAsia="Times New Roman" w:hAnsi="Times New Roman"/>
          <w:sz w:val="22"/>
          <w:szCs w:val="22"/>
          <w:color w:val="auto"/>
        </w:rPr>
        <w:t>” published by the Institute of International Banking Law &amp; Practice, Inc. (or such later version thereof as may be in effect at the time of issuance).</w:t>
      </w:r>
    </w:p>
    <w:p>
      <w:pPr>
        <w:spacing w:after="0" w:line="17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xml:space="preserve">” means (a) Bank of America, (b) BNP Paribas and (c) each Lender that shall have become an Issuing Bank hereunder as provided in </w:t>
      </w:r>
      <w:r>
        <w:rPr>
          <w:rFonts w:ascii="Times New Roman" w:cs="Times New Roman" w:eastAsia="Times New Roman" w:hAnsi="Times New Roman"/>
          <w:sz w:val="21"/>
          <w:szCs w:val="21"/>
          <w:u w:val="single" w:color="auto"/>
          <w:color w:val="auto"/>
        </w:rPr>
        <w:t>Section 2.20(i)</w:t>
      </w:r>
      <w:r>
        <w:rPr>
          <w:rFonts w:ascii="Times New Roman" w:cs="Times New Roman" w:eastAsia="Times New Roman" w:hAnsi="Times New Roman"/>
          <w:sz w:val="21"/>
          <w:szCs w:val="21"/>
          <w:color w:val="auto"/>
        </w:rPr>
        <w:t xml:space="preserve"> (other than any Person that shall have ceased to be an Issuing Bank as provided in </w:t>
      </w:r>
      <w:r>
        <w:rPr>
          <w:rFonts w:ascii="Times New Roman" w:cs="Times New Roman" w:eastAsia="Times New Roman" w:hAnsi="Times New Roman"/>
          <w:sz w:val="21"/>
          <w:szCs w:val="21"/>
          <w:u w:val="single" w:color="auto"/>
          <w:color w:val="auto"/>
        </w:rPr>
        <w:t>Section 2.20(j)</w:t>
      </w:r>
      <w:r>
        <w:rPr>
          <w:rFonts w:ascii="Times New Roman" w:cs="Times New Roman" w:eastAsia="Times New Roman" w:hAnsi="Times New Roman"/>
          <w:sz w:val="21"/>
          <w:szCs w:val="21"/>
          <w:color w:val="auto"/>
        </w:rPr>
        <w:t>), each in its capacity as an issuer of Letters of Credit hereunder. Each Issuing Bank may, in its discretion, arrange for one or more Letters of Credit to be issued by Affiliates of such Issuing Bank, in which case the term “</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xml:space="preserve">”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with respect to such Letters of Credit).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ITA</w:t>
      </w:r>
      <w:r>
        <w:rPr>
          <w:rFonts w:ascii="Times New Roman" w:cs="Times New Roman" w:eastAsia="Times New Roman" w:hAnsi="Times New Roman"/>
          <w:sz w:val="22"/>
          <w:szCs w:val="22"/>
          <w:color w:val="auto"/>
        </w:rPr>
        <w:t>” means the United Kingdom Income Tax Act 2007.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10.17(b)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34" w:name="page35"/>
    <w:bookmarkEnd w:id="34"/>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Borrowers</w:t>
      </w:r>
      <w:r>
        <w:rPr>
          <w:rFonts w:ascii="Times New Roman" w:cs="Times New Roman" w:eastAsia="Times New Roman" w:hAnsi="Times New Roman"/>
          <w:sz w:val="22"/>
          <w:szCs w:val="22"/>
          <w:color w:val="auto"/>
        </w:rPr>
        <w:t>” means, collectively, Intergraph Corporation and Octave Intelligence Finance Ltd and each, an “</w:t>
      </w:r>
      <w:r>
        <w:rPr>
          <w:rFonts w:ascii="Times New Roman" w:cs="Times New Roman" w:eastAsia="Times New Roman" w:hAnsi="Times New Roman"/>
          <w:sz w:val="22"/>
          <w:szCs w:val="22"/>
          <w:u w:val="single" w:color="auto"/>
          <w:color w:val="auto"/>
        </w:rPr>
        <w:t>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with respect to any Issuing Bank, the maximum permitted amount of the LC Exposure that may be attributable to Letters of Credit issued by such Issuing Bank. The initial amount of each Issuing Bank’s LC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“LC Commitment” or, in the case of any Issuing Bank that becomes an Issuing Bank hereunder pursuant to </w:t>
      </w:r>
      <w:r>
        <w:rPr>
          <w:rFonts w:ascii="Times New Roman" w:cs="Times New Roman" w:eastAsia="Times New Roman" w:hAnsi="Times New Roman"/>
          <w:sz w:val="22"/>
          <w:szCs w:val="22"/>
          <w:u w:val="single" w:color="auto"/>
          <w:color w:val="auto"/>
        </w:rPr>
        <w:t>Section 2.20(i)</w:t>
      </w:r>
      <w:r>
        <w:rPr>
          <w:rFonts w:ascii="Times New Roman" w:cs="Times New Roman" w:eastAsia="Times New Roman" w:hAnsi="Times New Roman"/>
          <w:sz w:val="22"/>
          <w:szCs w:val="22"/>
          <w:color w:val="auto"/>
        </w:rPr>
        <w:t>, in a written agreement referred to in such Section or, in each case, such other maximum permitted amount with respect to any Issuing Bank as may have been agreed in writing (and notified in writing to the Administrative Agent) by such Issuing Bank and the Company.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xml:space="preserve">” means, at any time, the sum of (a) the sum of the aggregate amount of all Letters of Credit that remains available for drawing at such time and (b) the sum of the aggregate amount of all LC Disbursements that have not yet been reimbursed by or on behalf of the LC Borrowers at such time. The LC Exposure of any Revolving Lender at any time shall be its Applicable Percentage of the total LC Exposure at such time, adjusted to give effect to any reallocation under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 xml:space="preserve"> of the LC Exposure of Defaulting Lenders in effect at such time.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in respect of which such Lender is a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Recipient Party</w:t>
      </w:r>
      <w:r>
        <w:rPr>
          <w:rFonts w:ascii="Times New Roman" w:cs="Times New Roman" w:eastAsia="Times New Roman" w:hAnsi="Times New Roman"/>
          <w:sz w:val="22"/>
          <w:szCs w:val="22"/>
          <w:color w:val="auto"/>
        </w:rPr>
        <w:t>” means, collectively, the Lenders and the Issuing Banks.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any Incremental Lender that shall have become a party hereto pursuant to an Incremental Facility Agreement and any other Person that shall have become a party hereto pursuant to an Assignment and Assumption, other than any such Person that shall have ceased to be a party hereto pursuant to an Assignment and Assumption. The term “Lenders” shall include the Dollar Tranche Term Lenders and the Euro Tranche Term Lenders. Unless the context otherwise requires, the term “Lenders” includes the Swingline Lender.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 in each case other than any such letter of credit that shall have ceased to be a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35" w:name="page36"/>
    <w:bookmarkEnd w:id="35"/>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outstanding hereunder pursuant to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A Letter of Credit may be a commercial letter of credit or a standby letter of credit.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2.09(c)(i)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means, as of any date of determination, the ratio of (a) (i) Total Indebtedness on such date of determination less (ii) Unrestricted Cash on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deducted pursuant to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may not in any event exceed, as of any date of determination, US$200,000,000, to (b) EBITDA for the most recently ended period of four consecutive fiscal quarters (including any fiscal quarters ending on the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the avoidance of doubt, no proceeds of Acquisition Indebtedness shall be considered Unrestricted Cash for the purposes of this definition so long as such Acquisition Indebtedness is excluded from the calculation of “Total Indebtedness”.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any lien (statutory or other), mortgage, pledge, hypothecation, encumbrance or security agreement (including, without limitation, the interest of a vendor or lessor under any conditional sale, Capitalized Lease or other title retention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(i) the lessor’s interest under any real property lease, (ii) any lease properly classified as an operating lease in accordance with GAAP or (iii) any licenses or similar rights with respect to intellectual property rights licensed or held by the Company or its Subsidiaries be a “</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this Agreement, the Fee Letters, each Borrowing Subsidiary Accession Agreement, each Borrowing Subsidiary Termination, any agreement designating an additional Issuing Bank as contemplated by </w:t>
      </w:r>
      <w:r>
        <w:rPr>
          <w:rFonts w:ascii="Times New Roman" w:cs="Times New Roman" w:eastAsia="Times New Roman" w:hAnsi="Times New Roman"/>
          <w:sz w:val="22"/>
          <w:szCs w:val="22"/>
          <w:u w:val="single" w:color="auto"/>
          <w:color w:val="auto"/>
        </w:rPr>
        <w:t>Section 2.20(i)</w:t>
      </w:r>
      <w:r>
        <w:rPr>
          <w:rFonts w:ascii="Times New Roman" w:cs="Times New Roman" w:eastAsia="Times New Roman" w:hAnsi="Times New Roman"/>
          <w:sz w:val="22"/>
          <w:szCs w:val="22"/>
          <w:color w:val="auto"/>
        </w:rPr>
        <w:t xml:space="preserve">, each Incremental Facility Agreement and, except for purposes of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any promissory notes delivered pursuant to </w:t>
      </w:r>
      <w:r>
        <w:rPr>
          <w:rFonts w:ascii="Times New Roman" w:cs="Times New Roman" w:eastAsia="Times New Roman" w:hAnsi="Times New Roman"/>
          <w:sz w:val="22"/>
          <w:szCs w:val="22"/>
          <w:u w:val="single" w:color="auto"/>
          <w:color w:val="auto"/>
        </w:rPr>
        <w:t>Section 2.07(c)</w:t>
      </w:r>
      <w:r>
        <w:rPr>
          <w:rFonts w:ascii="Times New Roman" w:cs="Times New Roman" w:eastAsia="Times New Roman" w:hAnsi="Times New Roman"/>
          <w:sz w:val="22"/>
          <w:szCs w:val="22"/>
          <w:color w:val="auto"/>
        </w:rPr>
        <w:t xml:space="preserve"> and each written agreement (if any) between the Company and any Issuing Bank regarding such Issuing Bank’s LC Commitment.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Parent (solely prior to the Spin-Off Effective Date), the Term Loan Borrowers, the Company and the Borrowing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Borrowers pursuant to this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Time</w:t>
      </w:r>
      <w:r>
        <w:rPr>
          <w:rFonts w:ascii="Times New Roman" w:cs="Times New Roman" w:eastAsia="Times New Roman" w:hAnsi="Times New Roman"/>
          <w:sz w:val="22"/>
          <w:szCs w:val="22"/>
          <w:color w:val="auto"/>
        </w:rPr>
        <w:t>” means (a) with respect to a Loan or Borrowing denominated in US Dollars or any Letter of Credit, New York City time, (b) with respect to a Loan or Borrowing denominated in Euro, Frankfurt time, and (c) with respect to a Loan or Borrowing denominated in an Alternative Currency other than Euro, London time.</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in Interest</w:t>
      </w:r>
      <w:r>
        <w:rPr>
          <w:rFonts w:ascii="Times New Roman" w:cs="Times New Roman" w:eastAsia="Times New Roman" w:hAnsi="Times New Roman"/>
          <w:sz w:val="22"/>
          <w:szCs w:val="22"/>
          <w:color w:val="auto"/>
        </w:rPr>
        <w:t>”, when used in reference to Lenders of any Class, means, at any time, (a) in the case of the Revolving Lenders, Revolving Lenders having Revolving Exposures and unused Revolving Commitments representing more than 50% of the sum of the aggregate Revolving Exposures and the aggregate amount of the unused Revolving Commitments at such time and (b) in the case of the Term Lenders of any Class, Term Lenders having Term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36" w:name="page37"/>
    <w:bookmarkEnd w:id="36"/>
    <w:p>
      <w:pPr>
        <w:ind w:right="20"/>
        <w:spacing w:after="0" w:line="271" w:lineRule="auto"/>
        <w:rPr>
          <w:sz w:val="20"/>
          <w:szCs w:val="20"/>
          <w:color w:val="auto"/>
        </w:rPr>
      </w:pPr>
      <w:r>
        <w:rPr>
          <w:rFonts w:ascii="Times New Roman" w:cs="Times New Roman" w:eastAsia="Times New Roman" w:hAnsi="Times New Roman"/>
          <w:sz w:val="22"/>
          <w:szCs w:val="22"/>
          <w:color w:val="auto"/>
        </w:rPr>
        <w:t>Term Commitments of such Class representing more than 50% of the sum of all the Term Loans and unused Term Commitments of such Class of all Term Lenders of such Class outstanding or in effect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has the meaning set forth in Regulation U.</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Acquisition</w:t>
      </w:r>
      <w:r>
        <w:rPr>
          <w:rFonts w:ascii="Times New Roman" w:cs="Times New Roman" w:eastAsia="Times New Roman" w:hAnsi="Times New Roman"/>
          <w:sz w:val="22"/>
          <w:szCs w:val="22"/>
          <w:color w:val="auto"/>
        </w:rPr>
        <w:t>” means any Acquisition in which the aggregate consideration payable by the Company and its Subsidiaries has a value of US$275,000,000 or more.</w:t>
      </w:r>
    </w:p>
    <w:p>
      <w:pPr>
        <w:spacing w:after="0" w:line="15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financial condition, operations, assets, business or properties of the Company and its Subsidiaries, taken as a whole, (b) the ability of the Loan Parties, taken as a whole, to perform their obligations under the Loan Documents, (c) the legality, validity, binding effect or enforceability against any Loan Party of any Loan Document to which it is a party or (d) the ability of the Lenders, the Administrative Agent or the Issuing Banks to enforce the Obligations.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means any disposition of assets (other than inventory sold in the ordinary course of business) in which the aggregate consideration received by the Company and its Subsidiaries has a value of US$275,000,000 or more.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xml:space="preserve">” means (a) any Borrowing Subsidiary, (b) any Subsidiary designated by the Company as a Material Subsidiary and (c) each Subsidiary that, as of the most recent fiscal quarter of the Company, for the period of four consecutive fiscal quarters then ended, for which financial statements have been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following the Effective Date, the most recent financial statements referred to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(A) individually contributed (i) greater than five percent (5%) of the consolidated revenues of the Company and its Subsidiaries for such period or (ii) greater than five percent (5%) of consolidated total assets of the Company and its Subsidiaries as of such date, in each case calculated in accordance with GAAP or (B) when combined with all other Subsidiaries that are not Material Subsidiaries pursuant to clause (A), in the aggregate for all such Subsidiaries, contributed (i) greater than ten percent (10%) of the consolidated revenues of the Company and its Subsidiaries for such period or (ii) greater than ten percent (10%) of consolidated total assets of the Company and its Subsidiaries as of such date, in each case calculated in accordance with GAAP.</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the Term Loan Maturity Date or the Revolving Maturity Date, as applicable, as the context may require;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such day is not a Business Day, the Maturity Date shall be the Business Day immediately succeeding such day.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to the rating agency business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37" w:name="page38"/>
    <w:bookmarkEnd w:id="3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as defined in Section 4001(a)(3) of ERISA that is, or within the immediately preceding six years was, or was required to be, contributed to by either the Company or any member of the Controlled Group.</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means, for any period, the net income (or loss) after taxes of the Company and its Subsidiaries on a consolidated basis for such period taken as a single accounting period determined in accordance with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Revolving Lender</w:t>
      </w:r>
      <w:r>
        <w:rPr>
          <w:rFonts w:ascii="Times New Roman" w:cs="Times New Roman" w:eastAsia="Times New Roman" w:hAnsi="Times New Roman"/>
          <w:sz w:val="22"/>
          <w:szCs w:val="22"/>
          <w:color w:val="auto"/>
        </w:rPr>
        <w:t>” means, at any time, any Revolving Lender that is not a Defaulting Lender at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(a) the due and punctual payment by each Borrower of the principal of and premium, if any, and interest (including interest accruing, at the rate specified herein, during the pendency of any bankruptcy, insolvency, examinership, rescue process, receivership or other similar proceeding, regardless of whether allowed or allowable in such proceeding) on all Loans, when and as due, whether at maturity, by acceleration, upon one or more dates set for prepayment or otherwise, (b) the due and punctual payment by each Borrower of each payment required to be made by such Borrower under this Agreement in respect of any Letter of Credit, when and as due, including payments in respect of reimbursement of LC Disbursements, interest thereon (including interest accruing, at the rate specified herein, during the pendency of any bankruptcy, insolvency, examinership, rescue process, receivership or other similar proceeding, regardless of whether allowed or allowable in such proceeding) and obligations to provide cash collateral and (c) the due and punctual payment or performance by each Borrower of all other monetary obligations under this Agreement or any other Loan Document, including fees, costs, expenses and indemnities, whether primary, secondary, direct, contingent, fixed or otherwise (including monetary obligations accruing, at the rate specified herein or therein, or incurred during the pendency of any bankruptcy, insolvency, examinership, rescue process, receivership or other similar proceeding, regardless of whether allowed or allowable in such proceeding).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Octave Intelligence Finance Ltd</w:t>
      </w:r>
      <w:r>
        <w:rPr>
          <w:rFonts w:ascii="Times New Roman" w:cs="Times New Roman" w:eastAsia="Times New Roman" w:hAnsi="Times New Roman"/>
          <w:sz w:val="22"/>
          <w:szCs w:val="22"/>
          <w:color w:val="auto"/>
        </w:rPr>
        <w:t>” means Octave Intelligence Finance Ltd, a private limited company incorporated under the laws of England and Wales.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United States Department of the Treasury’s Office of Foreign Assets Control.</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71" w:lineRule="auto"/>
        <w:rPr>
          <w:sz w:val="20"/>
          <w:szCs w:val="20"/>
          <w:color w:val="auto"/>
        </w:rPr>
      </w:pPr>
      <w:r>
        <w:rPr>
          <w:rFonts w:ascii="Times New Roman" w:cs="Times New Roman" w:eastAsia="Times New Roman" w:hAnsi="Times New Roman"/>
          <w:sz w:val="22"/>
          <w:szCs w:val="22"/>
          <w:color w:val="auto"/>
        </w:rPr>
        <w:t>perfected a security interest under, engaged in any other transaction pursuant to or enforced any Loan Document, or sold or assigned an interest in any Loan, Letter of Credit or Loan Document).</w:t>
      </w:r>
    </w:p>
    <w:p>
      <w:pPr>
        <w:spacing w:after="0" w:line="15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(a) with respect to any amount denominated in US Dollars, the greater of (i) the Federal Funds Rate and (ii) an overnight rate determined by the Administrative Agent or the Issuing Banks, as the case may be, in accordance with banking industry rules on interbank compensation, and (b) with respect to any amount denominated in an Alternative Currency, an overnight rate determined by the Administrative Agent or the Issuing Banks, as the case may be, in accordance with banking industry rules on interbank compensation.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Hexagon AB, a Swedish public limited liability company with corporate registration number 556190-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4771.</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10.04(c)(ii)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10.04(c)(i)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Bond Hedge Transaction</w:t>
      </w:r>
      <w:r>
        <w:rPr>
          <w:rFonts w:ascii="Times New Roman" w:cs="Times New Roman" w:eastAsia="Times New Roman" w:hAnsi="Times New Roman"/>
          <w:sz w:val="22"/>
          <w:szCs w:val="22"/>
          <w:color w:val="auto"/>
        </w:rPr>
        <w:t xml:space="preserve">” means any call option or capped call option (or substantively equivalent derivative transaction) relating to or referencing the Company’s common stock (or other equity or equity-linked securities or property following a merger event, reclassification or other change of such common stock) purchased by the Company in connection with the issuance of any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Company from the sale of any related Permitted Warrant Transaction, does not exceed the net proceeds received by the Company from the sale of such Convertible Indebtedness issued in connection with such Permitted Bond Hedge Transaction.</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Existing Indebtedness</w:t>
      </w:r>
      <w:r>
        <w:rPr>
          <w:rFonts w:ascii="Times New Roman" w:cs="Times New Roman" w:eastAsia="Times New Roman" w:hAnsi="Times New Roman"/>
          <w:sz w:val="22"/>
          <w:szCs w:val="22"/>
          <w:color w:val="auto"/>
        </w:rPr>
        <w:t>” means the Indebtedness of the Subsidiaries existing on the Effective Date and, to the extent any such Indebtedness has an individual principal amount in excess of $1,000,000, identified as such on Schedule 6.02.</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Existing Liens</w:t>
      </w:r>
      <w:r>
        <w:rPr>
          <w:rFonts w:ascii="Times New Roman" w:cs="Times New Roman" w:eastAsia="Times New Roman" w:hAnsi="Times New Roman"/>
          <w:sz w:val="22"/>
          <w:szCs w:val="22"/>
          <w:color w:val="auto"/>
        </w:rPr>
        <w:t>” means the Liens on assets of the Company and its Subsidiaries existing on the Effective Date and, to the extent any such Liens securing Indebtedness in an individual principal amount in excess of $1,000,000, identified as such on Schedule 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xml:space="preserve">” means Sofia Schörling Högberg or Märta Schörling Andreen, any member of their respective families and/or any entity directly or indirectly controlled by Sofia Schörling Högberg and/or Märta Schörling Andreen and/or any member of their respective families and/or any trusts or estate planning vehicles established for the benefit of any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“family” shall mean any of Sofia Schörling Högberg’s or Märta Schörling Andreen’s spouse, their mother, their respective children, grandchildren and spouse of any of them.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3" w:lineRule="auto"/>
        <w:tabs>
          <w:tab w:leader="none" w:pos="180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with respect to the payment of taxes, assessments or governmental charges or levies which (i) are not yet due, (ii) are not yet delinquent for a period of more than 60 days, (iii) are being contested in good faith by appropriate proceedings and with respect to which adequate reserves or other appropriate provisions are being maintained in accordance with GAAP or (iv) would not, or for which the failure to pay would reasonably not be expected to, result in a Material Adverse Effect;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8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statutory Liens of landlords and Liens of suppliers, mechanics, carriers, materialmen, warehousemen, service providers or workmen and other similar Liens which (i) are (1) imposed by law, (2) created in the ordinary course of business and (3) for amounts not more than 60 days past due or which thereafter can be paid without penalty or which are being contested in good faith by appropriate proceedings properly instituted and diligently conducted and with respect to which adequate reserves or other appropriate provisions are being maintained in accordance with GAAP or (ii) would not, or for which the failure to pay would reasonably not be expected to, result in a Material Adverse Effect;</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8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with respect to zoning restrictions, easements, encroachments, Environmental Liens, licenses, reservations, covenants, rights-of-way, utility easements, building restrictions and other similar charges, restrictions or encumbrances on the use of real property which do not materially interfere with the ordinary conduct of the business of the Company and its Subsidiaries;</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5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pledges or deposits under worker’s compensation laws, unemployment insurance, old age pensions, or other social security or retirement benefits, or similar legislation;</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or upon any judgment or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under </w:t>
      </w:r>
      <w:r>
        <w:rPr>
          <w:rFonts w:ascii="Times New Roman" w:cs="Times New Roman" w:eastAsia="Times New Roman" w:hAnsi="Times New Roman"/>
          <w:sz w:val="22"/>
          <w:szCs w:val="22"/>
          <w:u w:val="single" w:color="auto"/>
          <w:color w:val="auto"/>
        </w:rPr>
        <w:t>Section 7.01(g)</w:t>
      </w:r>
      <w:r>
        <w:rPr>
          <w:rFonts w:ascii="Times New Roman" w:cs="Times New Roman" w:eastAsia="Times New Roman" w:hAnsi="Times New Roman"/>
          <w:sz w:val="22"/>
          <w:szCs w:val="22"/>
          <w:color w:val="auto"/>
        </w:rPr>
        <w:t xml:space="preserve"> has occurred or is continuing at the time of incurrence thereof;</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deposits and other Liens (i) to secure the performance of bids, trade contracts, leases, statutory obligations, surety bonds, appeal bonds, performance bonds and other obligations of a like nature (including letters of credit issued in favor of the issuer of any such bond) and (ii) in respect of letters of credit, bank guarantees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40" w:name="page41"/>
    <w:bookmarkEnd w:id="40"/>
    <w:p>
      <w:pPr>
        <w:ind w:left="660"/>
        <w:spacing w:after="0" w:line="271" w:lineRule="auto"/>
        <w:rPr>
          <w:sz w:val="20"/>
          <w:szCs w:val="20"/>
          <w:color w:val="auto"/>
        </w:rPr>
      </w:pPr>
      <w:r>
        <w:rPr>
          <w:rFonts w:ascii="Times New Roman" w:cs="Times New Roman" w:eastAsia="Times New Roman" w:hAnsi="Times New Roman"/>
          <w:sz w:val="22"/>
          <w:szCs w:val="22"/>
          <w:color w:val="auto"/>
        </w:rPr>
        <w:t>similar instruments issued for the account of the Company or any Subsidiary supporting obligations of the type set forth in clause (i) hereto;</w:t>
      </w:r>
    </w:p>
    <w:p>
      <w:pPr>
        <w:spacing w:after="0" w:line="158" w:lineRule="exact"/>
        <w:rPr>
          <w:sz w:val="20"/>
          <w:szCs w:val="20"/>
          <w:color w:val="auto"/>
        </w:rPr>
      </w:pPr>
    </w:p>
    <w:p>
      <w:pPr>
        <w:jc w:val="both"/>
        <w:ind w:left="660" w:firstLine="644"/>
        <w:spacing w:after="0" w:line="263" w:lineRule="auto"/>
        <w:tabs>
          <w:tab w:leader="none" w:pos="188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and licenses and sublicenses granted to others in the ordinary course of business not interfering in any material respect with the business of the Company and its Subsidiaries taken as a whole, and any interest or title of a lessor, sublessor, licensor or sublicensor under any lease or license;</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as security for contested taxes or contested import or customs duties;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7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with respect to repurchase obligations in respect of Cash Equivalents of the type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the definition thereof;</w:t>
      </w:r>
    </w:p>
    <w:p>
      <w:pPr>
        <w:spacing w:after="0" w:line="171"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Liens on insurance proceeds securing financed insurance premiums in the ordinary course of</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95"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Uniform Commercial Code filings (or similar filings under applicable Law) in respect of operating leases entered into by the Company and the Subsidiaries;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9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6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Cash Equivalents deposited with a trustee or a similar Person to defease or to satisfy and discharge any Indebtedness;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3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banker’s liens, contractual rights of set-off or similar rights and remedies as to deposit accounts or other funds maintained with depository institutions;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Warrant Transaction</w:t>
      </w:r>
      <w:r>
        <w:rPr>
          <w:rFonts w:ascii="Times New Roman" w:cs="Times New Roman" w:eastAsia="Times New Roman" w:hAnsi="Times New Roman"/>
          <w:sz w:val="22"/>
          <w:szCs w:val="22"/>
          <w:color w:val="auto"/>
        </w:rPr>
        <w:t>” means any call option, warrant or right to purchase (or substantively equivalent derivative transaction) relating to or referencing the Company’s common stock (or other equity or equity-linked securities or property following a merger event, reclassification or other change of such common stock) sold by the Company substantially concurrently with any purchase by the Company of a Permitted Bond Hedge Transaction.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 employee benefit plan defined in Section 3(3) of ERISA, other than a Multiemployer Plan, in respect of which the Company or any member of the Controlled Group is, or within the immediately preceding six years was, an “employer” as defined in Section 3(5)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41" w:name="page42"/>
    <w:bookmarkEnd w:id="4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 5390(c)(8)(D).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Institutions</w:t>
      </w:r>
      <w:r>
        <w:rPr>
          <w:rFonts w:ascii="Times New Roman" w:cs="Times New Roman" w:eastAsia="Times New Roman" w:hAnsi="Times New Roman"/>
          <w:sz w:val="22"/>
          <w:szCs w:val="22"/>
          <w:color w:val="auto"/>
        </w:rPr>
        <w:t>” has the meaning set forth in the definition of the term “</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Jurisdiction</w:t>
      </w:r>
      <w:r>
        <w:rPr>
          <w:rFonts w:ascii="Times New Roman" w:cs="Times New Roman" w:eastAsia="Times New Roman" w:hAnsi="Times New Roman"/>
          <w:sz w:val="22"/>
          <w:szCs w:val="22"/>
          <w:color w:val="auto"/>
        </w:rPr>
        <w:t>” means (a) a member state of the European Union other than Ireland; or (b) not being such a member state, a jurisdiction with which Ireland has entered into an Irish Treaty that has the force of law; or (c) not being a territory referred to in (a) or (b), a jurisdiction with which Ireland has entered into an Irish Treaty which will come into force once the procedures set out in Section 826(1) TCA have been completed.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Quotation Day</w:t>
      </w:r>
      <w:r>
        <w:rPr>
          <w:rFonts w:ascii="Times New Roman" w:cs="Times New Roman" w:eastAsia="Times New Roman" w:hAnsi="Times New Roman"/>
          <w:sz w:val="22"/>
          <w:szCs w:val="22"/>
          <w:color w:val="auto"/>
        </w:rPr>
        <w:t>” means with respect to Euro for any Interest Period, the day two TARGET Days before the first day of such Interest Period unless market practice differs in the European interbank market for the Euro, in which case the Quotation Day for Euro shall be determined by the Administrative Agent in accordance with market practice in the European interbank market (and if quotations would normally be given by leading banks in the European interbank market on more than one day, the Quotation Day shall be the last of those days).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any of the Company’s and its Subsidiaries’ presently existing and hereafter arising or acquired accounts receivable, notes receivable and other rights to payment for goods sold or leased or for services rendered, whether or not they have been earned by performance, and all rights in any merchandise or goods which any of the same may represent, and all rights, title, security, guarantees, indemnities and warranties with respect to each of the foregoing, including, without limitation, any right of stoppage in transit, and any other assets which are customarily transferred, or in respect of which security interests are customarily granted, in connection with securitization transactions involving accounts receivables.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Finance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2.14(k)(ii)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the Administrative Agent, any Lender, any Issuing Bank or any combination thereof (as the context requires).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10.04(b)(iv)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Board of Governors.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directors, officers, partners, members, trustees, employees, agents, administrators, managers, representatives and advisors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42" w:name="page43"/>
    <w:bookmarkEnd w:id="4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injection, deposit, disposal, discharge, dispersal, leaching or migration into the indoor or outdoor environment, including the movement of Contaminants through or in the air, soil, surface water or groundwater.</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means with respect to any Loan or Borrowing denominated in (a) US Dollars, SOFR, (b) Sterling, SONIA, and (c) Euro, EURIBOR, as applicable.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Lenders having Revolving Exposures, unused Commitments and Term Loans representing more than 50% of the sum of the Aggregate Revolving Exposure, the aggregate amount of the unused Commitments and the aggregate outstanding principal amount of all the Term Loans at such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Resulting Revolving Borrowings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Availability Period</w:t>
      </w:r>
      <w:r>
        <w:rPr>
          <w:rFonts w:ascii="Times New Roman" w:cs="Times New Roman" w:eastAsia="Times New Roman" w:hAnsi="Times New Roman"/>
          <w:sz w:val="22"/>
          <w:szCs w:val="22"/>
          <w:color w:val="auto"/>
        </w:rPr>
        <w:t>” means the period from and including the Effective Date to but excluding the earlier of the Revolving Maturity Date and the date of termination of the Revolving Commitments.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Borrowers</w:t>
      </w:r>
      <w:r>
        <w:rPr>
          <w:rFonts w:ascii="Times New Roman" w:cs="Times New Roman" w:eastAsia="Times New Roman" w:hAnsi="Times New Roman"/>
          <w:sz w:val="22"/>
          <w:szCs w:val="22"/>
          <w:color w:val="auto"/>
        </w:rPr>
        <w:t>” means the Company or any Borrowing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any Borrowing comprised of Revolving Loans.</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w:t>
      </w:r>
      <w:r>
        <w:rPr>
          <w:rFonts w:ascii="Times New Roman" w:cs="Times New Roman" w:eastAsia="Times New Roman" w:hAnsi="Times New Roman"/>
          <w:sz w:val="21"/>
          <w:szCs w:val="21"/>
          <w:color w:val="auto"/>
        </w:rPr>
        <w:t xml:space="preserve">” means, with respect to each Revolving Lender, the commitment, if any, of such Revolving Lender to make Revolving Loans and to acquire participations in Letters of Credit and Swingline Loans hereunder, expressed as an amount representing the maximum aggregate permitted amount of such Revolving Lender’s Revolving Exposure hereunder, as such commitment may be (a) reduced from time to time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(b) increased from time to time pursuant to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or (c) reduced or increased from time to time pursuant to assignments by or to such Revolving Lender pursuant to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in the case of a Swingline Lender, its Revolving Commitment or that of its affiliate shall include such Swingline Lender’s Swingline Commitment). The initial amount of each Revolving Lender’s Revolving Commitment is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caption “Revolving Commitments”, or in the Assignment and Assumption or the Incremental Facility Agreement pursuant to which such Revolving Lender shall have assumed or provided its Revolving Commitment, as applicable. The initial aggregate amount of the Revolving Lenders’ Revolving Commitments is US$500,000,000.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43" w:name="page44"/>
    <w:bookmarkEnd w:id="4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Exposure</w:t>
      </w:r>
      <w:r>
        <w:rPr>
          <w:rFonts w:ascii="Times New Roman" w:cs="Times New Roman" w:eastAsia="Times New Roman" w:hAnsi="Times New Roman"/>
          <w:sz w:val="22"/>
          <w:szCs w:val="22"/>
          <w:color w:val="auto"/>
        </w:rPr>
        <w:t>” means, with respect to any Lender at any time, the sum of (a) the sum of the US Dollar Equivalents of the principal amounts of such Lender’s Revolving Loans outstanding at such time, (b) such Lender’s LC Exposure at such time and (c) such Lender’s Swingline Exposure at such time.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the revolving credit facility provided for herein, including the Revolving Commitments, the Revolving Loans and participations in Letters of Credit and Swingline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Lender with a Revolving Commitment or Revolving Exposure.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Maturity Date</w:t>
      </w:r>
      <w:r>
        <w:rPr>
          <w:rFonts w:ascii="Times New Roman" w:cs="Times New Roman" w:eastAsia="Times New Roman" w:hAnsi="Times New Roman"/>
          <w:sz w:val="22"/>
          <w:szCs w:val="22"/>
          <w:color w:val="auto"/>
        </w:rPr>
        <w:t xml:space="preserve">” means the fifth anniversary of the Effective Date, or such later date to which the Revolving Commitments are extended in accordance with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Standard &amp; Poor’s Financial Services LLC business.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means any arrangement providing for the leasing by the Company or any Subsidiary of any real or tangible personal property, which property has been or is to be sold or transferred by the Company or such Subsidiary to a third Person that is not an Affiliate of the Company or its Subsidiaries in contemplation of such leasing.</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that itself is the subject or target of comprehensive economic and trade Sanctions, including, as of the date hereof, the Crimea region, the so-called Donetsk People’s Republic, the so-called Luhansk People’s Republic, and the non-government controlled areas of Kherson and Zaporizhzhia regions of Ukraine, Cuba, Iran and North Korea.</w:t>
      </w:r>
    </w:p>
    <w:p>
      <w:pPr>
        <w:spacing w:after="0" w:line="17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OFAC or the U.S. Department of State or by the United Nations Security Council, the European Union, any European Union member state or the United Kingdom, (b) any Person operating, organized or resident in a Sanctioned Country,</w:t>
      </w:r>
    </w:p>
    <w:p>
      <w:pPr>
        <w:spacing w:after="0" w:line="1" w:lineRule="exact"/>
        <w:rPr>
          <w:sz w:val="20"/>
          <w:szCs w:val="20"/>
          <w:color w:val="auto"/>
        </w:rPr>
      </w:pPr>
    </w:p>
    <w:p>
      <w:pPr>
        <w:ind w:firstLine="8"/>
        <w:spacing w:after="0" w:line="248" w:lineRule="auto"/>
        <w:tabs>
          <w:tab w:leader="none" w:pos="29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owned or controlled by any Person or Persons described in the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any Person that is otherwise the Target of Sanctions.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(b) the United Nations Security Council, the European Union, any European Union member state or the United Kingdom, or (c) any other relevant sanctions authority with jurisdiction over a Loan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Screen Rate</w:t>
      </w:r>
      <w:r>
        <w:rPr>
          <w:rFonts w:ascii="Times New Roman" w:cs="Times New Roman" w:eastAsia="Times New Roman" w:hAnsi="Times New Roman"/>
          <w:sz w:val="22"/>
          <w:szCs w:val="22"/>
          <w:color w:val="auto"/>
        </w:rPr>
        <w:t xml:space="preserve">” means in respect of the EURIBO Rate for any Interest Period, the rate per annum equal to the Euro Interbank Offered Rate, as set forth on the Reuters screen page that displays such rate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Screen Rate, determined as provided above, would be less than zero, such Screen Rate shall for all purposes of this Agreement be zero.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Subsidiary</w:t>
      </w:r>
      <w:r>
        <w:rPr>
          <w:rFonts w:ascii="Times New Roman" w:cs="Times New Roman" w:eastAsia="Times New Roman" w:hAnsi="Times New Roman"/>
          <w:sz w:val="22"/>
          <w:szCs w:val="22"/>
          <w:color w:val="auto"/>
        </w:rPr>
        <w:t xml:space="preserve">” means any Subsidiary that is a special purpose entity formed for the purpose of engaging in activities in connection with Securitization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Subsidiary (a) does not own any significant assets other than Receivables, Equity Interests in any other Securitization Subsidiary and assets relating to its existence and (b) conducts no business activities other than (i) in connection with Securitization Transactions and activities incidental thereto and (ii) activities incidental to the maintenance of its existence and compliance with applicable laws and legal, tax and accounting matters related thereto.</w:t>
      </w:r>
    </w:p>
    <w:p>
      <w:pPr>
        <w:spacing w:after="0" w:line="18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Securitization Transaction</w:t>
      </w:r>
      <w:r>
        <w:rPr>
          <w:rFonts w:ascii="Times New Roman" w:cs="Times New Roman" w:eastAsia="Times New Roman" w:hAnsi="Times New Roman"/>
          <w:sz w:val="21"/>
          <w:szCs w:val="21"/>
          <w:color w:val="auto"/>
        </w:rPr>
        <w:t>” means any transfer by the Company or any Subsidiary of Receivables or interests therein to a trust, partnership, corporation, limited liability company or other entity, which transfer is funded in whole or in part, directly or indirectly, by the incurrence or issuance by the transferee or a successor transferee of Indebtedness or other securities that are to receive payments from, or that represent interests in, the cash flow derived from such Receivables or interests therein. The “amount” or “principal amount” of any Securitization Transaction shall be deemed at any time to be the aggregate principal or stated amount of the Indebtedness or other securities referred to in the first sentence of this definition or, if there shall be no such principal or stated amount, the uncollected amount of the Receivables or interests therein transferred pursuant to such Securitization Transaction, net of any Receivables or interests therein that have been written off as uncollectible.</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Single Employer Plan</w:t>
      </w:r>
      <w:r>
        <w:rPr>
          <w:rFonts w:ascii="Times New Roman" w:cs="Times New Roman" w:eastAsia="Times New Roman" w:hAnsi="Times New Roman"/>
          <w:sz w:val="22"/>
          <w:szCs w:val="22"/>
          <w:color w:val="auto"/>
        </w:rPr>
        <w:t>” means a “single-employer plan” as defined in Section 4001(a)(15) of ERISA which is a Benefit Plan maintained by the Company or any member of the Controlled Group for employees of the Company or any member of the Controlled Group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as the administrator of SOFR, or any successor administrator of SOFR designated by the Federal Reserve Bank of New York or other Person acting as the SOFR Administrator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45" w:name="page46"/>
    <w:bookmarkEnd w:id="4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such determination date is not a Business Day, SONIA means such rate that applied on the first Business Day immediately prior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SONIA determined in accordance with the foregoing provision of this definition would otherwise be less than zero, SONIA shall be deemed zero for purposes of this Agreement. Any change in SONIA shall be effective from and including the date of such change without further notice.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Loan</w:t>
      </w:r>
      <w:r>
        <w:rPr>
          <w:rFonts w:ascii="Times New Roman" w:cs="Times New Roman" w:eastAsia="Times New Roman" w:hAnsi="Times New Roman"/>
          <w:sz w:val="22"/>
          <w:szCs w:val="22"/>
          <w:color w:val="auto"/>
        </w:rPr>
        <w:t>” means any Loan that bears interest at a rate based on the definition of SONIA.</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Time</w:t>
      </w:r>
      <w:r>
        <w:rPr>
          <w:rFonts w:ascii="Times New Roman" w:cs="Times New Roman" w:eastAsia="Times New Roman" w:hAnsi="Times New Roman"/>
          <w:sz w:val="22"/>
          <w:szCs w:val="22"/>
          <w:color w:val="auto"/>
        </w:rPr>
        <w:t>” means (a) with respect to the Term SOFR, 11:00 a.m., New York time, and (b) with respect to the EURIBO Rate, 11:00 a.m., Frankfurt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 Form 10</w:t>
      </w:r>
      <w:r>
        <w:rPr>
          <w:rFonts w:ascii="Times New Roman" w:cs="Times New Roman" w:eastAsia="Times New Roman" w:hAnsi="Times New Roman"/>
          <w:sz w:val="22"/>
          <w:szCs w:val="22"/>
          <w:color w:val="auto"/>
        </w:rPr>
        <w:t>” means the Form 10 filed by the Company with the SEC pursuant to the Exchange Act (including the information statement and the other exhibits filed therewith) relating to the Spin-Off , as it may be amended or supplemented from time to time after the original filing thereof and prior to the Spin-Off.</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Spin-Off</w:t>
      </w:r>
      <w:r>
        <w:rPr>
          <w:rFonts w:ascii="Times New Roman" w:cs="Times New Roman" w:eastAsia="Times New Roman" w:hAnsi="Times New Roman"/>
          <w:sz w:val="22"/>
          <w:szCs w:val="22"/>
          <w:color w:val="auto"/>
        </w:rPr>
        <w:t>” means the distribution of the Company’s ordinary shares on a pro rata basis to the holders of the Parent’s shares as of the applicable record date, consummated in accordance with the Distribution Agreement, as described in the Spin Form 10.</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Spin-Off Effective Date</w:t>
      </w:r>
      <w:r>
        <w:rPr>
          <w:rFonts w:ascii="Times New Roman" w:cs="Times New Roman" w:eastAsia="Times New Roman" w:hAnsi="Times New Roman"/>
          <w:sz w:val="22"/>
          <w:szCs w:val="22"/>
          <w:color w:val="auto"/>
        </w:rPr>
        <w:t xml:space="preserve">” means the date on which the Distribution Date (as defined in the Spin Form 10) occurs with respect to the </w:t>
      </w:r>
      <w:r>
        <w:rPr>
          <w:rFonts w:ascii="Times New Roman" w:cs="Times New Roman" w:eastAsia="Times New Roman" w:hAnsi="Times New Roman"/>
          <w:sz w:val="22"/>
          <w:szCs w:val="22"/>
          <w:u w:val="single" w:color="auto"/>
          <w:color w:val="auto"/>
        </w:rPr>
        <w:t>Spin-Off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Kingdom.</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any corporation more than 50% of the outstanding securities having ordinary voting power of which shall at the time be owned or controlled, directly or indirectly, by such Person or by one or more of its subsidiaries or by such Person and one or more of its subsidiaries, or (b) any partnership, association, limited liability company or other Person more than 50% of the ownership interests having ordinary voting power of which shall at the time be owned or controlled, directly or indirectly, by such Person or by one or more of its subsidiaries or by such Person and one or more of its subsidiaries or (c) in respect of an Irish Loan Party, a “subsidiary” within the meaning of Section 7 of the Irish Companies Act.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2.14(k)(ii)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2.14(k)(ii)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Borrowers</w:t>
      </w:r>
      <w:r>
        <w:rPr>
          <w:rFonts w:ascii="Times New Roman" w:cs="Times New Roman" w:eastAsia="Times New Roman" w:hAnsi="Times New Roman"/>
          <w:sz w:val="22"/>
          <w:szCs w:val="22"/>
          <w:color w:val="auto"/>
        </w:rPr>
        <w:t>” means, collectively, Intergraph Corporation and Octave Intelligence Finance Ltd and each, a “</w:t>
      </w:r>
      <w:r>
        <w:rPr>
          <w:rFonts w:ascii="Times New Roman" w:cs="Times New Roman" w:eastAsia="Times New Roman" w:hAnsi="Times New Roman"/>
          <w:sz w:val="22"/>
          <w:szCs w:val="22"/>
          <w:u w:val="single" w:color="auto"/>
          <w:color w:val="auto"/>
        </w:rPr>
        <w:t>Swingline Borrower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Borrowing Request</w:t>
      </w:r>
      <w:r>
        <w:rPr>
          <w:rFonts w:ascii="Times New Roman" w:cs="Times New Roman" w:eastAsia="Times New Roman" w:hAnsi="Times New Roman"/>
          <w:sz w:val="22"/>
          <w:szCs w:val="22"/>
          <w:color w:val="auto"/>
        </w:rPr>
        <w:t xml:space="preserve">” means a request by or on behalf of a Swingline Borrower for a Swingline Loan in accordance with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which shall be in the form of Exhibit H or any other form approved by the Swingline Lender, the Administrative Agent and the Company.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xml:space="preserve">” means, at any time, the aggregate principal amount of all Swingline Loans outstanding at such time. The Swingline Exposure of any Revolving Lender at any time shall be its Applicable Percentage of the total Swingline Exposure at such time, adjusted to give effect to any reallocation under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 xml:space="preserve"> of the Swingline Exposures of Defaulting Lenders in effect at such time.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Commitment</w:t>
      </w:r>
      <w:r>
        <w:rPr>
          <w:rFonts w:ascii="Times New Roman" w:cs="Times New Roman" w:eastAsia="Times New Roman" w:hAnsi="Times New Roman"/>
          <w:sz w:val="22"/>
          <w:szCs w:val="22"/>
          <w:color w:val="auto"/>
        </w:rPr>
        <w:t xml:space="preserve">” means as to any Lender (a)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Bank of America (through itself or through one of its designated Affiliates or branch offices) or any successor swingline lender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by a Swingline Lender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Sublimit</w:t>
      </w:r>
      <w:r>
        <w:rPr>
          <w:rFonts w:ascii="Times New Roman" w:cs="Times New Roman" w:eastAsia="Times New Roman" w:hAnsi="Times New Roman"/>
          <w:sz w:val="22"/>
          <w:szCs w:val="22"/>
          <w:color w:val="auto"/>
        </w:rPr>
        <w:t>” means an amount equal to the lesser of (a) US$50,000,000 and (b) the Aggregate Revolving Commitments of the Swingline Lender. The Swingline Sublimit is part of, and not in addition to, the Aggregate Revolving Commitments.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Agents</w:t>
      </w:r>
      <w:r>
        <w:rPr>
          <w:rFonts w:ascii="Times New Roman" w:cs="Times New Roman" w:eastAsia="Times New Roman" w:hAnsi="Times New Roman"/>
          <w:sz w:val="22"/>
          <w:szCs w:val="22"/>
          <w:color w:val="auto"/>
        </w:rPr>
        <w:t>” means, collectively, BNP Paribas Securities Corp., Deutsche Bank Luxembourg S.A., Nordea Bank Abp, filial i Sverige and Skandinaviska Enskilda Banken AB.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 means the real time gross settlement system operated by the Eurosystem, or any successor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T2 is open for the settlement of payments in Euros.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and penalties applicable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TCA</w:t>
      </w:r>
      <w:r>
        <w:rPr>
          <w:rFonts w:ascii="Times New Roman" w:cs="Times New Roman" w:eastAsia="Times New Roman" w:hAnsi="Times New Roman"/>
          <w:sz w:val="22"/>
          <w:szCs w:val="22"/>
          <w:color w:val="auto"/>
        </w:rPr>
        <w:t>” means the Taxes Consolidation Act 1997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47" w:name="page48"/>
    <w:bookmarkEnd w:id="4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w:t>
      </w:r>
      <w:r>
        <w:rPr>
          <w:rFonts w:ascii="Times New Roman" w:cs="Times New Roman" w:eastAsia="Times New Roman" w:hAnsi="Times New Roman"/>
          <w:sz w:val="22"/>
          <w:szCs w:val="22"/>
          <w:color w:val="auto"/>
        </w:rPr>
        <w:t xml:space="preserve">” means a Dollar Tranche Term Commitment, a Euro Tranche Term Commitment or a Term Commitment of any other Class established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Facilities</w:t>
      </w:r>
      <w:r>
        <w:rPr>
          <w:rFonts w:ascii="Times New Roman" w:cs="Times New Roman" w:eastAsia="Times New Roman" w:hAnsi="Times New Roman"/>
          <w:sz w:val="22"/>
          <w:szCs w:val="22"/>
          <w:color w:val="auto"/>
        </w:rPr>
        <w:t>” means, collectively, the Dollar Tranche Term Facility and the Euro Tranche Term Facility (each, a “</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 Lender with a Term Commitment or an outstanding Term Loan.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Availability Period</w:t>
      </w:r>
      <w:r>
        <w:rPr>
          <w:rFonts w:ascii="Times New Roman" w:cs="Times New Roman" w:eastAsia="Times New Roman" w:hAnsi="Times New Roman"/>
          <w:sz w:val="22"/>
          <w:szCs w:val="22"/>
          <w:color w:val="auto"/>
        </w:rPr>
        <w:t xml:space="preserve">” means the period from and including the Effective Date to and including the date of termination of the Term Commitments in full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(after giving effect to any borrowings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in no event shall the Term Loan Availability Period extend beyond the Early Termination Date (if the Early Termination Date occurs).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Borrowers</w:t>
      </w:r>
      <w:r>
        <w:rPr>
          <w:rFonts w:ascii="Times New Roman" w:cs="Times New Roman" w:eastAsia="Times New Roman" w:hAnsi="Times New Roman"/>
          <w:sz w:val="22"/>
          <w:szCs w:val="22"/>
          <w:color w:val="auto"/>
        </w:rPr>
        <w:t>” means (a) with respect to the Dollar Tranche Term Loans, Intergraph Corporation, a Delaware corporation (the “</w:t>
      </w:r>
      <w:r>
        <w:rPr>
          <w:rFonts w:ascii="Times New Roman" w:cs="Times New Roman" w:eastAsia="Times New Roman" w:hAnsi="Times New Roman"/>
          <w:sz w:val="22"/>
          <w:szCs w:val="22"/>
          <w:u w:val="single" w:color="auto"/>
          <w:color w:val="auto"/>
        </w:rPr>
        <w:t>USD Term Borrower</w:t>
      </w:r>
      <w:r>
        <w:rPr>
          <w:rFonts w:ascii="Times New Roman" w:cs="Times New Roman" w:eastAsia="Times New Roman" w:hAnsi="Times New Roman"/>
          <w:sz w:val="22"/>
          <w:szCs w:val="22"/>
          <w:color w:val="auto"/>
        </w:rPr>
        <w:t>”) and (b) with respect to the Euro Tranche Term Loans, Octave Intelligence Finance Ltd, a private limited company incorporated under the laws of England and Wales (the “</w:t>
      </w:r>
      <w:r>
        <w:rPr>
          <w:rFonts w:ascii="Times New Roman" w:cs="Times New Roman" w:eastAsia="Times New Roman" w:hAnsi="Times New Roman"/>
          <w:sz w:val="22"/>
          <w:szCs w:val="22"/>
          <w:u w:val="single" w:color="auto"/>
          <w:color w:val="auto"/>
        </w:rPr>
        <w:t>EUR Term Borrower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means (a) with respect to the Dollar Tranche Term Loans, the date that is four years after the Closing Date and (b) with respect to the Euro Tranche Term Loan, the date that is four years after the Closing Date.</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means: (a)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rate is not published prior to 11:00 a.m. on such determination date then Term SOFR means the Term SOFR Screen Rate on the first U.S. Government Securities Business Day immediately prior thereto; and (b) for any interest calculation with respect to an ABR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rate is not published prior to 11:00 a.m. on such determination date then Term SOFR means the Term SOFR Screen Rate on the first U.S. Government Securities Business Day immediately prior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if the Term SOFR determined in accordance with either of the foregoing provisions (a) or (b) of this definition would otherwise be less than zero, the Term SOFR shall be deemed zero for purposes of this Agreement.</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based on clause (a) of the definition of Term SOFR.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Scheduled Unavailability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Screen Rate</w:t>
      </w:r>
      <w:r>
        <w:rPr>
          <w:rFonts w:ascii="Times New Roman" w:cs="Times New Roman" w:eastAsia="Times New Roman" w:hAnsi="Times New Roman"/>
          <w:sz w:val="21"/>
          <w:szCs w:val="21"/>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Successor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Event</w:t>
      </w:r>
      <w:r>
        <w:rPr>
          <w:rFonts w:ascii="Times New Roman" w:cs="Times New Roman" w:eastAsia="Times New Roman" w:hAnsi="Times New Roman"/>
          <w:sz w:val="21"/>
          <w:szCs w:val="21"/>
          <w:color w:val="auto"/>
        </w:rPr>
        <w:t>” means (a) a Reportable Event with respect to a Benefit Plan, (b) the withdrawal of the Company or any member of the Controlled Group from a Benefit Plan during a plan year in which the Company or such Controlled Group member was a “substantial employer” as defined in Section 4001(a)(2) of ERISA or the cessation of operations which results in the termination of employment of 20% of Benefit Plan participants who are employees of the Company or any member of the Controlled Group, (c) the imposition of an obligation on the Company or any member of the Controlled Group under Section 4041 of ERISA to provide affected parties written notice of intent to terminate a Benefit Plan in a distress termination described in Section 4041(c) of ERISA, (d) the institution by the PBGC or any similar foreign governmental authority of proceedings to terminate a Benefit Plan, (e) any event or condition which constitutes grounds under Section 4042 of ERISA which are reasonably likely to lead to the termination of, or the appointment of a trustee to administer, any Benefit Plan, or (f) the partial or complete withdrawal of the Company or any member of the Controlled Group from a Multiemployer Plan.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Ticking Fee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Indebtedness</w:t>
      </w:r>
      <w:r>
        <w:rPr>
          <w:rFonts w:ascii="Times New Roman" w:cs="Times New Roman" w:eastAsia="Times New Roman" w:hAnsi="Times New Roman"/>
          <w:sz w:val="22"/>
          <w:szCs w:val="22"/>
          <w:color w:val="auto"/>
        </w:rPr>
        <w:t xml:space="preserve">” means, without duplication, on a consolidated basis in accordance with GAAP, (a) the principal amount of all Indebtedness of the Company or any Subsidiary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(excluding contingent reimbursement obligations in respect of undrawn letters of credit) of the definition of such term and (b) the principal amount of all Indebtedness of any Person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(excluding contingent reimbursement obligations in respect of undrawn letters of credit) of the definition of such term in respect of which the Company or any Subsidiary has a contingent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Total Indebtedness, at any time after the definitive agreement for any Material Acquisition shall have been executed, any Acquisition Indebtedness with respect to such Material Acquisition shall, unless such Material Acquisition shall have been consummated, be disregarded.</w:t>
      </w:r>
    </w:p>
    <w:p>
      <w:pPr>
        <w:spacing w:after="0" w:line="19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w:t>
      </w:r>
      <w:r>
        <w:rPr>
          <w:rFonts w:ascii="Times New Roman" w:cs="Times New Roman" w:eastAsia="Times New Roman" w:hAnsi="Times New Roman"/>
          <w:sz w:val="21"/>
          <w:szCs w:val="21"/>
          <w:color w:val="auto"/>
        </w:rPr>
        <w:t>” (a) when used with reference to Loans, refers to whether such Loans are Dollar Tranche Term Loans or Euro Tranche Term Loans, (b) when used with reference to Lenders, refers to whether such Lenders are Dollar Tranche Term Lenders or Euro Tranche Term Lenders, (c) when used with reference to Commitments, refers to whether such Commitments are Dollar Tranche Term Commitments or Euro Tranche Term Commitments and (d) when used with reference to Term Facilities, refers to whether such Term Facilities are the Dollar Tranche Term Loan Facility or the Euro Tranche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(a) the execution, delivery and performance by the Loan Parties of the Loan Documents, the borrowing of Loans and the issuance of Letters of Credit, (b) the payment of fees and expenses in connection with the foregoing and (c) the completion of the Spin-Off.</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SONIA, the EURIBO Rate or the Alternate Base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Borrower</w:t>
      </w:r>
      <w:r>
        <w:rPr>
          <w:rFonts w:ascii="Times New Roman" w:cs="Times New Roman" w:eastAsia="Times New Roman" w:hAnsi="Times New Roman"/>
          <w:sz w:val="22"/>
          <w:szCs w:val="22"/>
          <w:color w:val="auto"/>
        </w:rPr>
        <w:t>” means each Borrower incorporated under the laws of England and Wales.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Non-Bank Lender</w:t>
      </w:r>
      <w:r>
        <w:rPr>
          <w:rFonts w:ascii="Times New Roman" w:cs="Times New Roman" w:eastAsia="Times New Roman" w:hAnsi="Times New Roman"/>
          <w:sz w:val="22"/>
          <w:szCs w:val="22"/>
          <w:color w:val="auto"/>
        </w:rPr>
        <w:t>” means, with respect to an advance to a UK Borrower, a Lender that is beneficially entitled to interest payable to that Lender under a Loan Document and is: (a) a company resident in the UK for UK tax purposes; (b) a partnership each member of which is (A) a company resident in the UK for UK tax purposes, or (B) a company not resident in the UK for UK tax purposes which carries on a trade in the UK through a permanent establishment and which brings into account in computing its chargeable profits (within the meaning of section 19 of the CTA) the whole of any share of interest payable in respect of a Loan Document that falls to it by reason of Part 17 of the CTA; or (c) a company not resident in the UK for UK tax purposes which carries on a trade in the UK through a permanent establishment and which brings into account in computing its chargeable profits (within the meaning of section 19 of the CTA) the whole of any interest payable to it in respect of a Loan Document.</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Qualifying Lender</w:t>
      </w:r>
      <w:r>
        <w:rPr>
          <w:rFonts w:ascii="Times New Roman" w:cs="Times New Roman" w:eastAsia="Times New Roman" w:hAnsi="Times New Roman"/>
          <w:sz w:val="22"/>
          <w:szCs w:val="22"/>
          <w:color w:val="auto"/>
        </w:rPr>
        <w:t>” means, with respect to an advance to a UK Borrower: (a) a Lender which is beneficially entitled to interest payable to that Lender under a Loan Document and is: (A) a Lender: (i) 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 (ii) in respect of an advance made under a Loan Document by a person that was a bank (as defined for the purpose of section 879 of the ITA) at the time that that advance was made and within the charge to United Kingdom corporation tax as respects any payments of interest made in respect of that advance; or (B) a Lender which is: (i) a company resident in the United Kingdom for United Kingdom tax purposes; (ii)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22"/>
          <w:szCs w:val="22"/>
          <w:color w:val="auto"/>
        </w:rPr>
        <w:t>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 (C) a UK Treaty Lender; or (b) a Lender which is a building society (as defined for the purposes of section 880 of the ITA) making an advance under a Loan Document.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Tax Confirmation</w:t>
      </w:r>
      <w:r>
        <w:rPr>
          <w:rFonts w:ascii="Times New Roman" w:cs="Times New Roman" w:eastAsia="Times New Roman" w:hAnsi="Times New Roman"/>
          <w:sz w:val="22"/>
          <w:szCs w:val="22"/>
          <w:color w:val="auto"/>
        </w:rPr>
        <w:t>” means a confirmation by a Lender that it is beneficially entitled to interest payable to that Lender in respect of a Loan Document and is either (a) a company resident in the United Kingdom for United Kingdom tax purposes; (b) a partnership each member of which is: (A) a company so resident in the United Kingdom;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“UK Treaty” has the meaning specified in the definition of “UK Treaty State”.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Lender</w:t>
      </w:r>
      <w:r>
        <w:rPr>
          <w:rFonts w:ascii="Times New Roman" w:cs="Times New Roman" w:eastAsia="Times New Roman" w:hAnsi="Times New Roman"/>
          <w:sz w:val="22"/>
          <w:szCs w:val="22"/>
          <w:color w:val="auto"/>
        </w:rPr>
        <w:t xml:space="preserve">” means, with respect to an advance to a UK Borrower, a Lender which: (a) is treated as a resident of a UK Treaty State for the purposes of a UK Treaty; (b) does not carry on a business in the United Kingdom through a permanent establishment with which that Lender's participation in the Loan is effectively connected; and (c) fulfils any conditions which must be fulfilled under the relevant UK Treaty and under domestic law for residents of such UK Treaty State to obtain full exemption from Tax imposed by the United Kingdom on interest, including the completion of procedural formalities (provided that where a Lender has confirmed its HMRC DTTP Scheme reference number and jurisdiction of tax residence in accordance with </w:t>
      </w:r>
      <w:r>
        <w:rPr>
          <w:rFonts w:ascii="Times New Roman" w:cs="Times New Roman" w:eastAsia="Times New Roman" w:hAnsi="Times New Roman"/>
          <w:sz w:val="22"/>
          <w:szCs w:val="22"/>
          <w:u w:val="single" w:color="auto"/>
          <w:color w:val="auto"/>
        </w:rPr>
        <w:t>Section 2.14(g)</w:t>
      </w:r>
      <w:r>
        <w:rPr>
          <w:rFonts w:ascii="Times New Roman" w:cs="Times New Roman" w:eastAsia="Times New Roman" w:hAnsi="Times New Roman"/>
          <w:sz w:val="22"/>
          <w:szCs w:val="22"/>
          <w:color w:val="auto"/>
        </w:rPr>
        <w:t xml:space="preserve"> at least 30 days prior to the next Interest Payment Date, such procedural formalities shall be deemed to be completed), provided that references to “UK Treaty Lender” in the definitions of “Borrower DTTP Filing” and “Excluded UK Taxes”, </w:t>
      </w:r>
      <w:r>
        <w:rPr>
          <w:rFonts w:ascii="Times New Roman" w:cs="Times New Roman" w:eastAsia="Times New Roman" w:hAnsi="Times New Roman"/>
          <w:sz w:val="22"/>
          <w:szCs w:val="22"/>
          <w:u w:val="single" w:color="auto"/>
          <w:color w:val="auto"/>
        </w:rPr>
        <w:t>Section 2.14(g)</w:t>
      </w:r>
      <w:r>
        <w:rPr>
          <w:rFonts w:ascii="Times New Roman" w:cs="Times New Roman" w:eastAsia="Times New Roman" w:hAnsi="Times New Roman"/>
          <w:sz w:val="22"/>
          <w:szCs w:val="22"/>
          <w:color w:val="auto"/>
        </w:rPr>
        <w:t xml:space="preserve"> and the Form of Assignment and Assumption shall include a Lender that would be a UK Treaty Lender had that Lender completed all necessary procedural formalities.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State</w:t>
      </w:r>
      <w:r>
        <w:rPr>
          <w:rFonts w:ascii="Times New Roman" w:cs="Times New Roman" w:eastAsia="Times New Roman" w:hAnsi="Times New Roman"/>
          <w:sz w:val="22"/>
          <w:szCs w:val="22"/>
          <w:color w:val="auto"/>
        </w:rPr>
        <w:t>” means a jurisdiction having a double taxation agreement (a “UK Treaty”) with the United Kingdom which has entered into force and which makes provision for full exemption from Tax imposed by the United Kingdom on interest.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Liabilities</w:t>
      </w:r>
      <w:r>
        <w:rPr>
          <w:rFonts w:ascii="Times New Roman" w:cs="Times New Roman" w:eastAsia="Times New Roman" w:hAnsi="Times New Roman"/>
          <w:sz w:val="22"/>
          <w:szCs w:val="22"/>
          <w:color w:val="auto"/>
        </w:rPr>
        <w:t>” means (a) in the case of Single Employer Plans, the amount (if any) by which the aggregate accumulated benefit obligations exceeds the aggregate fair market value of assets of all Single Employer Plans as of the most recent measurement date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22"/>
          <w:szCs w:val="22"/>
          <w:color w:val="auto"/>
        </w:rPr>
        <w:t>actuarial valuations have been completed and certified to the Company, all as determined under Accounting Standards Codification Topic 715, using the methods and assumptions used by the Company for financial accounting purposes and (b) in the case of Multiemployer Plans, the Withdrawal Liability that would be incurred by the Controlled Group if all members of the Controlled Group completely withdrew from all Multiemployer Plans.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xml:space="preserve">” means, as of any date of determination, cash and Cash Equivalents owned on such date by the Company and its Subsidiaries, as reflected on a consolidated balance sheet of the Company prepared as of such date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cash and Cash Equivalents do not appear (and in accordance with GAAP would not be required to appear) as “restricted” on such consolidated balance sheet and (b) for so long as any Acquisition Indebtedness is disregarded for purposes of determining Total Indebtedness in accordance with the definition of such term, all proceeds of such Acquisition Indebtedness shall be disregarded for purposes of determining Unrestricted Cash.</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USD Term Borrower</w:t>
      </w:r>
      <w:r>
        <w:rPr>
          <w:rFonts w:ascii="Times New Roman" w:cs="Times New Roman" w:eastAsia="Times New Roman" w:hAnsi="Times New Roman"/>
          <w:sz w:val="22"/>
          <w:szCs w:val="22"/>
          <w:color w:val="auto"/>
        </w:rPr>
        <w:t>” has the meaning assigned to such term in the definition of “Term Loan Borrowers”.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 Equivalent</w:t>
      </w:r>
      <w:r>
        <w:rPr>
          <w:rFonts w:ascii="Times New Roman" w:cs="Times New Roman" w:eastAsia="Times New Roman" w:hAnsi="Times New Roman"/>
          <w:sz w:val="22"/>
          <w:szCs w:val="22"/>
          <w:color w:val="auto"/>
        </w:rPr>
        <w:t xml:space="preserve">” means, on any date of determination, (a) with respect to any amount in US Dollars, such amount, and (b) with respect to any amount in any Alternative Currency , the equivalent in US Dollars of such amount, determined by the Administrative Agent using the Exchange Rate, with respect to such Alternative Currency in effect for such amount on such date. The US Dollar Equivalent at any time of the amount of any Letter of Credit or Revolving Loan denominated in any currency other than US Dollars shall be the amount most recently determined as provided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refers to lawful money of the United States of America.</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2.14(f)(ii)(B)(3)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means (a) any tax imposed in any member state of the European Union pursuant to EC Council Directive 2006/112 on the common system of value added tax and national legislation implementing that Directive, including VATCA, or any predecessor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22"/>
          <w:szCs w:val="22"/>
          <w:color w:val="auto"/>
        </w:rPr>
        <w:t>supplemental to that Directive and (b) any other goods, sales, use or turnover tax of a similar nature, whether imposed in a member state of the European Union in or, or levied in addition to, such tax referred to in the immediately preceding clause (a) or imposed elsewhere, including any tax imposed pursuant to the VATA.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VATA</w:t>
      </w:r>
      <w:r>
        <w:rPr>
          <w:rFonts w:ascii="Times New Roman" w:cs="Times New Roman" w:eastAsia="Times New Roman" w:hAnsi="Times New Roman"/>
          <w:sz w:val="22"/>
          <w:szCs w:val="22"/>
          <w:color w:val="auto"/>
        </w:rPr>
        <w:t>” means the United Kingdom Value Added Tax Act 1994.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VATCA</w:t>
      </w:r>
      <w:r>
        <w:rPr>
          <w:rFonts w:ascii="Times New Roman" w:cs="Times New Roman" w:eastAsia="Times New Roman" w:hAnsi="Times New Roman"/>
          <w:sz w:val="22"/>
          <w:szCs w:val="22"/>
          <w:color w:val="auto"/>
        </w:rPr>
        <w:t>” means Value-Added Tax Consolidation Act 2010 of Ireland.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w:t>
      </w:r>
      <w:r>
        <w:rPr>
          <w:rFonts w:ascii="Times New Roman" w:cs="Times New Roman" w:eastAsia="Times New Roman" w:hAnsi="Times New Roman"/>
          <w:sz w:val="22"/>
          <w:szCs w:val="22"/>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 is defined in Part I of Subtitle E of Title IV of ERISA.</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and Borrowings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Term SOFR Borrowing</w:t>
      </w:r>
      <w:r>
        <w:rPr>
          <w:rFonts w:ascii="Times New Roman" w:cs="Times New Roman" w:eastAsia="Times New Roman" w:hAnsi="Times New Roman"/>
          <w:sz w:val="22"/>
          <w:szCs w:val="22"/>
          <w:color w:val="auto"/>
        </w:rPr>
        <w:t>”)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SOFR Revolving Loan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Term SOFR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The word “law” shall be construed as referring to all statutes, rules, regulations, codes and other laws (including official rulings and interpretations thereunder having the force of law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47" w:lineRule="auto"/>
        <w:rPr>
          <w:sz w:val="20"/>
          <w:szCs w:val="20"/>
          <w:color w:val="auto"/>
        </w:rPr>
      </w:pPr>
      <w:r>
        <w:rPr>
          <w:rFonts w:ascii="Times New Roman" w:cs="Times New Roman" w:eastAsia="Times New Roman" w:hAnsi="Times New Roman"/>
          <w:sz w:val="22"/>
          <w:szCs w:val="22"/>
          <w:color w:val="auto"/>
        </w:rPr>
        <w:t>which affected Persons customarily comply), and all judgments, orders, writs and decrees, of all Governmental Authorities. Except as otherwise provided herein and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and all references to any statute shall be construed as referring to all rules, regulations, rulings and official interpretations promulgated or issued thereunder,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Accounting Terms; GAAP; Pro Forma Calculations</w:t>
      </w:r>
      <w:r>
        <w:rPr>
          <w:rFonts w:ascii="Times New Roman" w:cs="Times New Roman" w:eastAsia="Times New Roman" w:hAnsi="Times New Roman"/>
          <w:sz w:val="21"/>
          <w:szCs w:val="21"/>
          <w:color w:val="auto"/>
        </w:rPr>
        <w:t xml:space="preserve">. (a) Except as otherwise expressly provided herein, all terms of an accounting or financial nature used herein shall be construed in accordance with GAAP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the Company, by notice to the Administrative Agent, shall request an amendment to any provision hereof to eliminate the effect of any change occurring after the date hereof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notwithstanding any other provision contained herein, other than for purposes of </w:t>
      </w:r>
      <w:r>
        <w:rPr>
          <w:rFonts w:ascii="Times New Roman" w:cs="Times New Roman" w:eastAsia="Times New Roman" w:hAnsi="Times New Roman"/>
          <w:sz w:val="21"/>
          <w:szCs w:val="21"/>
          <w:u w:val="single" w:color="auto"/>
          <w:color w:val="auto"/>
        </w:rPr>
        <w:t>Sections 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 all terms of an accounting or financial nature used herein shall be construed, and all computations of amounts and ratios referred to herein shall be made, (i) without giving effect to (x) any election under Financial Accounting Standards Board Accounting Standards Codification 825 (or any other Accounting Standards Codification having a similar result or effect) (and related interpretations) to value any Indebtedness at “fair value”, as defined therein, or (y) any other accounting principle that results in any Indebtedness being reflected on a balance sheet at an amount less than the stated principal amount thereof,</w:t>
      </w:r>
    </w:p>
    <w:p>
      <w:pPr>
        <w:spacing w:after="0" w:line="7" w:lineRule="exact"/>
        <w:rPr>
          <w:sz w:val="20"/>
          <w:szCs w:val="20"/>
          <w:color w:val="auto"/>
        </w:rPr>
      </w:pPr>
    </w:p>
    <w:p>
      <w:pPr>
        <w:jc w:val="both"/>
        <w:ind w:firstLine="8"/>
        <w:spacing w:after="0" w:line="246" w:lineRule="auto"/>
        <w:tabs>
          <w:tab w:leader="none" w:pos="32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giving effect to any treatment of Indebtedness in respect of convertible debt instruments under Accounting Standards Codification 470-20 (or any other Accounting Standards Codification having a similar result or effect) (and related interpretations) to value any such Indebtedness in a reduced or bifurcated manner as described therein, and such Indebtedness shall at all times be valued at the full stated principal amount thereof, and (iii) without giving effect to any change in accounting for leases resulting from the implementation of Financial Accounting Standards Board ASU No. 2016-02, Leases (Topic 842), to the extent any lease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similar arrangement conveying the right to use) would be required to be treated as a capital or finance lease where such lease (or similar arrangement) would not have been required to be so treated under GAAP as in effect on December 31, 2016.</w:t>
      </w:r>
    </w:p>
    <w:p>
      <w:pPr>
        <w:spacing w:after="0" w:line="158" w:lineRule="exact"/>
        <w:rPr>
          <w:sz w:val="20"/>
          <w:szCs w:val="20"/>
          <w:color w:val="auto"/>
        </w:rPr>
      </w:pPr>
    </w:p>
    <w:p>
      <w:pPr>
        <w:jc w:val="both"/>
        <w:ind w:firstLine="656"/>
        <w:spacing w:after="0" w:line="248" w:lineRule="auto"/>
        <w:tabs>
          <w:tab w:leader="none" w:pos="114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 forma computations required to be made hereunder giving effect to any Acquisition or Disposition, in each case, in excess of US$5,000,000 shall be calculated after giving pro forma effect thereto (and, in the case of any pro forma computations made hereunder to determine whether such Acquisition or Disposition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(or, prior to the delivery of any such financial statements, ending with the last fiscal quarter included in the financial statements referred to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and, to the extent applicable, to the historical earnings and cash flows associated with the assets acquired or disposed of and any related incurrence or reduction of Indebtedness, all in accordance with Article 11 of Regulation S-X under the Securities Act, to the extent relevant.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 if such Hedging Agreement has a remaining term in excess of 12 months).</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Currency Translation</w:t>
      </w:r>
      <w:r>
        <w:rPr>
          <w:rFonts w:ascii="Times New Roman" w:cs="Times New Roman" w:eastAsia="Times New Roman" w:hAnsi="Times New Roman"/>
          <w:sz w:val="22"/>
          <w:szCs w:val="22"/>
          <w:color w:val="auto"/>
        </w:rPr>
        <w:t>. The Administrative Agent shall determine the US Dollar Equivalent of any Borrowing denominated in an Alternative Currency two Business Days prior to the initial Interest Period therefor and as of the date two Business Days prior to the commencement of each subsequent Interest Period therefor, in each case using the Exchange Rate for such currency in relation to US Dollars in effect on the date of determination, and each such amount shall, except as provided in the penultimate sentence of this Section, be the US Dollar Equivalent of such Borrowing until the next required calculation thereof pursuant to this sentence. The Administrative Agent may also determine the US Dollar Equivalent of any Borrowing denominated in an Alternative Currency as of such other dates as the Administrative Agent shall select in its discretion, in each case using the Exchange Rate in effect on the date of determination, and each such amount shall be the US Dollar Equivalent of such Borrowing or such Letter of Credit until the next calculation thereof pursuant to this Section. The Administrative Agent shall notify the Company and the Revolving Lenders of each determination of the US Dollar Equivalent of each Borrowing denominated in an Alternative Currency.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Interest Rates; Licensing</w:t>
      </w:r>
      <w:r>
        <w:rPr>
          <w:rFonts w:ascii="Times New Roman" w:cs="Times New Roman" w:eastAsia="Times New Roman" w:hAnsi="Times New Roman"/>
          <w:sz w:val="22"/>
          <w:szCs w:val="22"/>
          <w:color w:val="auto"/>
        </w:rPr>
        <w:t>. (a) The Administrative Agent does not warrant, nor accept responsibility, nor shall the Administrative Agent have any liability with respect to the administration, submission or any other matter related to the rates in the definition of “SOFR”, “SONIA”, “EURIBO Rate” or with respect to any rate (including the selection of such rate and any related spread or other adjustment) that is an alternative or replacement for or successor to any such rate (including, without limitation, any Successor Rate) or the effect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48" w:lineRule="auto"/>
        <w:rPr>
          <w:sz w:val="20"/>
          <w:szCs w:val="20"/>
          <w:color w:val="auto"/>
        </w:rPr>
      </w:pPr>
      <w:r>
        <w:rPr>
          <w:rFonts w:ascii="Times New Roman" w:cs="Times New Roman" w:eastAsia="Times New Roman" w:hAnsi="Times New Roman"/>
          <w:sz w:val="22"/>
          <w:szCs w:val="22"/>
          <w:color w:val="auto"/>
        </w:rPr>
        <w:t>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Company.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9" w:lineRule="exact"/>
        <w:rPr>
          <w:sz w:val="20"/>
          <w:szCs w:val="20"/>
          <w:color w:val="auto"/>
        </w:rPr>
      </w:pPr>
    </w:p>
    <w:p>
      <w:pPr>
        <w:jc w:val="both"/>
        <w:ind w:firstLine="656"/>
        <w:spacing w:after="0" w:line="275" w:lineRule="auto"/>
        <w:tabs>
          <w:tab w:leader="none" w:pos="126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Irish Terms</w:t>
      </w:r>
      <w:r>
        <w:rPr>
          <w:rFonts w:ascii="Times New Roman" w:cs="Times New Roman" w:eastAsia="Times New Roman" w:hAnsi="Times New Roman"/>
          <w:sz w:val="22"/>
          <w:szCs w:val="22"/>
          <w:color w:val="auto"/>
        </w:rPr>
        <w:t>. In each Loan Document, where it relates to a Person incorporated, organized or having its center of main interests in Ireland: (a) a reference to a Person admitting an inability to pay its debts and liabilities or being “insolvent” includes that Person being unable to pay its debts within the meaning of Sections 509(3) and 570 of the Irish Companies Act; (b) a reference to a composition, compromise, assignment or arrangement with any creditor, winding up, administration, insolvency or dissolution includes, without limitation, the appointment of an examiner (as defined in Section 2 of the Irish Companies Act), examination, any procedure or process referred to in Part 11 of the Irish Companies Act, and any other similar proceedings affecting the rights of creditors generally under Irish law, and shall be construed so as to include any equivalent or analogous proceedings; (c) “examiner” means an examiner or interim examiner appointed pursuant to Section 509 of the Irish Companies Act and “examinership” shall be construed accordingly; and (d) “process adviser” has the meaning given to that term in Section 558A of the Irish Companies Act and “rescue process”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56" w:name="page57"/>
    <w:bookmarkEnd w:id="56"/>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Subject to the applicable terms and conditions set forth herein, (a) each Dollar Tranche Term Lender with a Dollar Tranche Term Commitment agrees to make a Loan under the Dollar Tranche Term Loan Facility (each such loan, a “</w:t>
      </w:r>
      <w:r>
        <w:rPr>
          <w:rFonts w:ascii="Times New Roman" w:cs="Times New Roman" w:eastAsia="Times New Roman" w:hAnsi="Times New Roman"/>
          <w:sz w:val="22"/>
          <w:szCs w:val="22"/>
          <w:u w:val="single" w:color="auto"/>
          <w:color w:val="auto"/>
        </w:rPr>
        <w:t>Dollar Tranche Term Loan</w:t>
      </w:r>
      <w:r>
        <w:rPr>
          <w:rFonts w:ascii="Times New Roman" w:cs="Times New Roman" w:eastAsia="Times New Roman" w:hAnsi="Times New Roman"/>
          <w:sz w:val="22"/>
          <w:szCs w:val="22"/>
          <w:color w:val="auto"/>
        </w:rPr>
        <w:t>”) denominated in US Dollars to the USD Term Borrower in a single drawing on the Closing Date, pro rata in accordance with its Dollar Tranche Term Commitment, and in an amount not to exceed such Lender’s Dollar Tranche Term Commitment, (b) each Euro Tranche Term Lender with a Euro Tranche Term Commitment agrees to make a Loan under the Euro Tranche Term Loan Facility (each such loan, an “</w:t>
      </w:r>
      <w:r>
        <w:rPr>
          <w:rFonts w:ascii="Times New Roman" w:cs="Times New Roman" w:eastAsia="Times New Roman" w:hAnsi="Times New Roman"/>
          <w:sz w:val="22"/>
          <w:szCs w:val="22"/>
          <w:u w:val="single" w:color="auto"/>
          <w:color w:val="auto"/>
        </w:rPr>
        <w:t>Euro Tranche Term Loan</w:t>
      </w:r>
      <w:r>
        <w:rPr>
          <w:rFonts w:ascii="Times New Roman" w:cs="Times New Roman" w:eastAsia="Times New Roman" w:hAnsi="Times New Roman"/>
          <w:sz w:val="22"/>
          <w:szCs w:val="22"/>
          <w:color w:val="auto"/>
        </w:rPr>
        <w:t>” and, together with the Dollar Tranche Term Loan, the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denominated in Euro to the EUR Term Borrower in a single drawing on the Closing Date, pro rata in accordance with its Euro Tranche Term Commitment, and in an amount not to exceed such Lender’s Euro Tranche Term Commitment and (c) each Lender with a Revolving Commitment agrees to make a Revolving Loan denominated in US Dollars or Alternative Currencies to any Borrower from time to time during the Revolving Availability Period in an aggregate principal amount that will not result in any Lender’s Revolving Exposure exceeding such Lender’s Revolving Commitment or the Aggregate Revolving Exposure exceeding the Aggregate Revolving Commitment. Within the foregoing limits and subject to the terms and conditions set forth herein, the Borrowers may borrow, prepay and reborrow Revolving Loans. Amounts repaid or prepaid in respect of Term Loans may not be reborrowed.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 xml:space="preserve">. (a) Each Loan shall be made as part of a Borrowing consisting of Loans of the same Class, Type and currency made by the Lenders to the same Borrower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79" w:lineRule="exact"/>
        <w:rPr>
          <w:sz w:val="20"/>
          <w:szCs w:val="20"/>
          <w:color w:val="auto"/>
        </w:rPr>
      </w:pPr>
    </w:p>
    <w:p>
      <w:pPr>
        <w:jc w:val="both"/>
        <w:ind w:firstLine="656"/>
        <w:spacing w:after="0" w:line="249" w:lineRule="auto"/>
        <w:tabs>
          <w:tab w:leader="none" w:pos="116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(i) each Revolving Borrowing and each Term Borrowing denominated in US Dollars shall be comprised entirely of ABR Loans (solely to the extent such Borrowing is made to a Borrower that is a Domestic Subsidiary) or Term SOFR Loans as the applicable Borrower may request in accordance herewith, (ii) each Revolving Borrowing and each Term Borrowing denominated in Euros shall be comprised entirely of EURIBOR Loans and (iii) each Revolving Borrowing denominated in Sterling shall be comprised entirely of SONIA Loans. Each Swingline Loan shall be denominated in US Dollars and shall be an ABR Loan. Each Lender at its option may make any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applicable Borrower to repay such Loan in accordance with the terms of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3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Term SOFR Borrowing or EURIBOR Borrowing, such Borrowing shall be in an aggregate amount that is an integral multiple of the Borrowing Multiple and not less than the Borrowing Minimum;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Term SOFR Borrowing or EURIBOR Borrowing that results from a continuation of an outstanding Term SOFR Borrowing or EURIBOR Borrowing may be in an aggregate amount that is equal to such outstanding Borrowing. At the time that each ABR Borrowing is made, such Borrowing shall be in an aggregate amount that is an integral multiple of the Borrowing Multiple and not less than the Borrowing Minimum;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Aggregate Revolving Commitment or that is required to finance the reimbursement of an LC Disbursement as contemplated by </w:t>
      </w:r>
      <w:r>
        <w:rPr>
          <w:rFonts w:ascii="Times New Roman" w:cs="Times New Roman" w:eastAsia="Times New Roman" w:hAnsi="Times New Roman"/>
          <w:sz w:val="22"/>
          <w:szCs w:val="22"/>
          <w:u w:val="single" w:color="auto"/>
          <w:color w:val="auto"/>
        </w:rPr>
        <w:t>Section 2.20(f)</w:t>
      </w:r>
      <w:r>
        <w:rPr>
          <w:rFonts w:ascii="Times New Roman" w:cs="Times New Roman" w:eastAsia="Times New Roman" w:hAnsi="Times New Roman"/>
          <w:sz w:val="22"/>
          <w:szCs w:val="22"/>
          <w:color w:val="auto"/>
        </w:rPr>
        <w:t xml:space="preserve">. Borrowings of more than one Type and Class may be outstanding at the same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not at any time be more than a total of 12 (or such greater number as may be agreed to by the Administrative Agent) Term SOFR Borrowings and EURIBOR Borrowings outstanding.</w:t>
      </w:r>
    </w:p>
    <w:p>
      <w:pPr>
        <w:spacing w:after="0" w:line="195" w:lineRule="exact"/>
        <w:rPr>
          <w:sz w:val="20"/>
          <w:szCs w:val="20"/>
          <w:color w:val="auto"/>
        </w:rPr>
      </w:pPr>
    </w:p>
    <w:p>
      <w:pPr>
        <w:jc w:val="both"/>
        <w:ind w:firstLine="656"/>
        <w:spacing w:after="0" w:line="257" w:lineRule="auto"/>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Borrowers shall not be entitled to request, or to elect to convert to or continue, any Term SOFR Borrowing or EURIBOR Borrowing if the Interest Period requested with respect thereto would end after the applicable Maturity Date.</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SOFR, Term SOFR, SONIA, or EURIBOR,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Borrowings</w:t>
      </w:r>
      <w:r>
        <w:rPr>
          <w:rFonts w:ascii="Times New Roman" w:cs="Times New Roman" w:eastAsia="Times New Roman" w:hAnsi="Times New Roman"/>
          <w:sz w:val="22"/>
          <w:szCs w:val="22"/>
          <w:color w:val="auto"/>
        </w:rPr>
        <w:t xml:space="preserve">. To request a Revolving Borrowing or a Term Borrowing, the applicable Borrower (or the Company on its behalf) shall submit a Borrowing Request, signed by its Authorized Officer, to the Administrative Agent (a) in the case of a Term SOFR Borrowing denominated in US Dollars, not later than 11:00 a.m., Local Time, two Business Days before the date of the proposed Borrowing, (b) in the case of SONIA Borrowing, a EURIBOR Borrowing or any other Borrowing denominated in an Alternative Currency, not later than 11:00 a.m., Local Time, five Business Days before the date of the proposed Borrowing or (c) in the case of an ABR Borrowing, not later than 8:00 a.m., Local Time, on the day of the proposed Borrowing (or, in the case of any ABR Term Borrowing, such later time on such day as may be agreed to in writing by the Administrative Agent). Each such Borrowing Request shall be irrevocable and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720" w:hanging="416"/>
        <w:spacing w:after="0"/>
        <w:tabs>
          <w:tab w:leader="none" w:pos="17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applicable Borrower;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of such Borrowing;</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and principal amount of such Borrowing;</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58" w:name="page59"/>
    <w:bookmarkEnd w:id="58"/>
    <w:p>
      <w:pPr>
        <w:ind w:left="1780" w:hanging="476"/>
        <w:spacing w:after="0"/>
        <w:tabs>
          <w:tab w:leader="none" w:pos="17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such Borrowing;</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20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Borrowing or a EURIBOR Borrowing, the initial Interest Period to be applicable thereto, which shall be a period contemplated by the definition of the term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4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location and number of the account of the applicable Borrower to which funds are to be disbursed (or such other account as may be designated by (or by the Company on behalf of) the applicable Borrower) or, in the case of any ABR Revolving Borrowing requested to finance the reimbursement of an LC Disbursement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2.20(f)</w:t>
      </w:r>
      <w:r>
        <w:rPr>
          <w:rFonts w:ascii="Times New Roman" w:cs="Times New Roman" w:eastAsia="Times New Roman" w:hAnsi="Times New Roman"/>
          <w:sz w:val="22"/>
          <w:szCs w:val="22"/>
          <w:color w:val="auto"/>
        </w:rPr>
        <w:t>, the identity of the Issuing Bank that made such LC Disbursement; and</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5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by a Foreign Borrowing Subsidiary, the jurisdiction from which payments of the principal and interest on such Borrowing will be made.</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If no currency is specified with respect to any requested Borrowing, then the applicable Borrower shall be deemed to have selected US Dollars. If no election as to the Type of Borrowing is specified, then the requested Borrowing shall be (A) in the case of a Borrowing denominated in US Dollars and made to a Borrower that is a Domestic Subsidiary, an ABR Borrowing, (B) in the case of Borrowing denominated in Sterling, a SONIA Borrowing and (C) in the case of a Borrowing denominated in Euros, a EURIBOR Borrowing. If no Interest Period is specified with respect to any requested Term SOFR Borrowing or EURIBOR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 xml:space="preserve">. (a) Each Lender shall make each Loan to be made by it hereunder on the proposed date thereof by wire transfer of immediately available funds in the applicable currency by 12:00 p.m., Local Time to the account of the Administrative Agent most recently designated by it for such purpose by notice to the Lenders. The Administrative Agent will make such Loans available to the applicable Borrower by promptly remitting the amounts so received, in like funds, to the account designated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Revolving Loans made to finance the reimbursement of an LC Disbursement as provided in </w:t>
      </w:r>
      <w:r>
        <w:rPr>
          <w:rFonts w:ascii="Times New Roman" w:cs="Times New Roman" w:eastAsia="Times New Roman" w:hAnsi="Times New Roman"/>
          <w:sz w:val="22"/>
          <w:szCs w:val="22"/>
          <w:u w:val="single" w:color="auto"/>
          <w:color w:val="auto"/>
        </w:rPr>
        <w:t>Section 2.20(f)</w:t>
      </w:r>
      <w:r>
        <w:rPr>
          <w:rFonts w:ascii="Times New Roman" w:cs="Times New Roman" w:eastAsia="Times New Roman" w:hAnsi="Times New Roman"/>
          <w:sz w:val="22"/>
          <w:szCs w:val="22"/>
          <w:color w:val="auto"/>
        </w:rPr>
        <w:t xml:space="preserve"> shall be remitted by the Administrative Agent to the applicable Issuing Bank specified in the applicable Borrowing Request.</w:t>
      </w:r>
    </w:p>
    <w:p>
      <w:pPr>
        <w:spacing w:after="0" w:line="194" w:lineRule="exact"/>
        <w:rPr>
          <w:sz w:val="20"/>
          <w:szCs w:val="20"/>
          <w:color w:val="auto"/>
        </w:rPr>
      </w:pPr>
    </w:p>
    <w:p>
      <w:pPr>
        <w:jc w:val="both"/>
        <w:ind w:firstLine="656"/>
        <w:spacing w:after="0" w:line="248" w:lineRule="auto"/>
        <w:tabs>
          <w:tab w:leader="none" w:pos="127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and may, in reliance on such assumption, make available to the applicable Borrower a corresponding amount. In such event, if a Lender has not in fact made its share of the applicable Borrowing available to the Administrative Agent, then the applicable Lender and such Borrower severally agree, without duplication, to pay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47" w:lineRule="auto"/>
        <w:rPr>
          <w:sz w:val="20"/>
          <w:szCs w:val="20"/>
          <w:color w:val="auto"/>
        </w:rPr>
      </w:pPr>
      <w:r>
        <w:rPr>
          <w:rFonts w:ascii="Times New Roman" w:cs="Times New Roman" w:eastAsia="Times New Roman" w:hAnsi="Times New Roman"/>
          <w:sz w:val="22"/>
          <w:szCs w:val="22"/>
          <w:color w:val="auto"/>
        </w:rPr>
        <w:t>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(A) if denominated in US Dollars, the greater of the Federal Funds Rate and a rate determined by the Administrative Agent in accordance with banking industry rules on interbank compensation and (B) if denominated in an Alternative Currency, a rate determined by the Administrative Agent in accordance with banking industry rules on interbank compensation, or (ii) in the case of a payment to be made by such Borrower, (A) if denominated in US Dollars, the interest rate applicable to ABR Loans and (B) if denominated in an Alternative Currency, the interest rate applicable to the subject Loan pursuant hereto. If such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such payment by such Borrower shall be without prejudice to any claim such Borrower may have against a Lender that shall have failed to make such payment to the Administrative Agent. A notice of the Administrative Agent to any Lender or the applicable Borrower with respect to any amount owing under this clause (b) shall be conclusive, absent manifest error.</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 xml:space="preserve">. (a) Each Revolving Borrowing and Term Borrowing initially shall be of the Type and, in the case of a Term SOFR Borrowing or a EURIBOR Borrowing, shall have an initial Interest Period as specified in the applicable Borrowing Request or as otherwise provided in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Thereafter, the applicable Borrower (or the Company on its behalf) may elect to convert such Borrowing (if such Borrowing is denominated in US Dollars and, in the case of a Revolving Borrowing, made to the Company or a Domestic Borrowing Subsidiary) to a Borrowing of a different Type or to continue such Borrowing and, in the case of a Term SOFR Borrowing or a EURIBOR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71" w:lineRule="auto"/>
        <w:rPr>
          <w:sz w:val="20"/>
          <w:szCs w:val="20"/>
          <w:color w:val="auto"/>
        </w:rPr>
      </w:pPr>
      <w:r>
        <w:rPr>
          <w:rFonts w:ascii="Times New Roman" w:cs="Times New Roman" w:eastAsia="Times New Roman" w:hAnsi="Times New Roman"/>
          <w:sz w:val="22"/>
          <w:szCs w:val="22"/>
          <w:color w:val="auto"/>
        </w:rPr>
        <w:t xml:space="preserve">other provision of this Section, no Borrower shall be permitted to change the currency of any Borrowing or elect an Interest Period for a Term SOFR Borrowing or a EURIBOR Borrowing that does not comply with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53" w:lineRule="auto"/>
        <w:tabs>
          <w:tab w:leader="none" w:pos="11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 election pursuant to this Section, the applicable Borrower (or the Company on its behalf) shall submit an Interest Election Request, signed by its Authorized Officer, to the Administrative Agent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such Borrower were requesting a Revolving Borrowing of the Type and in the currency resulting from such election to be made on the effective date of such election. Each such Interest Election Request shall be irrevocable and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7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the applicable Borrower,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(iv) below shall be specified for each resulting Borrowing);</w:t>
      </w:r>
    </w:p>
    <w:p>
      <w:pPr>
        <w:spacing w:after="0" w:line="17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w:t>
      </w:r>
    </w:p>
    <w:p>
      <w:pPr>
        <w:spacing w:after="0" w:line="195"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the resulting Borrowing; and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to be a Term SOFR Borrowing or a EURIBOR Borrowing, the Interest Period to be applicable thereto after giving effect to such election, which shall be a period contemplated by the definition of the term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5970905</wp:posOffset>
            </wp:positionH>
            <wp:positionV relativeFrom="paragraph">
              <wp:posOffset>-1604010</wp:posOffset>
            </wp:positionV>
            <wp:extent cx="257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1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or a EURIBOR Borrowing but does not specify an Interest Period, then the applicable Borrower shall be deemed to have selected an Interest Period of one month’s duration.</w:t>
      </w:r>
    </w:p>
    <w:p>
      <w:pPr>
        <w:spacing w:after="0" w:line="171" w:lineRule="exact"/>
        <w:rPr>
          <w:sz w:val="20"/>
          <w:szCs w:val="20"/>
          <w:color w:val="auto"/>
        </w:rPr>
      </w:pPr>
    </w:p>
    <w:p>
      <w:pPr>
        <w:ind w:firstLine="656"/>
        <w:spacing w:after="0" w:line="271" w:lineRule="auto"/>
        <w:tabs>
          <w:tab w:leader="none" w:pos="110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in accordance with this Section,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3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Borrower fails to deliver a timely Interest Election Request with respect to a Term SOFR Borrowing or a EURIBOR Borrowing prior to the end of the Interest Period applicable thereto, then, unless such Borrowing is repaid as provided herein, at the end of such Interest Period (i) in the case of a Term SOFR Borrowing denominated in US Dollars (if such Borrowing is made to a Revolving Borrower that is a Domestic Subsidiary), such Borrowing shall be converted to an ABR Revolving Borrowing and (ii) in the case of any EURIBOR Borrowing, such Borrowing shall be continued as a Borrowing of the applicable Type for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61" w:name="page62"/>
    <w:bookmarkEnd w:id="61"/>
    <w:p>
      <w:pPr>
        <w:jc w:val="both"/>
        <w:ind w:firstLine="656"/>
        <w:spacing w:after="0" w:line="250" w:lineRule="auto"/>
        <w:tabs>
          <w:tab w:leader="none" w:pos="117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contrary provision hereof, if an Event of Default under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has occurred and is continuing with respect to any Borrower,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denominated in US Dollars may be converted to or continued as a Term SOFR Borrowing, (ii) unless repaid, each Term SOFR Borrowing of such Class denominated in US Dollars shall be converted to an ABR Borrowing at the end of the Interest Period applicable thereto and (iii) unless repaid, each EURIBOR Borrowing shall be continued as a EURIBOR Borrowing with an Interest Period of one month’s duration.</w:t>
      </w:r>
    </w:p>
    <w:p>
      <w:pPr>
        <w:spacing w:after="0" w:line="18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ABR Loans may be made only to a Borrower that is a Domestic</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Termination and Reduction of Commitments</w:t>
      </w:r>
      <w:r>
        <w:rPr>
          <w:rFonts w:ascii="Times New Roman" w:cs="Times New Roman" w:eastAsia="Times New Roman" w:hAnsi="Times New Roman"/>
          <w:sz w:val="22"/>
          <w:szCs w:val="22"/>
          <w:color w:val="auto"/>
        </w:rPr>
        <w:t>. (a) Unless previously terminated, (i) the Term Commitment of each Term Lender shall automatically terminate on the earlier of (A) immediately after the making of the Term Loan by such Term Lender on the Closing Date and (B) the Early Termination Date and (ii) the Revolving Commitments shall automatically terminate on the earlier of (A) the Revolving Maturity Date and (B) the Early Termination Date.</w:t>
      </w:r>
    </w:p>
    <w:p>
      <w:pPr>
        <w:spacing w:after="0" w:line="176" w:lineRule="exact"/>
        <w:rPr>
          <w:sz w:val="20"/>
          <w:szCs w:val="20"/>
          <w:color w:val="auto"/>
        </w:rPr>
      </w:pPr>
    </w:p>
    <w:p>
      <w:pPr>
        <w:ind w:left="1120" w:hanging="464"/>
        <w:spacing w:after="0"/>
        <w:tabs>
          <w:tab w:leader="none" w:pos="112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at any time terminate, or from time to time permanently reduce,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26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reduction of the Commitments shall be in an amount that is an integral multiple of the Borrowing Multiple and not less than the Borrowing Minimum (or, if less, the remaining Commitments) and (ii) the Company shall not terminate or reduce the Revolving Commitments if, after giving effect to any concurrent prepayment of the Revolving Loans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(A) the Aggregate Revolving Exposure would exceed the Aggregate Revolving Commitment or (B) the Revolving Exposure of any Revolving Lender would exceed its Revolving Commitment.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at least three Business Days prior to the effective date of such termination or reduction, specifying the effective date thereof. Promptly following receipt of any such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or reduction of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may state that such notice is conditioned upon the occurrence of one or more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 (a) Each applicable Borrower hereby unconditionally promises to pay to the Administrative Agent for the account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0" w:lineRule="auto"/>
        <w:rPr>
          <w:sz w:val="20"/>
          <w:szCs w:val="20"/>
          <w:color w:val="auto"/>
        </w:rPr>
      </w:pPr>
      <w:r>
        <w:rPr>
          <w:rFonts w:ascii="Times New Roman" w:cs="Times New Roman" w:eastAsia="Times New Roman" w:hAnsi="Times New Roman"/>
          <w:sz w:val="22"/>
          <w:szCs w:val="22"/>
          <w:color w:val="auto"/>
        </w:rPr>
        <w:t>applicable Lenders as follows: (i) each Revolving Borrower shall repay to the Administrative Agent for the account of each Revolving Lender on the Revolving Maturity Date the then unpaid principal amount of each Revolving Loan made by such Revolving Lender to such Revolving Borrower, (ii) the USD Term Borrower shall repay to the Administrative Agent for the account of each Dollar Tranche Term Lender on the Term Loan Maturity Date the aggregate principal amount of the Dollar Tranche Term Loans owing to such Dollar Tranche Term Lender on such date and (iii) the EUR Term Borrower shall repay to the Administrative Agent for the account of each Euro Tranche Term Lender on the Term Loan Maturity Date the aggregate principal amount of the Euro Tranche Term Loans owing to such Euro Tranche Term Lender on such date. Principal on any Loan that is denominated in (A) US Dollars shall be repaid in US Dollars, (B) euros shall be repaid in euros and (C) any other Alternative Currency shall be repaid in such Alternative Currency.</w:t>
      </w:r>
    </w:p>
    <w:p>
      <w:pPr>
        <w:spacing w:after="0" w:line="180" w:lineRule="exact"/>
        <w:rPr>
          <w:sz w:val="20"/>
          <w:szCs w:val="20"/>
          <w:color w:val="auto"/>
        </w:rPr>
      </w:pPr>
    </w:p>
    <w:p>
      <w:pPr>
        <w:jc w:val="both"/>
        <w:ind w:firstLine="656"/>
        <w:spacing w:after="0" w:line="251" w:lineRule="auto"/>
        <w:tabs>
          <w:tab w:leader="none" w:pos="113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records maintained by the Administrative Agent and the Lenders shall (in the case of the Lenders, to the extent they are not inconsistent with the records maintained by the Administrative Agent pursuant to </w:t>
      </w:r>
      <w:r>
        <w:rPr>
          <w:rFonts w:ascii="Times New Roman" w:cs="Times New Roman" w:eastAsia="Times New Roman" w:hAnsi="Times New Roman"/>
          <w:sz w:val="22"/>
          <w:szCs w:val="22"/>
          <w:u w:val="single" w:color="auto"/>
          <w:color w:val="auto"/>
        </w:rPr>
        <w:t>Section 10.04(b)(iv)</w:t>
      </w:r>
      <w:r>
        <w:rPr>
          <w:rFonts w:ascii="Times New Roman" w:cs="Times New Roman" w:eastAsia="Times New Roman" w:hAnsi="Times New Roman"/>
          <w:sz w:val="22"/>
          <w:szCs w:val="22"/>
          <w:color w:val="auto"/>
        </w:rPr>
        <w:t xml:space="preserve">) be, in the absence of manifest error, prima facie evidence of the existence and amounts of the obligations of the Borrowers in respect of the Loans, LC Disbursements, interest and fees due or accrued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the Administrative Agent or any Lender to maintain such records or any error therein shall not in any manner affect the obligation of the Borrowers to pay any amounts due hereunder in accordance with the terms of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request that Loans made by it be evidenced by a promissory note. In such event, each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be represented by one or more promissory notes in such form payable to the payee named therein and its registered assigns.</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(a) The Borrowers shall have the right at any time and from time to time to prepay any Borrowing in whole or in part, without premium or penalty, subject to the requirements of this Section.</w:t>
      </w:r>
    </w:p>
    <w:p>
      <w:pPr>
        <w:spacing w:after="0" w:line="158" w:lineRule="exact"/>
        <w:rPr>
          <w:sz w:val="20"/>
          <w:szCs w:val="20"/>
          <w:color w:val="auto"/>
        </w:rPr>
      </w:pPr>
    </w:p>
    <w:p>
      <w:pPr>
        <w:jc w:val="both"/>
        <w:ind w:firstLine="656"/>
        <w:spacing w:after="0" w:line="250" w:lineRule="auto"/>
        <w:tabs>
          <w:tab w:leader="none" w:pos="11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any date, the Aggregate Revolving Exposure shall exceed the Aggregate Revolving Commitment, then (i) on the last day of any Interest Period for any Term SOFR Revolving Borrowing or EURIBOR Revolving Borrowing and (ii) on any other day on which any ABR Revolving Borrowing is outstanding, the applicable Borrowers shall prepay Revolving Loans in an aggregate amount equal to the lesser of (A) the amount necessary to eliminate such excess (after giving effect to any other prepayment of Revolving Loans on such day) and (B) the amount of the applicable Revolving Borrowings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If, on any date, the Aggregate Revolving Exposure shall exceed 105% of the Aggregate Revolving Commitment, then the applicable Borrowers shall, not later than the next Business Day, prepay one or more Revolving Borrowings (and, if no Revolving Borrowings are outstanding, deposit cash collateral in an account with the Administrative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2.20(m)</w:t>
      </w:r>
      <w:r>
        <w:rPr>
          <w:rFonts w:ascii="Times New Roman" w:cs="Times New Roman" w:eastAsia="Times New Roman" w:hAnsi="Times New Roman"/>
          <w:sz w:val="22"/>
          <w:szCs w:val="22"/>
          <w:color w:val="auto"/>
        </w:rPr>
        <w:t>)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amount equal to the lesser of (1) the amount necessary to eliminate such excess and (2) the Aggregate Revolving Exposure.</w:t>
      </w:r>
    </w:p>
    <w:p>
      <w:pPr>
        <w:spacing w:after="0" w:line="220" w:lineRule="exact"/>
        <w:rPr>
          <w:sz w:val="20"/>
          <w:szCs w:val="20"/>
          <w:color w:val="auto"/>
        </w:rPr>
      </w:pPr>
    </w:p>
    <w:p>
      <w:pPr>
        <w:jc w:val="both"/>
        <w:ind w:firstLine="656"/>
        <w:spacing w:after="0" w:line="260" w:lineRule="auto"/>
        <w:tabs>
          <w:tab w:leader="none" w:pos="127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applicable Borrower (or the Company on its behalf) shall notify the Administrative Agent by telephone (confirmed, with a copy to the Administrative Agent, by hand delivery or facsimile) or in writing of any optional prepayment hereunder (i) in the case of prepayment of a Term SOFR Borrowing denominated in US Dollars, not later than 11:00 a.m., Local Time, three Business Days before the date of prepayment, (ii) in the case of a SONIA Borrowing, a EURIBOR Borrowing or any Borrowing denominated in an Alternative Currency, not later than 11:00 a.m., Local Time, four Business Days before the date of such prepayment and (iii) in the case of prepayment of an ABR Borrowing, not later than 11:00 a.m., Local Time, one Business Day before the date of prepayment. Each such notice shall be irrevocable and shall specify the prepayment date, the Borrowing or Borrowings to be prepaid and the principal amount of each such Borrowing or portion thereof to be prepaid;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notice of optional prepayment of any Borrowing is conditioned upon the occurrence of one or more events specified therein, in which case such notice of prepayment may be revoked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and currency as provided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if less, the outstanding principal amount of the Loans).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 The Company agrees to pay to the Administrative Agent, in US Dollars, for the account of each Revolving Lender a commitment fee (the “</w:t>
      </w:r>
      <w:r>
        <w:rPr>
          <w:rFonts w:ascii="Times New Roman" w:cs="Times New Roman" w:eastAsia="Times New Roman" w:hAnsi="Times New Roman"/>
          <w:sz w:val="22"/>
          <w:szCs w:val="22"/>
          <w:u w:val="single" w:color="auto"/>
          <w:color w:val="auto"/>
        </w:rPr>
        <w:t>Revolving Commitment Fee</w:t>
      </w:r>
      <w:r>
        <w:rPr>
          <w:rFonts w:ascii="Times New Roman" w:cs="Times New Roman" w:eastAsia="Times New Roman" w:hAnsi="Times New Roman"/>
          <w:sz w:val="22"/>
          <w:szCs w:val="22"/>
          <w:color w:val="auto"/>
        </w:rPr>
        <w:t>”), which shall accrue at the Applicable Rate on the actual daily amount by which the aggregate Revolving Commitments exceed the sum of (i) the aggregate outstanding principal amount of Revolving Loans and (ii) the aggregate LC Exposure, during the period from and including the date that is 90 days following the Effective Date to but excluding the date on which such Revolving Commitment terminates. For the avoidance of doubt, Swingline Exposure shall not be counted towards or considered usage of the Revolving Commitments for purposes of determining the Revolving Commitment Fee. Revolving Commitment Fees accrued through and including the last day of March, June, September and December of each year shall be made payable in arrears on the fifteenth day after such last day (or if not a Business Day, the following Business Day), commencing on the first such payment date to occur after the date that is 90 days following the Effective Date, and accrued Revolving Commitment Fees shall also be payable in arrears on the date on which the Revolving Commitments terminate. All Revolving Commitment Fees shall be computed on the basis of a year of 360 days and shall be payable for the actual number of days elapsed (including the first day but excluding the last day).</w:t>
      </w:r>
    </w:p>
    <w:p>
      <w:pPr>
        <w:spacing w:after="0" w:line="184" w:lineRule="exact"/>
        <w:rPr>
          <w:sz w:val="20"/>
          <w:szCs w:val="20"/>
          <w:color w:val="auto"/>
        </w:rPr>
      </w:pPr>
    </w:p>
    <w:p>
      <w:pPr>
        <w:jc w:val="both"/>
        <w:ind w:firstLine="656"/>
        <w:spacing w:after="0" w:line="263" w:lineRule="auto"/>
        <w:tabs>
          <w:tab w:leader="none" w:pos="11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in US Dollars with respect to the Dollar Tranche Term Loan and in euros with respect to the Euro Tranche Term Loan, for the account of each Term Lender, a ticking fee (the “</w:t>
      </w:r>
      <w:r>
        <w:rPr>
          <w:rFonts w:ascii="Times New Roman" w:cs="Times New Roman" w:eastAsia="Times New Roman" w:hAnsi="Times New Roman"/>
          <w:sz w:val="22"/>
          <w:szCs w:val="22"/>
          <w:u w:val="single" w:color="auto"/>
          <w:color w:val="auto"/>
        </w:rPr>
        <w:t>Ticking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which shall accrue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22"/>
          <w:szCs w:val="22"/>
          <w:color w:val="auto"/>
        </w:rPr>
        <w:t>at the Applicable Rate on the daily maximum aggregate amount of the undrawn commitments in respect of the Term Facilities of such Term Lender, accruing during the period (such period, the “</w:t>
      </w:r>
      <w:r>
        <w:rPr>
          <w:rFonts w:ascii="Times New Roman" w:cs="Times New Roman" w:eastAsia="Times New Roman" w:hAnsi="Times New Roman"/>
          <w:sz w:val="22"/>
          <w:szCs w:val="22"/>
          <w:u w:val="single" w:color="auto"/>
          <w:color w:val="auto"/>
        </w:rPr>
        <w:t>Ticking Fee Accrual Period</w:t>
      </w:r>
      <w:r>
        <w:rPr>
          <w:rFonts w:ascii="Times New Roman" w:cs="Times New Roman" w:eastAsia="Times New Roman" w:hAnsi="Times New Roman"/>
          <w:sz w:val="22"/>
          <w:szCs w:val="22"/>
          <w:color w:val="auto"/>
        </w:rPr>
        <w:t>”) from (i) the 90th day following the Effective Date to but excluding (ii) the earlier of (A) the Closing Date and (B) the date of termination of the Term Commitments, earned and due and payable in full on the last business day of the Ticking Fee Accrual Period.</w:t>
      </w:r>
    </w:p>
    <w:p>
      <w:pPr>
        <w:spacing w:after="0" w:line="176" w:lineRule="exact"/>
        <w:rPr>
          <w:sz w:val="20"/>
          <w:szCs w:val="20"/>
          <w:color w:val="auto"/>
        </w:rPr>
      </w:pPr>
    </w:p>
    <w:p>
      <w:pPr>
        <w:jc w:val="both"/>
        <w:ind w:firstLine="656"/>
        <w:spacing w:after="0" w:line="247" w:lineRule="auto"/>
        <w:tabs>
          <w:tab w:leader="none" w:pos="121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(i) to the Administrative Agent, in US Dollars, for the account of each Revolving Lender a participation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with respect to its participations in Letters of Credit, which shall accrue at the Applicable Rate used to determine the interest rate applicable to Term SOFR Revolving Loans on the average daily amount of such Revolving Lender’s LC Exposure (excluding any portion thereof attributable to unreimbursed LC Disbursements) during the period from and including the Effective Date to but excluding the later of the date on which such Revolving Lender’s Revolving Commitment terminates and the date on which such Revolving Lender ceases to have any LC Exposure, and (ii) to each Issuing Bank a fronting fee, in US Dollars, which shall accrue at 0.125% per annum on the average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in arrears on the fifteenth day after such last day (or if not a Business Day, the next following Business Day) following such day,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3" w:lineRule="exact"/>
        <w:rPr>
          <w:rFonts w:ascii="Times New Roman" w:cs="Times New Roman" w:eastAsia="Times New Roman" w:hAnsi="Times New Roman"/>
          <w:sz w:val="22"/>
          <w:szCs w:val="22"/>
          <w:color w:val="auto"/>
        </w:rPr>
      </w:pPr>
    </w:p>
    <w:p>
      <w:pPr>
        <w:ind w:firstLine="656"/>
        <w:spacing w:after="0" w:line="284" w:lineRule="auto"/>
        <w:tabs>
          <w:tab w:leader="none" w:pos="11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its own account, fees payable in the amounts and at the times separately agreed upon between the Company and the Administrative Agent (including pursuant to the Fee Letters).</w:t>
      </w:r>
    </w:p>
    <w:p>
      <w:pPr>
        <w:spacing w:after="0" w:line="143" w:lineRule="exact"/>
        <w:rPr>
          <w:rFonts w:ascii="Times New Roman" w:cs="Times New Roman" w:eastAsia="Times New Roman" w:hAnsi="Times New Roman"/>
          <w:sz w:val="22"/>
          <w:szCs w:val="22"/>
          <w:color w:val="auto"/>
        </w:rPr>
      </w:pPr>
    </w:p>
    <w:p>
      <w:pPr>
        <w:jc w:val="both"/>
        <w:ind w:firstLine="656"/>
        <w:spacing w:after="0" w:line="275" w:lineRule="auto"/>
        <w:tabs>
          <w:tab w:leader="none" w:pos="118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payable hereunder shall be paid on the dates due, in immediately available funds, to the Administrative Agent (or to an Issuing Bank, in the case of fees payable to it) for distribution, in the case of the Revolving Commitment Fee and the Letter of Credit participation fees, to the Lenders entitled thereto. Fees paid shall not be refundable under any circumstances.</w:t>
      </w:r>
    </w:p>
    <w:p>
      <w:pPr>
        <w:spacing w:after="0" w:line="15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(a) The Loans comprising each ABR Borrowing shall bear interest at the Alternate Base Rate plus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65" w:name="page66"/>
    <w:bookmarkEnd w:id="65"/>
    <w:p>
      <w:pPr>
        <w:ind w:firstLine="656"/>
        <w:spacing w:after="0" w:line="271" w:lineRule="auto"/>
        <w:tabs>
          <w:tab w:leader="none" w:pos="111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Term SOFR Borrowing shall bear interest at Term SOFR for the Interest Period in effect for such Borrowing plus the Applicable Rate.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11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SONIA Borrowing shall bear interest at the rate per annum equal to SONIA pursuant to the definition thereof plus the Applicable Rate.</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EURIBOR Borrowing shall bear interest at the EURIBO Rate for the Interest Period in effect for such Borrowing plus the Applicable Rate.</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or interest on any Loan, 2.00% per annum plus the rate otherwise applicable to such Loan as provided in the preceding paragraphs of this Section, (ii) in the case of overdue fees with respect to any Commitment, 2.00% per annum plus the rate applicable to ABR Loans, as provided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or (iii) in the case of any other amount, 2.00% per annum plus the rate applicable to ABR Revolving Loans, as provided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on each Interest Payment Date for such Loan and, in the case of a Revolving Loan or a Swingline Loan, upon termination of the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or continuation of any Term SOFR Loan or EURIBOR Loan prior to the end of the current Interest Period therefor, accrued interest on such Loan shall be payable on the effective date of such conversion or continuation. All interest shall be payable in the currency in which the applicable Loan is denominated.</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8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 interest computed by reference to SONIA and (ii)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SONIA, Term SOFR or EURIBO Rate shall be determined by the Administrative Agent, and such determination shall be conclusive absent manifest error.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xml:space="preserve">. (a) If in connection with any request for a Term SOFR Borrowing, SONIA Borrowing or a EURIBOR Borrowing or a conversion of ABR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and the circumstances under clause (i)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the Scheduled Unavailability Date, or the Term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Thereafter, (x) the obligation of the Lenders to make or maintain Loans in the affected currencies, as applicable, or to convert ABR Loans to Term SOFR Loans, shall be suspended in each case to the extent of the affected Alternative Currency Loans or Interest Period or determination date(s), as applicable, and (y)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until the Administrative Agent upon instruction of the Required Lenders) revokes such notice.</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Upon receipt of such notice, (i) the Borrowers may revoke any pending request for a Borrowing of, or conversion to Term SOFR Loans, or Borrowing of, or continuation of Alternative Currency Loans to the extent of the affected Alternative Currency Loans or Interest Period or determination date(s), as applicable or, failing that, will be deemed to have converted such request into a request for a Borrowing of ABR Loans denominated in US Dollars in the US Dollar Equivalent of the amount specified therein and (ii) (A) any outstanding Term SOFR Loans shall be deemed to have been converted to ABR Loans immediately and</w:t>
      </w:r>
    </w:p>
    <w:p>
      <w:pPr>
        <w:spacing w:after="0" w:line="2" w:lineRule="exact"/>
        <w:rPr>
          <w:sz w:val="20"/>
          <w:szCs w:val="20"/>
          <w:color w:val="auto"/>
        </w:rPr>
      </w:pPr>
    </w:p>
    <w:p>
      <w:pPr>
        <w:jc w:val="both"/>
        <w:ind w:firstLine="8"/>
        <w:spacing w:after="0" w:line="245" w:lineRule="auto"/>
        <w:tabs>
          <w:tab w:leader="none" w:pos="3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outstanding affected Alternative Currency Loans, at the Company’s election, shall either (1) be converted into a Borrowing of ABR Loans denominated in US Dollars in the US Dollar Equivalent of the amount of such outstanding Alternative Currency Loan immediately, in the case of an SONIA Loan or at the end of the applicable Interest Period, in the case of an EURIBOR Loan or (2) be prepaid in full immediately, in the case of a SONIA Loan, or at the end of the applicable Interest Period, in the case of an EURIBOR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Company (x) in the case of SONIA Loan, by the date that is three Business Days after receipt by the Company of such notice or (y) in the case of an EURIBOR Loan, by the last day of the current Interest Period for the applicable EURIBOR Loan, the Company shall be deemed to have elected clause (1) above.</w:t>
      </w:r>
    </w:p>
    <w:p>
      <w:pPr>
        <w:spacing w:after="0" w:line="19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or any other Loan Documents, if the Administrative Agent determines (which determination shall be conclusive absent manifest error), or the Company or Required Lenders notify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67" w:name="page68"/>
    <w:bookmarkEnd w:id="67"/>
    <w:p>
      <w:pPr>
        <w:spacing w:after="0" w:line="271" w:lineRule="auto"/>
        <w:rPr>
          <w:sz w:val="20"/>
          <w:szCs w:val="20"/>
          <w:color w:val="auto"/>
        </w:rPr>
      </w:pPr>
      <w:r>
        <w:rPr>
          <w:rFonts w:ascii="Times New Roman" w:cs="Times New Roman" w:eastAsia="Times New Roman" w:hAnsi="Times New Roman"/>
          <w:sz w:val="22"/>
          <w:szCs w:val="22"/>
          <w:color w:val="auto"/>
        </w:rPr>
        <w:t>(with, in the case of the Required Lenders, a copy to the Company) that the Company or Required Lenders (as applicable) have determined, that:</w:t>
      </w:r>
    </w:p>
    <w:p>
      <w:pPr>
        <w:spacing w:after="0" w:line="158" w:lineRule="exact"/>
        <w:rPr>
          <w:sz w:val="20"/>
          <w:szCs w:val="20"/>
          <w:color w:val="auto"/>
        </w:rPr>
      </w:pPr>
    </w:p>
    <w:p>
      <w:pPr>
        <w:jc w:val="both"/>
        <w:ind w:left="660" w:firstLine="644"/>
        <w:spacing w:after="0" w:line="252" w:lineRule="auto"/>
        <w:tabs>
          <w:tab w:leader="none" w:pos="187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with respect to Loans denominated in US Dollars, adequate and reasonable means do not exist for ascertaining one month, three month or six month interest periods of Term SOFR, including, without limitation, because the Term SOFR Screen Rate is not available or published on a current basis and such circumstances are unlikely to be temporary and (y) with respect to Loans denominated in any other Agreed Currency, adequate and reasonable means do not exist for ascertaining the Relevant Rate for such Agreed Currency because none of the tenors of such Relevant Rate (including any forward-looking term rate thereof) is available or published on a current basis and such circumstances are unlikely to be temporary;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9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with respect to Loans denominated in US Dollars,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2"/>
          <w:szCs w:val="22"/>
          <w:u w:val="single" w:color="auto"/>
          <w:color w:val="auto"/>
        </w:rPr>
        <w:t>Term SOFR Scheduled Unavailability Date</w:t>
      </w:r>
      <w:r>
        <w:rPr>
          <w:rFonts w:ascii="Times New Roman" w:cs="Times New Roman" w:eastAsia="Times New Roman" w:hAnsi="Times New Roman"/>
          <w:sz w:val="22"/>
          <w:szCs w:val="22"/>
          <w:color w:val="auto"/>
        </w:rPr>
        <w:t>”) and (y) with respect to Loans denominated in any other Agreed Currency, the Applicable Authority has made a public statement identifying a specific date after which all tenors of the Relevant Rate for such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or</w:t>
      </w:r>
    </w:p>
    <w:p>
      <w:pPr>
        <w:spacing w:after="0" w:line="18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Loans denominated in an Agreed Currency other than US Dollars, syndicated loans currently being executed and agented in the U.S., are being executed or amended (as applicable) to incorporate or adopt a new benchmark interest rate to replace the Relevant Rate for an Agreed Currency;</w:t>
      </w:r>
    </w:p>
    <w:p>
      <w:pPr>
        <w:spacing w:after="0" w:line="18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then, with respect to Loans denominated in US Dollars, on a date and time determined by the Administrative Agent (any such date, the “</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which date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2"/>
          <w:szCs w:val="22"/>
          <w:color w:val="auto"/>
        </w:rPr>
        <w:t>at the end of an Interest Period or on the relevant interest payment date, as applicable, for interest calculated and, solely with respect to clause (ii) above, no later than the Term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2"/>
          <w:szCs w:val="22"/>
          <w:u w:val="single" w:color="auto"/>
          <w:color w:val="auto"/>
        </w:rPr>
        <w:t>Term SOFR Successor Rate</w:t>
      </w:r>
      <w:r>
        <w:rPr>
          <w:rFonts w:ascii="Times New Roman" w:cs="Times New Roman" w:eastAsia="Times New Roman" w:hAnsi="Times New Roman"/>
          <w:sz w:val="22"/>
          <w:szCs w:val="22"/>
          <w:color w:val="auto"/>
        </w:rPr>
        <w:t>”). If the Term SOFR Successor Rate is Daily Simple SOFR, all interest payments will be payable on a monthly basis.</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have occurred with respect to the Successor Rate (as defined below) then in effect, then in each case, the Administrative Agent and the Company may amend this Agreement solely for the purpose of replacing the Relevant Rate for an Agreed Currency or any then current Successor Rate in accordance with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any adjustment thereto, a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Administrative Agent will promptly (in one or more notices) notify the Company and each Lender of the implementation of any Successor Rate.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Any Successor Rate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8"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other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Increased Costs; Illegality</w:t>
      </w:r>
      <w:r>
        <w:rPr>
          <w:rFonts w:ascii="Times New Roman" w:cs="Times New Roman" w:eastAsia="Times New Roman" w:hAnsi="Times New Roman"/>
          <w:sz w:val="21"/>
          <w:szCs w:val="21"/>
          <w:color w:val="auto"/>
        </w:rPr>
        <w:t>. (a) If any Change in Law shall:</w:t>
      </w:r>
    </w:p>
    <w:p>
      <w:pPr>
        <w:spacing w:after="0" w:line="220" w:lineRule="exact"/>
        <w:rPr>
          <w:sz w:val="20"/>
          <w:szCs w:val="20"/>
          <w:color w:val="auto"/>
        </w:rPr>
      </w:pPr>
    </w:p>
    <w:p>
      <w:pPr>
        <w:jc w:val="both"/>
        <w:ind w:left="660" w:firstLine="644"/>
        <w:spacing w:after="0" w:line="257" w:lineRule="auto"/>
        <w:tabs>
          <w:tab w:leader="none" w:pos="173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 any Issuing Bank;</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7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Bank or the London or European interbank market any other condition, cost or expense (other than Taxes) affecting this Agreement or the Loans made by such Lender or any Letter of Credit or participation therein; 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91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Taxes (other than (A) Indemnified Taxes, (B) Taxes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definition of the term “</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and (C) Connection Income Taxes) on its loans, loan principal, letters of credit, commitments or other obligations, or its deposits, reserves, other liabilities or capital attributable thereto;</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or other Recipient of making, converting to, continuing or maintaining any Loan (or of maintaining its obligation to make any Loan),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following request of such Lender, Issuing Bank or other Recipient (accompanied by a certificate in accordance with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the Company will pay to such Lender, Issuing Bank or other Recipient, as the case may be, such additional amount or amounts as will compensate such Lender, Issuing Bank or other Recipient for such additional costs or expenses incurred or reduction suffered.</w:t>
      </w:r>
    </w:p>
    <w:p>
      <w:pPr>
        <w:spacing w:after="0" w:line="180" w:lineRule="exact"/>
        <w:rPr>
          <w:sz w:val="20"/>
          <w:szCs w:val="20"/>
          <w:color w:val="auto"/>
        </w:rPr>
      </w:pPr>
    </w:p>
    <w:p>
      <w:pPr>
        <w:jc w:val="both"/>
        <w:ind w:firstLine="656"/>
        <w:spacing w:after="0" w:line="263" w:lineRule="auto"/>
        <w:tabs>
          <w:tab w:leader="none" w:pos="112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any Issuing Bank determines that any Change in Law affecting such Lender or Issuing Bank or any Lending Office of such Lender or such Issuing Bank or such Lender’s or such Issuing Bank’s holding company, if any,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following the request of such Lender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xml:space="preserve">Issuing Bank (accompanied by a certificate in accordance with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the Company will pay to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or such Issuing Bank such additional amount or amounts as will compensate such Lender or such Issuing Bank or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or such Issuing Bank’s holding company for any such reduction suffered.</w:t>
      </w:r>
    </w:p>
    <w:p>
      <w:pPr>
        <w:spacing w:after="0" w:line="209" w:lineRule="exact"/>
        <w:rPr>
          <w:sz w:val="20"/>
          <w:szCs w:val="20"/>
          <w:color w:val="auto"/>
        </w:rPr>
      </w:pPr>
    </w:p>
    <w:p>
      <w:pPr>
        <w:jc w:val="both"/>
        <w:ind w:firstLine="656"/>
        <w:spacing w:after="0" w:line="247" w:lineRule="auto"/>
        <w:tabs>
          <w:tab w:leader="none" w:pos="113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cost to any Revolving Lender of making, converting to, continuing or maintaining any Revolving Loan to (or of maintaining its obligation to make any such Revolving Loan) or the cost to any Revolving Lender or any Issuing Bank of participating in, issuing or maintaining any Letter of Credit issued for the account of any Foreign Borrowing Subsidiary (or of maintaining its obligation to participate in or issue any such Letter of Credit) is increased (or the amount of any sum received or receivable by any Revolving Lender or any Issuing Bank (or its applicable Lending Office) is reduced) by reason of the fact that such Foreign Borrowing Subsidiary is incorporated in, has its principal place of business in, or borrows from a jurisdiction outside the United States of America, then, from time to time following request of such Revolving Lender or Issuing Bank (accompanied by a certificate in accordance with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the Company will pay to such Revolving Lender or Issuing Bank, as the case may be, such additional amount or amounts as will compensate such Revolving Lender or Issuing Bank or other Recipient for such additional costs incurred or reduction suffered.</w:t>
      </w:r>
    </w:p>
    <w:p>
      <w:pPr>
        <w:spacing w:after="0" w:line="190" w:lineRule="exact"/>
        <w:rPr>
          <w:rFonts w:ascii="Times New Roman" w:cs="Times New Roman" w:eastAsia="Times New Roman" w:hAnsi="Times New Roman"/>
          <w:sz w:val="22"/>
          <w:szCs w:val="22"/>
          <w:color w:val="auto"/>
        </w:rPr>
      </w:pPr>
    </w:p>
    <w:p>
      <w:pPr>
        <w:jc w:val="both"/>
        <w:ind w:firstLine="656"/>
        <w:spacing w:after="0" w:line="248" w:lineRule="auto"/>
        <w:tabs>
          <w:tab w:leader="none" w:pos="113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pay to each Lender (i) as long as such Lender shall be required by a central banking or financial regulatory authority with regulatory authority over such Lender to maintain reserves with respect to liabilities or assets consisting of or including funds or deposits obtained in the European interbank market, additional interest on the unpaid principal amount of each EURIBOR Loan equal to the actual costs of such reserves allocable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EURIBOR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have received the certificate referred to in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with respect to such additional interest or costs from such Lender at least 10 days prior to such date (and, in the event such certificate shall have been delivered after such time, then such additional interest or costs shall be due and payable as set forth in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w:t>
      </w:r>
    </w:p>
    <w:p>
      <w:pPr>
        <w:spacing w:after="0" w:line="18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1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Issuing Bank, or other Recipient setting forth the basis for and, in reasonable detail (to the extent practicable), computation of the amount or amounts necessary to compensate such Lender, Issuing Bank, or other Recipient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Section shall be delivered to the Company and, subject to the provision in the next following sentence, shall be conclusive absent manifest error. The Company shall pay such Lender, Issuing Bank or other Recipient,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case may be, the amount shown as due on any such certificate within 30 days after receipt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the Company objects in good faith to any payment demanded under this Section on or before the date such payment is due, then the Company and the Lender, Issuing Bank or other Recipient demanding such payment shall enter into discussions to review the amount due and the Company’s obligation to pay such amount to such Lender, Issuing Bank or other Recipient shall be deferred for 60 days after the original due date thereof and (ii) if the Company and such Lender, Issuing Bank or other Recipient do not otherwise reach agreement on the amount due during such 60 day period, the Company shall pay to such Lender, Issuing Bank or other Recipient at the end of such 60 day period the amount shown as due on the applicable certificate. Notwithstanding the foregoing provisions of this Section, no Lender or Issuing Bank shall demand compensation for any increased or other cost or reduction pursuant to the foregoing provisions of this Section if it shall not at the time be the general policy or practice of such Lender or Issuing Bank to demand (to the extent it is entitled to do so) such compensation from similarly situated borrowers in similar circumstances under comparable provisions of other credit agreements.</w:t>
      </w:r>
    </w:p>
    <w:p>
      <w:pPr>
        <w:spacing w:after="0" w:line="189" w:lineRule="exact"/>
        <w:rPr>
          <w:sz w:val="20"/>
          <w:szCs w:val="20"/>
          <w:color w:val="auto"/>
        </w:rPr>
      </w:pPr>
    </w:p>
    <w:p>
      <w:pPr>
        <w:jc w:val="both"/>
        <w:ind w:firstLine="656"/>
        <w:spacing w:after="0" w:line="250" w:lineRule="auto"/>
        <w:tabs>
          <w:tab w:leader="none" w:pos="10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Issuing Bank or other Recipient to demand compensation pursuant to this Section shall not constitute a waiver of such Lender’s, Issuing Bank’s or such other Recipient’s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compensate a Lender, Issuing Bank or other Recipient pursuant to this Section for any increased costs or expenses incurred or reductions suffered more than 180 days prior to the date that such Lender, Issuing Bank or other Recipient, as the case may be, notifies the Company of the Change in Law or other circumstance giving rise to such increased costs or expenses or reductions and of such Lender’s, Issuing Bank’s or other Recipient’s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or other circumstance giving rise to such increased costs, expenses or reductions is retroactive, then the 180-day period referred to above shall be extended to include the period of retroactive effect thereof.</w:t>
      </w:r>
    </w:p>
    <w:p>
      <w:pPr>
        <w:spacing w:after="0" w:line="179" w:lineRule="exact"/>
        <w:rPr>
          <w:rFonts w:ascii="Times New Roman" w:cs="Times New Roman" w:eastAsia="Times New Roman" w:hAnsi="Times New Roman"/>
          <w:sz w:val="22"/>
          <w:szCs w:val="22"/>
          <w:color w:val="auto"/>
        </w:rPr>
      </w:pPr>
    </w:p>
    <w:p>
      <w:pPr>
        <w:jc w:val="both"/>
        <w:ind w:firstLine="656"/>
        <w:spacing w:after="0" w:line="261" w:lineRule="auto"/>
        <w:tabs>
          <w:tab w:leader="none" w:pos="118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determines that any Change in Law has made it unlawful, or that any Governmental Authority has asserted that it is unlawful, for such Lender or the applicable Lending Office of such Lender to make, maintain or fund any Term SOFR Loan, SONIA Loan or EURIBOR Loan or to charge interest with respect to any Loan, or to determine or charge interest rates, based upon the Term SOFR, SONIA or EURIBO Rate, or any Governmental Authority has imposed material restrictions on the authority of such Lender to purchase or sell, or to take deposits of, the applicable currency in the European interbank market, then, upon notice thereof by such Lender to the Company and the Administrative Agent, (i) any obligation of such Lender to make, maintain or fund any Term SOFR Loan, SONIA Loan or EURIBOR Loan, or to continue any Term SOFR Loan (if applicable, in such currency), SONIA Loan or EURIBOR Loan or convert any ABR Loan into a Term SOFR Loan, or to charge interest with respect to any Loan, or to determine or charge interest rates, based upon the Term SOFR, SONIA or EURIBO Rate, as the case may be, shall be suspended, and (ii) if such notice asserts the illegality of such Lender making or maintaining ABR Loans the interest rate on which is determined by reference to the Term SOFR component of the Alternate Base Rate, the interest rate on ABR Loans of such Lender shall, if necessary to avoid such illegality, be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 Administrative Agent without reference to the Term SOFR component of the Alternate Base Rate, in each case until such Lender notifies the Administrative Agent and the Company that the circumstances giving rise to such determination no longer exist. Upon receipt of such notice, (A) the applicable Borrowers shall, upon demand from such Lender (with a copy to the Administrative Agent) prepay Term SOFR Loans, SONIA Loans or EURIBOR Loans, as the case may be, of such Lender or, if applicable, convert all Term SOFR Loans of such Lender to ABR Loans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Term SOFR Loans or EURIBOR Loans to such day, or immediately, if such Lender may not lawfully continue to maintain such Term SOFR Loans or EURIBOR Loans and (B) if such notice asserts the illegality of such Lender determining or charging interest rates based upon the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applicable Borrower shall also pay accrued interest (together with any applicable amount required by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on the amount so prepaid or converted.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 In the event of (a) the payment of any principal of any Term SOFR Loan or EURIBOR Loan other than on the last day of an Interest Period applicable thereto (including as a result of an Event of Default),</w:t>
      </w:r>
    </w:p>
    <w:p>
      <w:pPr>
        <w:spacing w:after="0" w:line="2" w:lineRule="exact"/>
        <w:rPr>
          <w:sz w:val="20"/>
          <w:szCs w:val="20"/>
          <w:color w:val="auto"/>
        </w:rPr>
      </w:pPr>
    </w:p>
    <w:p>
      <w:pPr>
        <w:jc w:val="both"/>
        <w:ind w:firstLine="8"/>
        <w:spacing w:after="0" w:line="258" w:lineRule="auto"/>
        <w:tabs>
          <w:tab w:leader="none" w:pos="33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conversion of any Term SOFR Loan or EURIBOR Loan other than on the last day of the Interest Period applicable thereto, (c) the failure to borrow, convert or continue any Term SOFR Loan or EURIBOR Loan on the date specified in any notice delivered pursuant hereto (whether or not such notice may be revoked in accordance with the terms hereof), (d) the failure to prepay any Term SOFR Loan or EURIBOR Loan on a date specified therefor in any notice of prepayment given by the Company (whether or not such notice may be revoked in accordance with the terms hereof) or (e) the assignment of any Term SOFR Loan or EURIBOR Loan other than on the last day of the Interest Period applicable thereto as a result of a request by the Company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then, in any such event, the Company shall compensate each Lender for the loss, cost and expense (but not lost profits) attributable to such event (including, to the extent that any of foregoing Loans are denominated in any Alternative Currency, the loss, cost and expense (but not lost profits) of such Lender attributable to the premature unwinding of any hedging agreement entered into by such Lender in respect to the foreign currency exposure attributable to such Loan), within 30 days following request of such Lender (accompanied by a certificate described below in this Section). Such loss, cost or expense to any Lender shall be deemed to include an amount determined by such Lender to be the excess, if any, of (i) the amount of interest that would have accrued on the principal amount of such Loan had such event not occurred, at Term SOFR or the EURIBO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would bid if it were to bid, at the commencement of such period, for deposits in the applicable currency of a comparable amount and period from other banks in the London or European interbank market. A certificate of any Lender delivered to the Company and setting forth the basis for and, in reasonable detail (to the extent practicable), computation of any amount or amounts that such Lender is entitled to receive pursuant to this Section shall, subject to the proviso in the next following sentence, be conclusive absent manifest error. The Company shall pay such Lender the amount shown as due on any such certificate within 30 days after receipt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the Company objects in good faith to any payment demanded under this Section on or before the date such payment is due, then the Company and the applicable Lender shall enter into discussions to review the amount due and the Company’s obligation to pay such amount to such Lender shall be deferred for 60 days after the original due date thereof and (B) if the Company and such Lender do not otherwise reach agreement on the amount due during such 60 day period, the Company shall pay to such Lender at the end of such 60 day period the amount shown as due on the applicable certificate.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0" w:lineRule="auto"/>
        <w:tabs>
          <w:tab w:leader="none" w:pos="110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Borrowers</w:t>
      </w:r>
      <w:r>
        <w:rPr>
          <w:rFonts w:ascii="Times New Roman" w:cs="Times New Roman" w:eastAsia="Times New Roman" w:hAnsi="Times New Roman"/>
          <w:sz w:val="22"/>
          <w:szCs w:val="22"/>
          <w:color w:val="auto"/>
        </w:rPr>
        <w:t>. The Loan Parties shall timely pay to the relevant Governmental Authority in accordance with applicable law, or at the option of the Administrative Agent timely reimburse the Administrative Agent for the payment of, any Other Taxes.</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19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w:t>
      </w:r>
      <w:r>
        <w:rPr>
          <w:rFonts w:ascii="Times New Roman" w:cs="Times New Roman" w:eastAsia="Times New Roman" w:hAnsi="Times New Roman"/>
          <w:sz w:val="22"/>
          <w:szCs w:val="22"/>
          <w:color w:val="auto"/>
        </w:rPr>
        <w:t>. 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Borrowers</w:t>
      </w:r>
      <w:r>
        <w:rPr>
          <w:rFonts w:ascii="Times New Roman" w:cs="Times New Roman" w:eastAsia="Times New Roman" w:hAnsi="Times New Roman"/>
          <w:sz w:val="22"/>
          <w:szCs w:val="22"/>
          <w:color w:val="auto"/>
        </w:rPr>
        <w:t>.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2"/>
          <w:szCs w:val="22"/>
          <w:color w:val="auto"/>
        </w:rPr>
        <w:t>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76" w:lineRule="exact"/>
        <w:rPr>
          <w:sz w:val="20"/>
          <w:szCs w:val="20"/>
          <w:color w:val="auto"/>
        </w:rPr>
      </w:pPr>
    </w:p>
    <w:p>
      <w:pPr>
        <w:jc w:val="both"/>
        <w:ind w:firstLine="656"/>
        <w:spacing w:after="0" w:line="247" w:lineRule="auto"/>
        <w:tabs>
          <w:tab w:leader="none" w:pos="11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within 10 days after demand therefor (i) the Administrative Agent for any Indemnified Taxes attributable to such Lender (but only to the extent that any Loan Party has not already indemnified the Administrative Agent for such Indemnified Taxes and without limiting the obligation of the Loan Parties to do so), (ii) the Administrative Agent and the Loan Party as applicable, for any Taxes attributable to such Lender’s failure to comply with the provisions of </w:t>
      </w:r>
      <w:r>
        <w:rPr>
          <w:rFonts w:ascii="Times New Roman" w:cs="Times New Roman" w:eastAsia="Times New Roman" w:hAnsi="Times New Roman"/>
          <w:sz w:val="22"/>
          <w:szCs w:val="22"/>
          <w:u w:val="single" w:color="auto"/>
          <w:color w:val="auto"/>
        </w:rPr>
        <w:t>Section 10.04(c)(ii)</w:t>
      </w:r>
      <w:r>
        <w:rPr>
          <w:rFonts w:ascii="Times New Roman" w:cs="Times New Roman" w:eastAsia="Times New Roman" w:hAnsi="Times New Roman"/>
          <w:sz w:val="22"/>
          <w:szCs w:val="22"/>
          <w:color w:val="auto"/>
        </w:rPr>
        <w:t xml:space="preserve"> relating to the maintenance of a Participant Register and the obligation to notify the Borrower of any changes thereto, and (iii) any Excluded Taxes attributable to such Lender, in each case, that are payable or paid by the Administrative Agent or the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w:t>
      </w:r>
    </w:p>
    <w:p>
      <w:pPr>
        <w:spacing w:after="0" w:line="192" w:lineRule="exact"/>
        <w:rPr>
          <w:rFonts w:ascii="Times New Roman" w:cs="Times New Roman" w:eastAsia="Times New Roman" w:hAnsi="Times New Roman"/>
          <w:sz w:val="22"/>
          <w:szCs w:val="22"/>
          <w:color w:val="auto"/>
        </w:rPr>
      </w:pPr>
    </w:p>
    <w:p>
      <w:pPr>
        <w:jc w:val="both"/>
        <w:ind w:firstLine="656"/>
        <w:spacing w:after="0" w:line="248" w:lineRule="auto"/>
        <w:tabs>
          <w:tab w:leader="none" w:pos="10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xml:space="preserve">. (i) Any Lender that is entitled to an exemption from or reduction of withholding Tax with respect to payments made under any Loan Document (other than in respect of an advance to a UK Borrower, which shall be dealt with pursuant to Section 2.14(g))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and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2.14(f)(ii)(A)</w:t>
      </w:r>
      <w:r>
        <w:rPr>
          <w:rFonts w:ascii="Times New Roman" w:cs="Times New Roman" w:eastAsia="Times New Roman" w:hAnsi="Times New Roman"/>
          <w:sz w:val="22"/>
          <w:szCs w:val="22"/>
          <w:color w:val="auto"/>
        </w:rPr>
        <w:t>, (ii)(B) and (ii)(D) below) shall not be required if in the Lender’s reasonable judgment such completion, execution or submission would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75" w:name="page76"/>
    <w:bookmarkEnd w:id="75"/>
    <w:p>
      <w:pPr>
        <w:spacing w:after="0" w:line="271" w:lineRule="auto"/>
        <w:rPr>
          <w:sz w:val="20"/>
          <w:szCs w:val="20"/>
          <w:color w:val="auto"/>
        </w:rPr>
      </w:pPr>
      <w:r>
        <w:rPr>
          <w:rFonts w:ascii="Times New Roman" w:cs="Times New Roman" w:eastAsia="Times New Roman" w:hAnsi="Times New Roman"/>
          <w:sz w:val="22"/>
          <w:szCs w:val="22"/>
          <w:color w:val="auto"/>
        </w:rPr>
        <w:t>such Lender to any material unreimbursed cost or expense or would materially prejudice the legal or commercial position of such Lender.</w:t>
      </w:r>
    </w:p>
    <w:p>
      <w:pPr>
        <w:spacing w:after="0" w:line="158" w:lineRule="exact"/>
        <w:rPr>
          <w:sz w:val="20"/>
          <w:szCs w:val="20"/>
          <w:color w:val="auto"/>
        </w:rPr>
      </w:pPr>
    </w:p>
    <w:p>
      <w:pPr>
        <w:ind w:left="1780" w:hanging="476"/>
        <w:spacing w:after="0"/>
        <w:tabs>
          <w:tab w:leader="none" w:pos="17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applicable Borrower is a US Person:</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76" w:lineRule="exact"/>
        <w:rPr>
          <w:rFonts w:ascii="Times New Roman" w:cs="Times New Roman" w:eastAsia="Times New Roman" w:hAnsi="Times New Roman"/>
          <w:sz w:val="22"/>
          <w:szCs w:val="22"/>
          <w:color w:val="auto"/>
        </w:rPr>
      </w:pPr>
    </w:p>
    <w:p>
      <w:pPr>
        <w:jc w:val="both"/>
        <w:ind w:left="1960" w:firstLine="721"/>
        <w:spacing w:after="0" w:line="250" w:lineRule="auto"/>
        <w:tabs>
          <w:tab w:leader="none" w:pos="3226"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0" w:lineRule="exact"/>
        <w:rPr>
          <w:rFonts w:ascii="Times New Roman" w:cs="Times New Roman" w:eastAsia="Times New Roman" w:hAnsi="Times New Roman"/>
          <w:sz w:val="22"/>
          <w:szCs w:val="22"/>
          <w:color w:val="auto"/>
        </w:rPr>
      </w:pPr>
    </w:p>
    <w:p>
      <w:pPr>
        <w:ind w:left="3140" w:hanging="459"/>
        <w:spacing w:after="0"/>
        <w:tabs>
          <w:tab w:leader="none" w:pos="314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copies of IRS Form W-8ECI;</w:t>
      </w:r>
    </w:p>
    <w:p>
      <w:pPr>
        <w:spacing w:after="0" w:line="233" w:lineRule="exact"/>
        <w:rPr>
          <w:rFonts w:ascii="Times New Roman" w:cs="Times New Roman" w:eastAsia="Times New Roman" w:hAnsi="Times New Roman"/>
          <w:sz w:val="22"/>
          <w:szCs w:val="22"/>
          <w:color w:val="auto"/>
        </w:rPr>
      </w:pPr>
    </w:p>
    <w:p>
      <w:pPr>
        <w:jc w:val="both"/>
        <w:ind w:left="1960" w:firstLine="721"/>
        <w:spacing w:after="0" w:line="265" w:lineRule="auto"/>
        <w:tabs>
          <w:tab w:leader="none" w:pos="3199"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w:t>
      </w:r>
      <w:r>
        <w:rPr>
          <w:rFonts w:ascii="Times New Roman" w:cs="Times New Roman" w:eastAsia="Times New Roman" w:hAnsi="Times New Roman"/>
          <w:sz w:val="21"/>
          <w:szCs w:val="21"/>
          <w:u w:val="single" w:color="auto"/>
          <w:color w:val="auto"/>
        </w:rPr>
        <w:t>US Tax 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and (y) executed copies of IRS Form W-8BEN or IRS Form W-8BEN-E, as applicable; or</w:t>
      </w:r>
    </w:p>
    <w:p>
      <w:pPr>
        <w:spacing w:after="0" w:line="168" w:lineRule="exact"/>
        <w:rPr>
          <w:rFonts w:ascii="Times New Roman" w:cs="Times New Roman" w:eastAsia="Times New Roman" w:hAnsi="Times New Roman"/>
          <w:sz w:val="21"/>
          <w:szCs w:val="21"/>
          <w:color w:val="auto"/>
        </w:rPr>
      </w:pPr>
    </w:p>
    <w:p>
      <w:pPr>
        <w:ind w:left="1960" w:right="20" w:firstLine="721"/>
        <w:spacing w:after="0" w:line="271" w:lineRule="auto"/>
        <w:tabs>
          <w:tab w:leader="none" w:pos="3195"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W-8IMY, accompanied by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76" w:name="page77"/>
    <w:bookmarkEnd w:id="76"/>
    <w:p>
      <w:pPr>
        <w:jc w:val="both"/>
        <w:ind w:left="1960"/>
        <w:spacing w:after="0" w:line="251" w:lineRule="auto"/>
        <w:rPr>
          <w:sz w:val="20"/>
          <w:szCs w:val="20"/>
          <w:color w:val="auto"/>
        </w:rPr>
      </w:pPr>
      <w:r>
        <w:rPr>
          <w:rFonts w:ascii="Times New Roman" w:cs="Times New Roman" w:eastAsia="Times New Roman" w:hAnsi="Times New Roman"/>
          <w:sz w:val="22"/>
          <w:szCs w:val="22"/>
          <w:color w:val="auto"/>
        </w:rPr>
        <w:t xml:space="preserve">W-8ECI, IRS Form W-8BEN or IRS Form W-8BEN-E, as applicable,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81" w:lineRule="exact"/>
        <w:rPr>
          <w:sz w:val="20"/>
          <w:szCs w:val="20"/>
          <w:color w:val="auto"/>
        </w:rPr>
      </w:pPr>
    </w:p>
    <w:p>
      <w:pPr>
        <w:jc w:val="both"/>
        <w:ind w:left="1300" w:firstLine="652"/>
        <w:spacing w:after="0" w:line="263" w:lineRule="auto"/>
        <w:tabs>
          <w:tab w:leader="none" w:pos="24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2" w:lineRule="exact"/>
        <w:rPr>
          <w:rFonts w:ascii="Times New Roman" w:cs="Times New Roman" w:eastAsia="Times New Roman" w:hAnsi="Times New Roman"/>
          <w:sz w:val="21"/>
          <w:szCs w:val="21"/>
          <w:color w:val="auto"/>
        </w:rPr>
      </w:pPr>
    </w:p>
    <w:p>
      <w:pPr>
        <w:jc w:val="both"/>
        <w:ind w:left="1300" w:firstLine="652"/>
        <w:spacing w:after="0" w:line="248" w:lineRule="auto"/>
        <w:tabs>
          <w:tab w:leader="none" w:pos="265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20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applicable Borrower and the Administrative Agent in writing of its legal inability to do so.</w:t>
      </w:r>
    </w:p>
    <w:p>
      <w:pPr>
        <w:spacing w:after="0" w:line="173" w:lineRule="exact"/>
        <w:rPr>
          <w:sz w:val="20"/>
          <w:szCs w:val="20"/>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UK Tax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2.14(g)(ii), in respect of an advance to a UK Borrower a UK Treaty Lender and each Loan Party which makes a payment to which that UK Treaty Lender is entitled shall co-operate in completing any procedural formalities necessary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77" w:name="page78"/>
    <w:bookmarkEnd w:id="77"/>
    <w:p>
      <w:pPr>
        <w:spacing w:after="0" w:line="271" w:lineRule="auto"/>
        <w:rPr>
          <w:sz w:val="20"/>
          <w:szCs w:val="20"/>
          <w:color w:val="auto"/>
        </w:rPr>
      </w:pPr>
      <w:r>
        <w:rPr>
          <w:rFonts w:ascii="Times New Roman" w:cs="Times New Roman" w:eastAsia="Times New Roman" w:hAnsi="Times New Roman"/>
          <w:sz w:val="22"/>
          <w:szCs w:val="22"/>
          <w:color w:val="auto"/>
        </w:rPr>
        <w:t>that Loan Party to obtain authorization to make that payment without a withholding for or on account of UK Tax and to maintain that authorization where an authorization expires or otherwise ceases to have effect.</w:t>
      </w:r>
    </w:p>
    <w:p>
      <w:pPr>
        <w:spacing w:after="0" w:line="158" w:lineRule="exact"/>
        <w:rPr>
          <w:sz w:val="20"/>
          <w:szCs w:val="20"/>
          <w:color w:val="auto"/>
        </w:rPr>
      </w:pPr>
    </w:p>
    <w:p>
      <w:pPr>
        <w:jc w:val="both"/>
        <w:ind w:firstLine="644"/>
        <w:spacing w:after="0" w:line="256" w:lineRule="auto"/>
        <w:tabs>
          <w:tab w:leader="none" w:pos="113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in respect of an advance to a UK Borrower is a UK Treaty Lender and holds a passport under the HMRC DTTP Scheme, it shall confirm its HMRC DTTP Scheme reference number and jurisdiction of tax residence in writing to the relevant Loan Party and, having done so, that Lender shall be under no obligation pursuant to Section 2.14(g)(i).</w:t>
      </w:r>
    </w:p>
    <w:p>
      <w:pPr>
        <w:spacing w:after="0" w:line="176" w:lineRule="exact"/>
        <w:rPr>
          <w:rFonts w:ascii="Times New Roman" w:cs="Times New Roman" w:eastAsia="Times New Roman" w:hAnsi="Times New Roman"/>
          <w:sz w:val="22"/>
          <w:szCs w:val="22"/>
          <w:color w:val="auto"/>
        </w:rPr>
      </w:pPr>
    </w:p>
    <w:p>
      <w:pPr>
        <w:ind w:right="20" w:firstLine="644"/>
        <w:spacing w:after="0" w:line="271" w:lineRule="auto"/>
        <w:tabs>
          <w:tab w:leader="none" w:pos="12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in respect of an advance to a UK Borrower has confirmed its HMRC DTTP Scheme reference number and its jurisdiction of tax residence in accordance with Section 2.14(g)(ii) and:</w:t>
      </w:r>
    </w:p>
    <w:p>
      <w:pPr>
        <w:spacing w:after="0" w:line="171"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UK Borrower has not made a Borrower DTTP Filing in respect of that Lender; or</w:t>
      </w:r>
    </w:p>
    <w:p>
      <w:pPr>
        <w:spacing w:after="0" w:line="219"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UK Borrower has made a Borrower DTTP Filing in respect of that Lender but:</w:t>
      </w:r>
    </w:p>
    <w:p>
      <w:pPr>
        <w:spacing w:after="0" w:line="219" w:lineRule="exact"/>
        <w:rPr>
          <w:rFonts w:ascii="Times New Roman" w:cs="Times New Roman" w:eastAsia="Times New Roman" w:hAnsi="Times New Roman"/>
          <w:sz w:val="22"/>
          <w:szCs w:val="22"/>
          <w:color w:val="auto"/>
        </w:rPr>
      </w:pPr>
    </w:p>
    <w:p>
      <w:pPr>
        <w:ind w:left="2480" w:hanging="459"/>
        <w:spacing w:after="0"/>
        <w:tabs>
          <w:tab w:leader="none" w:pos="248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Borrower DTTP Filing has been rejected by HMRC;</w:t>
      </w:r>
    </w:p>
    <w:p>
      <w:pPr>
        <w:spacing w:after="0" w:line="219" w:lineRule="exact"/>
        <w:rPr>
          <w:rFonts w:ascii="Times New Roman" w:cs="Times New Roman" w:eastAsia="Times New Roman" w:hAnsi="Times New Roman"/>
          <w:sz w:val="22"/>
          <w:szCs w:val="22"/>
          <w:color w:val="auto"/>
        </w:rPr>
      </w:pPr>
    </w:p>
    <w:p>
      <w:pPr>
        <w:jc w:val="both"/>
        <w:ind w:left="1300" w:firstLine="721"/>
        <w:spacing w:after="0" w:line="295" w:lineRule="auto"/>
        <w:tabs>
          <w:tab w:leader="none" w:pos="2542"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HMRC has not given the relevant UK Borrower authority to make payments to that Lender without a withholding for or on account of UK Tax within 60 days of the date of Borrower DTTP Filing; or</w:t>
      </w:r>
    </w:p>
    <w:p>
      <w:pPr>
        <w:spacing w:after="0" w:line="135" w:lineRule="exact"/>
        <w:rPr>
          <w:rFonts w:ascii="Times New Roman" w:cs="Times New Roman" w:eastAsia="Times New Roman" w:hAnsi="Times New Roman"/>
          <w:sz w:val="21"/>
          <w:szCs w:val="21"/>
          <w:color w:val="auto"/>
        </w:rPr>
      </w:pPr>
    </w:p>
    <w:p>
      <w:pPr>
        <w:jc w:val="both"/>
        <w:ind w:left="1300" w:firstLine="721"/>
        <w:spacing w:after="0" w:line="263" w:lineRule="auto"/>
        <w:tabs>
          <w:tab w:leader="none" w:pos="262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HMRC has given the relevant UK Borrower authority to make payments to that Lender without a withholding for or on account of UK Tax but such authority has subsequently been revoked or expired,</w:t>
      </w:r>
    </w:p>
    <w:p>
      <w:pPr>
        <w:spacing w:after="0" w:line="167" w:lineRule="exact"/>
        <w:rPr>
          <w:sz w:val="20"/>
          <w:szCs w:val="20"/>
          <w:color w:val="auto"/>
        </w:rPr>
      </w:pPr>
    </w:p>
    <w:p>
      <w:pPr>
        <w:jc w:val="both"/>
        <w:ind w:left="1940"/>
        <w:spacing w:after="0" w:line="256" w:lineRule="auto"/>
        <w:rPr>
          <w:sz w:val="20"/>
          <w:szCs w:val="20"/>
          <w:color w:val="auto"/>
        </w:rPr>
      </w:pPr>
      <w:r>
        <w:rPr>
          <w:rFonts w:ascii="Times New Roman" w:cs="Times New Roman" w:eastAsia="Times New Roman" w:hAnsi="Times New Roman"/>
          <w:sz w:val="22"/>
          <w:szCs w:val="22"/>
          <w:color w:val="auto"/>
        </w:rPr>
        <w:t>and in each case, the relevant UK Borrower has notified that Lender in writing, that Lender and the relevant UK Borrower shall co-operate in completing any additional procedural formalities necessary for that UK Borrower to obtain authorization to make that payment without a withholding for or on account of UK Tax.</w:t>
      </w:r>
    </w:p>
    <w:p>
      <w:pPr>
        <w:spacing w:after="0" w:line="176" w:lineRule="exact"/>
        <w:rPr>
          <w:sz w:val="20"/>
          <w:szCs w:val="20"/>
          <w:color w:val="auto"/>
        </w:rPr>
      </w:pPr>
    </w:p>
    <w:p>
      <w:pPr>
        <w:jc w:val="both"/>
        <w:ind w:firstLine="644"/>
        <w:spacing w:after="0" w:line="252" w:lineRule="auto"/>
        <w:tabs>
          <w:tab w:leader="none" w:pos="13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in respect of an advance to a UK Borrower has not confirmed its HMRC DTTP Scheme reference number and jurisdiction of tax residence in accordance with Section 2.14(g)(ii), no Loan Party shall make a Borrower DTTP Filing or file any other form relating to the HMRC DTTP Scheme in respect of that Lender's Commitment(s) unless the Lender otherwise agrees.</w:t>
      </w:r>
    </w:p>
    <w:p>
      <w:pPr>
        <w:spacing w:after="0" w:line="192" w:lineRule="exact"/>
        <w:rPr>
          <w:rFonts w:ascii="Times New Roman" w:cs="Times New Roman" w:eastAsia="Times New Roman" w:hAnsi="Times New Roman"/>
          <w:sz w:val="22"/>
          <w:szCs w:val="22"/>
          <w:color w:val="auto"/>
        </w:rPr>
      </w:pPr>
    </w:p>
    <w:p>
      <w:pPr>
        <w:ind w:firstLine="644"/>
        <w:spacing w:after="0" w:line="271" w:lineRule="auto"/>
        <w:tabs>
          <w:tab w:leader="none" w:pos="112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UK Borrower shall, promptly on making a Borrower DTTP Filing, deliver a copy of that Borrower DTTP Filing to the Administrative Agent for delivery to the relevant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580"/>
          </w:cols>
          <w:pgMar w:left="980" w:top="1422" w:right="339" w:bottom="1440" w:gutter="0" w:footer="0" w:header="0"/>
        </w:sectPr>
      </w:pPr>
    </w:p>
    <w:bookmarkStart w:id="78" w:name="page79"/>
    <w:bookmarkEnd w:id="78"/>
    <w:p>
      <w:pPr>
        <w:jc w:val="both"/>
        <w:ind w:left="4" w:firstLine="644"/>
        <w:spacing w:after="0" w:line="251" w:lineRule="auto"/>
        <w:tabs>
          <w:tab w:leader="none" w:pos="116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in respect of an advance to a UK Borrower which indicates on the date of this Agreement that with respect to an advance to a UK Borrower it is a UK Non-Bank Lender gives a UK Tax Confirmation by entering into this Agreement. A Lender in respect of an advance to a UK Borrower which indicates on becoming a party to this Agreement after the date of this Agreement in the documentation which it executes on becoming a party hereto that with respect to an advance to a UK Borrower it is a UK Non-Bank Lender, gives a UK Tax Confirmation by entering into that documentation.</w:t>
      </w:r>
    </w:p>
    <w:p>
      <w:pPr>
        <w:spacing w:after="0" w:line="181"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4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UK Non-Bank Lender in respect of an advance to a UK Borrower shall promptly notify the Administrative Agent if there is any change in the position from that set out in a UK Tax Confirmation previously given by it.</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30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in respect of an advance to a UK Borrower which becomes a party to this Agreement after the date of this Agreement shall indicate in the documentation which it executes on becoming a party hereto, in each case for the benefit of the Administrative Agent and without liability to the UK Borrower, which of the following categories it falls into:</w:t>
      </w:r>
    </w:p>
    <w:p>
      <w:pPr>
        <w:spacing w:after="0" w:line="179" w:lineRule="exact"/>
        <w:rPr>
          <w:rFonts w:ascii="Times New Roman" w:cs="Times New Roman" w:eastAsia="Times New Roman" w:hAnsi="Times New Roman"/>
          <w:sz w:val="22"/>
          <w:szCs w:val="22"/>
          <w:color w:val="auto"/>
        </w:rPr>
      </w:pPr>
    </w:p>
    <w:p>
      <w:pPr>
        <w:ind w:left="1804" w:hanging="508"/>
        <w:spacing w:after="0"/>
        <w:tabs>
          <w:tab w:leader="none" w:pos="1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 UK Qualifying Lender;</w:t>
      </w:r>
    </w:p>
    <w:p>
      <w:pPr>
        <w:spacing w:after="0" w:line="233" w:lineRule="exact"/>
        <w:rPr>
          <w:rFonts w:ascii="Times New Roman" w:cs="Times New Roman" w:eastAsia="Times New Roman" w:hAnsi="Times New Roman"/>
          <w:sz w:val="22"/>
          <w:szCs w:val="22"/>
          <w:color w:val="auto"/>
        </w:rPr>
      </w:pPr>
    </w:p>
    <w:p>
      <w:pPr>
        <w:ind w:left="1804" w:hanging="508"/>
        <w:spacing w:after="0"/>
        <w:tabs>
          <w:tab w:leader="none" w:pos="1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UK Qualifying Lender (other than a UK Non-Bank Lender or a UK Treaty Lender);</w:t>
      </w:r>
    </w:p>
    <w:p>
      <w:pPr>
        <w:spacing w:after="0" w:line="219" w:lineRule="exact"/>
        <w:rPr>
          <w:rFonts w:ascii="Times New Roman" w:cs="Times New Roman" w:eastAsia="Times New Roman" w:hAnsi="Times New Roman"/>
          <w:sz w:val="22"/>
          <w:szCs w:val="22"/>
          <w:color w:val="auto"/>
        </w:rPr>
      </w:pPr>
    </w:p>
    <w:p>
      <w:pPr>
        <w:ind w:left="1804" w:hanging="508"/>
        <w:spacing w:after="0"/>
        <w:tabs>
          <w:tab w:leader="none" w:pos="1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UK Non-Bank Lender; or</w:t>
      </w:r>
    </w:p>
    <w:p>
      <w:pPr>
        <w:spacing w:after="0" w:line="219" w:lineRule="exact"/>
        <w:rPr>
          <w:rFonts w:ascii="Times New Roman" w:cs="Times New Roman" w:eastAsia="Times New Roman" w:hAnsi="Times New Roman"/>
          <w:sz w:val="22"/>
          <w:szCs w:val="22"/>
          <w:color w:val="auto"/>
        </w:rPr>
      </w:pPr>
    </w:p>
    <w:p>
      <w:pPr>
        <w:ind w:left="1804" w:hanging="508"/>
        <w:spacing w:after="0"/>
        <w:tabs>
          <w:tab w:leader="none" w:pos="1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UK Treaty Lender.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72" w:lineRule="auto"/>
        <w:tabs>
          <w:tab w:leader="none" w:pos="119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Lender in respect of an advance to a UK Borrower fails to indicate its status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2.14(g)(viii)</w:t>
      </w:r>
      <w:r>
        <w:rPr>
          <w:rFonts w:ascii="Times New Roman" w:cs="Times New Roman" w:eastAsia="Times New Roman" w:hAnsi="Times New Roman"/>
          <w:sz w:val="21"/>
          <w:szCs w:val="21"/>
          <w:color w:val="auto"/>
        </w:rPr>
        <w:t xml:space="preserve"> then such Lender shall be treated for the purposes of this Agreement by the Administrative Agent and each Loan Party as if it is not a UK Qualifying Lender until such time as it notifies the Administrative Agent which category applies (and the Administrative Agent upon receipt of such notification shall promptly inform the relevant Loan Parties).</w:t>
      </w:r>
    </w:p>
    <w:p>
      <w:pPr>
        <w:spacing w:after="0" w:line="160" w:lineRule="exact"/>
        <w:rPr>
          <w:rFonts w:ascii="Times New Roman" w:cs="Times New Roman" w:eastAsia="Times New Roman" w:hAnsi="Times New Roman"/>
          <w:sz w:val="21"/>
          <w:szCs w:val="21"/>
          <w:color w:val="auto"/>
        </w:rPr>
      </w:pPr>
    </w:p>
    <w:p>
      <w:pPr>
        <w:jc w:val="both"/>
        <w:ind w:left="4" w:firstLine="644"/>
        <w:spacing w:after="0" w:line="257" w:lineRule="auto"/>
        <w:tabs>
          <w:tab w:leader="none" w:pos="121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shall promptly notify any UK Borrower and the Administrative Agent if it ceases to be a UK Qualifying Lender or if it becomes a UK Non-Bank Lender (in which case it shall promptly provide a UK Tax Confirmation or shall not be treated as a UK Qualifying Lender until it has done so) or a UK Treaty Lender.</w:t>
      </w:r>
    </w:p>
    <w:p>
      <w:pPr>
        <w:spacing w:after="0" w:line="186" w:lineRule="exact"/>
        <w:rPr>
          <w:sz w:val="20"/>
          <w:szCs w:val="20"/>
          <w:color w:val="auto"/>
        </w:rPr>
      </w:pPr>
    </w:p>
    <w:p>
      <w:pPr>
        <w:ind w:left="464" w:hanging="464"/>
        <w:spacing w:after="0"/>
        <w:tabs>
          <w:tab w:leader="none" w:pos="4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Irish Tax Matters.</w:t>
      </w:r>
    </w:p>
    <w:p>
      <w:pPr>
        <w:spacing w:after="0" w:line="22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2.14(f)</w:t>
      </w:r>
      <w:r>
        <w:rPr>
          <w:rFonts w:ascii="Times New Roman" w:cs="Times New Roman" w:eastAsia="Times New Roman" w:hAnsi="Times New Roman"/>
          <w:sz w:val="22"/>
          <w:szCs w:val="22"/>
          <w:color w:val="auto"/>
        </w:rPr>
        <w:t>, in respect of an advance to an Irish Borrower:</w:t>
      </w:r>
    </w:p>
    <w:p>
      <w:pPr>
        <w:spacing w:after="0" w:line="220" w:lineRule="exact"/>
        <w:rPr>
          <w:sz w:val="20"/>
          <w:szCs w:val="20"/>
          <w:color w:val="auto"/>
        </w:rPr>
      </w:pPr>
    </w:p>
    <w:p>
      <w:pPr>
        <w:jc w:val="both"/>
        <w:ind w:left="644" w:firstLine="652"/>
        <w:spacing w:after="0" w:line="257" w:lineRule="auto"/>
        <w:tabs>
          <w:tab w:leader="none" w:pos="181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which becomes a party to this Agreement after the date of this Agreement shall indicate in the documentation which it executes on becoming a party hereto, in each case for the benefit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0584"/>
          </w:cols>
          <w:pgMar w:left="976" w:top="1422"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22"/>
          <w:szCs w:val="22"/>
          <w:color w:val="auto"/>
        </w:rPr>
        <w:t>and without liability to the Irish Borrower, which of the following categories it falls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-13970</wp:posOffset>
            </wp:positionV>
            <wp:extent cx="34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left="3140" w:hanging="459"/>
        <w:spacing w:after="0"/>
        <w:tabs>
          <w:tab w:leader="none" w:pos="31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an Irish Qualifying Lender;</w:t>
      </w:r>
    </w:p>
    <w:p>
      <w:pPr>
        <w:spacing w:after="0" w:line="219" w:lineRule="exact"/>
        <w:rPr>
          <w:rFonts w:ascii="Times New Roman" w:cs="Times New Roman" w:eastAsia="Times New Roman" w:hAnsi="Times New Roman"/>
          <w:sz w:val="22"/>
          <w:szCs w:val="22"/>
          <w:color w:val="auto"/>
        </w:rPr>
      </w:pPr>
    </w:p>
    <w:p>
      <w:pPr>
        <w:ind w:left="3140" w:hanging="459"/>
        <w:spacing w:after="0"/>
        <w:tabs>
          <w:tab w:leader="none" w:pos="31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Irish Qualifying Lender (other than an Irish Treaty Lender); or</w:t>
      </w:r>
    </w:p>
    <w:p>
      <w:pPr>
        <w:spacing w:after="0" w:line="233" w:lineRule="exact"/>
        <w:rPr>
          <w:rFonts w:ascii="Times New Roman" w:cs="Times New Roman" w:eastAsia="Times New Roman" w:hAnsi="Times New Roman"/>
          <w:sz w:val="22"/>
          <w:szCs w:val="22"/>
          <w:color w:val="auto"/>
        </w:rPr>
      </w:pPr>
    </w:p>
    <w:p>
      <w:pPr>
        <w:ind w:left="3140" w:hanging="459"/>
        <w:spacing w:after="0"/>
        <w:tabs>
          <w:tab w:leader="none" w:pos="31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Irish Treaty Lender.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5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fails to indicate its status in accordance with Section 2.14(h)(A) then such Lender shall be treated for the purposes of this Agreement by the Administrative Agent and each Loan Party as if it is not an Irish Qualifying Lender until such time as it notifies the Administrative Agent which category applies (and the Administrative Agent upon receipt of such notification shall promptly inform the relevant Loan Parties).</w:t>
      </w:r>
    </w:p>
    <w:p>
      <w:pPr>
        <w:spacing w:after="0" w:line="192" w:lineRule="exact"/>
        <w:rPr>
          <w:rFonts w:ascii="Times New Roman" w:cs="Times New Roman" w:eastAsia="Times New Roman" w:hAnsi="Times New Roman"/>
          <w:sz w:val="22"/>
          <w:szCs w:val="22"/>
          <w:color w:val="auto"/>
        </w:rPr>
      </w:pPr>
    </w:p>
    <w:p>
      <w:pPr>
        <w:ind w:left="1300" w:firstLine="652"/>
        <w:spacing w:after="0" w:line="271" w:lineRule="auto"/>
        <w:tabs>
          <w:tab w:leader="none" w:pos="246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shall promptly notify the Irish Borrower and the Administrative Agent if it ceases to be an Irish Qualifying Lender.</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6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upon reasonable written request from an Irish Borrower, provide such information as is necessary to enable such Irish Borrower to comply with the provisions of Sections 891A, 891E, 891F and 891G TCA (and any regulations made thereunder).</w:t>
      </w:r>
    </w:p>
    <w:p>
      <w:pPr>
        <w:spacing w:after="0" w:line="172" w:lineRule="exact"/>
        <w:rPr>
          <w:rFonts w:ascii="Times New Roman" w:cs="Times New Roman" w:eastAsia="Times New Roman" w:hAnsi="Times New Roman"/>
          <w:sz w:val="22"/>
          <w:szCs w:val="22"/>
          <w:color w:val="auto"/>
        </w:rPr>
      </w:pPr>
    </w:p>
    <w:p>
      <w:pPr>
        <w:jc w:val="both"/>
        <w:ind w:left="1300" w:right="20" w:firstLine="652"/>
        <w:spacing w:after="0" w:line="263" w:lineRule="auto"/>
        <w:tabs>
          <w:tab w:leader="none" w:pos="252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is an Irish Qualifying Lender solely on account of being an Irish Treaty Lender shall co-operate in completing any procedural formalities necessary for that Lender or Participant to obtain authorization to make that payment without any deduction or withholding of any Tax imposed by Ireland.</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promptly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22"/>
          <w:szCs w:val="22"/>
          <w:color w:val="auto"/>
        </w:rPr>
        <w:t>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6" w:lineRule="exact"/>
        <w:rPr>
          <w:sz w:val="20"/>
          <w:szCs w:val="20"/>
          <w:color w:val="auto"/>
        </w:rPr>
      </w:pPr>
    </w:p>
    <w:p>
      <w:pPr>
        <w:ind w:left="1140" w:hanging="484"/>
        <w:spacing w:after="0"/>
        <w:tabs>
          <w:tab w:leader="none" w:pos="11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the term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includes any Issuing Bank and the term “applicable law” includes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FATCA.</w:t>
      </w:r>
    </w:p>
    <w:p>
      <w:pPr>
        <w:spacing w:after="0" w:line="19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2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set out or expressed in a Loan Document to be payable by any party to any Lender(s) and/or any Agent(s) (a “</w:t>
      </w:r>
      <w:r>
        <w:rPr>
          <w:rFonts w:ascii="Times New Roman" w:cs="Times New Roman" w:eastAsia="Times New Roman" w:hAnsi="Times New Roman"/>
          <w:sz w:val="22"/>
          <w:szCs w:val="22"/>
          <w:u w:val="single" w:color="auto"/>
          <w:color w:val="auto"/>
        </w:rPr>
        <w:t>Finance Party</w:t>
      </w:r>
      <w:r>
        <w:rPr>
          <w:rFonts w:ascii="Times New Roman" w:cs="Times New Roman" w:eastAsia="Times New Roman" w:hAnsi="Times New Roman"/>
          <w:sz w:val="22"/>
          <w:szCs w:val="22"/>
          <w:color w:val="auto"/>
        </w:rPr>
        <w:t>”) which (in whole or in part) constitute the consideration for a supply or supplies for VAT purposes shall be deemed to be exclusive of any VAT which is chargeable on such supply or supplies, and accordingly, subject to clause (ii) below, if VAT is or becomes chargeable on any supply made by any Finance Party to any party under a Loan Document and that Finance Party is required to account to the relevant tax authority for the VAT,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6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VAT is or becomes chargeable on any supply made by any Finance Party (the “</w:t>
      </w:r>
      <w:r>
        <w:rPr>
          <w:rFonts w:ascii="Times New Roman" w:cs="Times New Roman" w:eastAsia="Times New Roman" w:hAnsi="Times New Roman"/>
          <w:sz w:val="22"/>
          <w:szCs w:val="22"/>
          <w:u w:val="single" w:color="auto"/>
          <w:color w:val="auto"/>
        </w:rPr>
        <w:t>Supplier</w:t>
      </w:r>
      <w:r>
        <w:rPr>
          <w:rFonts w:ascii="Times New Roman" w:cs="Times New Roman" w:eastAsia="Times New Roman" w:hAnsi="Times New Roman"/>
          <w:sz w:val="22"/>
          <w:szCs w:val="22"/>
          <w:color w:val="auto"/>
        </w:rPr>
        <w:t>”) to any other Finance Party (the “Receiving Finance Party”) under a Loan Document, and any party other than the Receiving Finance Party (the “</w:t>
      </w:r>
      <w:r>
        <w:rPr>
          <w:rFonts w:ascii="Times New Roman" w:cs="Times New Roman" w:eastAsia="Times New Roman" w:hAnsi="Times New Roman"/>
          <w:sz w:val="22"/>
          <w:szCs w:val="22"/>
          <w:u w:val="single" w:color="auto"/>
          <w:color w:val="auto"/>
        </w:rPr>
        <w:t>Subject Party</w:t>
      </w:r>
      <w:r>
        <w:rPr>
          <w:rFonts w:ascii="Times New Roman" w:cs="Times New Roman" w:eastAsia="Times New Roman" w:hAnsi="Times New Roman"/>
          <w:sz w:val="22"/>
          <w:szCs w:val="22"/>
          <w:color w:val="auto"/>
        </w:rPr>
        <w:t>”) is required by the terms of any Loan Document to pay an amount equal to the consideration for such supply to the Supplier (rather than being required to reimburse the Receiving Finance Party in respect of that consideration), (a) (where the Supplier is the person required to account to the relevant tax authority for the VAT) the Subject Party must also pay to the Supplier (at the same time as paying that amount) an additional amount equal to the amount of the VAT. The Receiving Finance Party must (where this clause (ii) applies) promptly pay to the Subject Party an amount equal to any credit or repayment the Receiving Finance Party receives from the relevant tax authority which the Receiving Finance Party reasonably determines relates to the VAT chargeable on that supply; and (b) (where the Receiving Finance Party is the person required to account to the relevant tax authority for the VAT) the Subject Party must promptly, following demand from the Receiving Finance Party, pay to the Receiving Finance Party an amount equal to the VAT chargeable on that supply but only to the extent that the Receiving Finance Party reasonably determines that it is not entitled to credit or repayment from the relevant tax authority in respect of that VAT.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Loan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2"/>
          <w:szCs w:val="22"/>
          <w:color w:val="auto"/>
        </w:rPr>
        <w:t>reasonably determines that it is entitled to credit or repayment in respect of such VAT from the relevant tax authority.</w:t>
      </w:r>
    </w:p>
    <w:p>
      <w:pPr>
        <w:spacing w:after="0" w:line="220" w:lineRule="exact"/>
        <w:rPr>
          <w:sz w:val="20"/>
          <w:szCs w:val="20"/>
          <w:color w:val="auto"/>
        </w:rPr>
      </w:pPr>
    </w:p>
    <w:p>
      <w:pPr>
        <w:jc w:val="both"/>
        <w:ind w:left="660" w:firstLine="644"/>
        <w:spacing w:after="0" w:line="250" w:lineRule="auto"/>
        <w:tabs>
          <w:tab w:leader="none" w:pos="18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reference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(j)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including but not limited to the VATCA) or any other similar provision in any jurisdiction which is not a member state of the European Union including but not limited to the VATA)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supply made by a Lender to any party under a Loan Document, if reasonably requested by such Lender, that party must promptly provide such Lender with details of that party’s VAT registration and such other information as is reasonably requested in connection with such Lender’s VAT reporting requirements in relation to such supply.</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 xml:space="preserve">. (a) Each Borrower shall make each payment required to be made by it hereunder or under any other Loan Document prior to the time required hereunder or under such other Loan Document for such payment (or, if no such time is expressly required, prior to 1:00 p.m., Local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such account as may be specified by the Administrative Agent, except payments to be made directly to any Issuing Bank or the Swingline Lender shall be so made and except that payments pursuant to </w:t>
      </w:r>
      <w:r>
        <w:rPr>
          <w:rFonts w:ascii="Times New Roman" w:cs="Times New Roman" w:eastAsia="Times New Roman" w:hAnsi="Times New Roman"/>
          <w:sz w:val="21"/>
          <w:szCs w:val="21"/>
          <w:u w:val="single" w:color="auto"/>
          <w:color w:val="auto"/>
        </w:rPr>
        <w:t>Sections 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10.17</w:t>
      </w:r>
      <w:r>
        <w:rPr>
          <w:rFonts w:ascii="Times New Roman" w:cs="Times New Roman" w:eastAsia="Times New Roman" w:hAnsi="Times New Roman"/>
          <w:sz w:val="21"/>
          <w:szCs w:val="21"/>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US Dollars. Any payment required to be made by the Administrative Agent hereunder shall be deemed to have been made by the time required if the Administrative Agent shall, at or before such time, have taken the necessary steps to make such payment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82" w:name="page83"/>
    <w:bookmarkEnd w:id="82"/>
    <w:p>
      <w:pPr>
        <w:spacing w:after="0" w:line="271" w:lineRule="auto"/>
        <w:rPr>
          <w:sz w:val="20"/>
          <w:szCs w:val="20"/>
          <w:color w:val="auto"/>
        </w:rPr>
      </w:pPr>
      <w:r>
        <w:rPr>
          <w:rFonts w:ascii="Times New Roman" w:cs="Times New Roman" w:eastAsia="Times New Roman" w:hAnsi="Times New Roman"/>
          <w:sz w:val="22"/>
          <w:szCs w:val="22"/>
          <w:color w:val="auto"/>
        </w:rPr>
        <w:t>accordance with the regulations or operating procedures of the clearing or settlement system used by the Administrative Agent to make such payment.</w:t>
      </w:r>
    </w:p>
    <w:p>
      <w:pPr>
        <w:spacing w:after="0" w:line="158" w:lineRule="exact"/>
        <w:rPr>
          <w:sz w:val="20"/>
          <w:szCs w:val="20"/>
          <w:color w:val="auto"/>
        </w:rPr>
      </w:pPr>
    </w:p>
    <w:p>
      <w:pPr>
        <w:jc w:val="both"/>
        <w:ind w:firstLine="656"/>
        <w:spacing w:after="0" w:line="256" w:lineRule="auto"/>
        <w:tabs>
          <w:tab w:leader="none" w:pos="11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unreimbursed LC Disbursements, interest and fees then due hereunder, such funds shall be applied towards payment of the amounts then due hereunder ratably among the parties entitled thereto, in accordance with the amounts then due to such parties.</w:t>
      </w:r>
    </w:p>
    <w:p>
      <w:pPr>
        <w:spacing w:after="0" w:line="176" w:lineRule="exact"/>
        <w:rPr>
          <w:rFonts w:ascii="Times New Roman" w:cs="Times New Roman" w:eastAsia="Times New Roman" w:hAnsi="Times New Roman"/>
          <w:sz w:val="22"/>
          <w:szCs w:val="22"/>
          <w:color w:val="auto"/>
        </w:rPr>
      </w:pPr>
    </w:p>
    <w:p>
      <w:pPr>
        <w:jc w:val="both"/>
        <w:ind w:firstLine="656"/>
        <w:spacing w:after="0" w:line="260" w:lineRule="auto"/>
        <w:tabs>
          <w:tab w:leader="none" w:pos="112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or participations in LC Disbursements and accrued interest thereon than the proportion received by any other Lender, then the Lender receiving such greater proportion shall notify the Administrative Agent of such fact and shall purchase (for cash at face value) participations in the Loans and participations in LC Disbursements of other Lenders to the extent necessary so that the amount of all such payments shall be shared by the Lenders ratably in accordance with the aggregate amounts of principal of and accrued interest on their Loans and participations in LC Disbursements;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(as in effect from time to time) or any payment obtained by a Lender as consideration for the assignment of or sale of a participation in any of its Loans or participations in LC Disbursements to any Person that is an Eligible Assignee (as such term is defined herein from time to time). Each Borrower consents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74" w:lineRule="exact"/>
        <w:rPr>
          <w:rFonts w:ascii="Times New Roman" w:cs="Times New Roman" w:eastAsia="Times New Roman" w:hAnsi="Times New Roman"/>
          <w:sz w:val="21"/>
          <w:szCs w:val="21"/>
          <w:color w:val="auto"/>
        </w:rPr>
      </w:pPr>
    </w:p>
    <w:p>
      <w:pPr>
        <w:jc w:val="both"/>
        <w:ind w:firstLine="656"/>
        <w:spacing w:after="0" w:line="249" w:lineRule="auto"/>
        <w:tabs>
          <w:tab w:leader="none" w:pos="112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applicable Lenders or Issuing Banks, as the case may be, the amount due. In such event, if such Borrower has not in fact made such payment, then each of the applicable Lenders or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(i) if such amount is denominated in US Dollars, the greater of the Federal Funds Rate and a rate determined by the Administrative Agent in accordance with banking industry rules on interbank compensation and (ii) if such amount is denominated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83" w:name="page84"/>
    <w:bookmarkEnd w:id="83"/>
    <w:p>
      <w:pPr>
        <w:spacing w:after="0" w:line="271" w:lineRule="auto"/>
        <w:rPr>
          <w:sz w:val="20"/>
          <w:szCs w:val="20"/>
          <w:color w:val="auto"/>
        </w:rPr>
      </w:pPr>
      <w:r>
        <w:rPr>
          <w:rFonts w:ascii="Times New Roman" w:cs="Times New Roman" w:eastAsia="Times New Roman" w:hAnsi="Times New Roman"/>
          <w:sz w:val="22"/>
          <w:szCs w:val="22"/>
          <w:color w:val="auto"/>
        </w:rPr>
        <w:t>other currency, a rate determined by the Administrative Agent in accordance with banking industry rules on interbank compensation.</w:t>
      </w:r>
    </w:p>
    <w:p>
      <w:pPr>
        <w:spacing w:after="0" w:line="158" w:lineRule="exact"/>
        <w:rPr>
          <w:sz w:val="20"/>
          <w:szCs w:val="20"/>
          <w:color w:val="auto"/>
        </w:rPr>
      </w:pPr>
    </w:p>
    <w:p>
      <w:pPr>
        <w:jc w:val="both"/>
        <w:ind w:firstLine="656"/>
        <w:spacing w:after="0" w:line="252" w:lineRule="auto"/>
        <w:tabs>
          <w:tab w:leader="none" w:pos="12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2.14(e)</w:t>
      </w:r>
      <w:r>
        <w:rPr>
          <w:rFonts w:ascii="Times New Roman" w:cs="Times New Roman" w:eastAsia="Times New Roman" w:hAnsi="Times New Roman"/>
          <w:sz w:val="22"/>
          <w:szCs w:val="22"/>
          <w:color w:val="auto"/>
        </w:rPr>
        <w:t xml:space="preserve">, 2.15(d), </w:t>
      </w:r>
      <w:r>
        <w:rPr>
          <w:rFonts w:ascii="Times New Roman" w:cs="Times New Roman" w:eastAsia="Times New Roman" w:hAnsi="Times New Roman"/>
          <w:sz w:val="22"/>
          <w:szCs w:val="22"/>
          <w:u w:val="single" w:color="auto"/>
          <w:color w:val="auto"/>
        </w:rPr>
        <w:t>2.20(d)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10.03(c)</w:t>
      </w:r>
      <w:r>
        <w:rPr>
          <w:rFonts w:ascii="Times New Roman" w:cs="Times New Roman" w:eastAsia="Times New Roman" w:hAnsi="Times New Roman"/>
          <w:sz w:val="22"/>
          <w:szCs w:val="22"/>
          <w:color w:val="auto"/>
        </w:rPr>
        <w:t>, in each case in such order as shall be determined by the Administrative Agent in its discretion.</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financial statements delivered under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or any Compliance Certificate delivered under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shall prove to have been inaccurate, and such inaccuracy shall have resulted in the payment of any interest or fees at rates lower than those that were in fact applicable for any period (based on the actual Leverage Ratio), then, if such inaccuracy is discovered prior to the termination of the Commitments and the repayment in full of the principal of all Loans and the reduction of the LC Exposure to zero, the Borrowers shall pay to the Administrative Agent, for distribution to the Lenders (or former Lenders) as their interests may appear, the accrued interest or fees that should have been paid but were not paid as a result of such misstatement.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-1496060</wp:posOffset>
            </wp:positionV>
            <wp:extent cx="434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 xml:space="preserve">. (a) Each Lender may make any Loan to any Borrower through any Lending Office,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exercise of this option shall not affect the obligation of such Borrower to repay the Loan in accordance with the terms of this Agreement. If any Lender or Issuing Bank requests compensation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if the Borrowers are required to pay any Indemnified Taxes or additional amounts to any Lender or Issuing Bank or to any Governmental Authority for the account of any Lender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then such Lender or Issuing Bank shall (at the request of the Company) use commercially reasonable efforts to designate a different Lending Office for funding or booking its Loans or Letters of Credit hereunder or to assign and delegate its rights and obligations hereunder to another of its offices, branches or Affiliates if, in the judgment of such Lender or Issuing Bank, such designation or assignment and delegation (i) would eliminate or reduce amounts payable pursuant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as the case may be, in the future and (ii) would not subject such Lender or Issuing Bank to any unreimbursed cost or expense and would not otherwise be disadvantageous to such Lender or Issuing Bank. The Company hereby agrees to pay all reasonable costs and expenses incurred by any Lender or Issuing Bank in connection with any such designation or assignment and delegation within 30 days following the written request of such Lender or Issuing Bank (accompanied by reasonable back-up documentation relating thereto).</w:t>
      </w:r>
    </w:p>
    <w:p>
      <w:pPr>
        <w:spacing w:after="0" w:line="177" w:lineRule="exact"/>
        <w:rPr>
          <w:sz w:val="20"/>
          <w:szCs w:val="20"/>
          <w:color w:val="auto"/>
        </w:rPr>
      </w:pPr>
    </w:p>
    <w:p>
      <w:pPr>
        <w:jc w:val="both"/>
        <w:ind w:firstLine="656"/>
        <w:spacing w:after="0" w:line="257" w:lineRule="auto"/>
        <w:tabs>
          <w:tab w:leader="none" w:pos="1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any Lender requests compensation under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or is unable to make Term SOFR Loans or EURIBOR Loans pursuant to </w:t>
      </w:r>
      <w:r>
        <w:rPr>
          <w:rFonts w:ascii="Times New Roman" w:cs="Times New Roman" w:eastAsia="Times New Roman" w:hAnsi="Times New Roman"/>
          <w:sz w:val="22"/>
          <w:szCs w:val="22"/>
          <w:u w:val="single" w:color="auto"/>
          <w:color w:val="auto"/>
        </w:rPr>
        <w:t>Section 2.12(g)</w:t>
      </w:r>
      <w:r>
        <w:rPr>
          <w:rFonts w:ascii="Times New Roman" w:cs="Times New Roman" w:eastAsia="Times New Roman" w:hAnsi="Times New Roman"/>
          <w:sz w:val="22"/>
          <w:szCs w:val="22"/>
          <w:color w:val="auto"/>
        </w:rPr>
        <w:t>, (ii) any Borrower is required to pay any Indemnified Taxes or additional amounts to any Lender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Governmental Authority for the account of any Lender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(iii) any Lender has become a Defaulting Lender or (iv) any Lender has failed to consent to a proposed amendment, waiver, discharge or termination that under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requires the consent of all the Lenders (or all the affected Lenders) and with respect to which the Required Lenders shall have granted their consent,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all its interests, rights (other than its existing rights to payments pursuant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and obligations under this Agreement and the other Loan Documents (or, in the case of any such assignment and delegation resulting from a failure to provide a consent, all its interests, rights and obligations under this Agreement and the other Loan Documents as a Lender) to an Eligible Assignee that shall assume such obligations (which may be another Lender, if a Lender accepts such assignment and delegation);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Company shall have received the prior written consent of the Administrative Agent and, in circumstances where its consent would be required under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each Issuing Bank, which consent shall not be unreasonably withheld, conditioned or delayed, (B) such Lender shall have received payment of an amount equal to the outstanding principal of its Loans and, if applicable, participations in LC Disbursements, accrued interest thereon, accrued fees and all other amounts payable to it hereunder (if applicable, in each case only to the extent such amounts relate to its interest as a Lender) from the assignee (in the case of such principal and accrued interest and fees) or the Company (in the case of all other amounts), (C) in the case of any such assignment and delegation resulting from a claim for compensation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such assignment will result in a reduction in such compensation or payments, (D) such assignment does not conflict with applicable law and (E)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waiver, discharge or termination can be effected. A Lender shall not be required to make any such assignment and delegation if, prior thereto, as a result of a waiver or consent by such Lender or otherwise, the circumstances entitling the Company to require such assignment and delegation have ceased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58" w:lineRule="exact"/>
        <w:rPr>
          <w:sz w:val="20"/>
          <w:szCs w:val="20"/>
          <w:color w:val="auto"/>
        </w:rPr>
      </w:pPr>
    </w:p>
    <w:p>
      <w:pPr>
        <w:ind w:firstLine="656"/>
        <w:spacing w:after="0" w:line="271" w:lineRule="auto"/>
        <w:tabs>
          <w:tab w:leader="none" w:pos="11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Commitment Fees shall cease to accrue on the unused amount of the Revolving Commitment of such Defaulting Lender;</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1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Commitment, the Revolving Exposure, the Term Commitment and the Term Loans of such Defaulting Lender shall not be included in determining whether the Required Lenders or any other requisite Lenders have taken or may take any action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under any other Loan Document (including any consent to any amendment, waiver or other modification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amendment, waiver or other modification requiring the consent of all Lenders or all Lenders affected thereby shall, except as otherwise provided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require the consent of such Defaulting Lender in accordance with the terms hereof;</w:t>
      </w:r>
    </w:p>
    <w:p>
      <w:pPr>
        <w:spacing w:after="0" w:line="176" w:lineRule="exact"/>
        <w:rPr>
          <w:sz w:val="20"/>
          <w:szCs w:val="20"/>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LC Exposure exists at the time any Revolving Lender becomes a Defaulting Lender, then:</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6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Exposure of such Defaulting Lender (other than any portion thereof attributable to unreimbursed LC Disbursements with respect to which such Defaulting Lender shall have funded its participation as contemplated by </w:t>
      </w:r>
      <w:r>
        <w:rPr>
          <w:rFonts w:ascii="Times New Roman" w:cs="Times New Roman" w:eastAsia="Times New Roman" w:hAnsi="Times New Roman"/>
          <w:sz w:val="22"/>
          <w:szCs w:val="22"/>
          <w:u w:val="single" w:color="auto"/>
          <w:color w:val="auto"/>
        </w:rPr>
        <w:t>Sections 2.20(d)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2.20(f)</w:t>
      </w:r>
      <w:r>
        <w:rPr>
          <w:rFonts w:ascii="Times New Roman" w:cs="Times New Roman" w:eastAsia="Times New Roman" w:hAnsi="Times New Roman"/>
          <w:sz w:val="22"/>
          <w:szCs w:val="22"/>
          <w:color w:val="auto"/>
        </w:rPr>
        <w:t>) shall be reallocated among the Non-Defaulting Revolving Lenders in accordance with their respective Applicable Percentages but only to the extent that the sum of all Non-Defaulting Revolving Lenders’ Revolving Exposures plus such Defaulting Lender’s LC Exposure (excluding the portion thereof referred to above) does not exceed the sum of all Non-Defaulting Revolving Lenders’ Revolving Commitments;</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2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reallocation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cannot, or can only partially, be effected, the LC Borrowers shall within one Business Day following written notice by the Administrative Agent cash collateralize for the benefit of the Issuing Banks the portion of such Defaulting Lender’s LC Exposure (other than any portion thereof referred to in the parenthetical in such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that has not been reallocated as set forth in such clause in accordance with the procedures set forth in </w:t>
      </w:r>
      <w:r>
        <w:rPr>
          <w:rFonts w:ascii="Times New Roman" w:cs="Times New Roman" w:eastAsia="Times New Roman" w:hAnsi="Times New Roman"/>
          <w:sz w:val="22"/>
          <w:szCs w:val="22"/>
          <w:u w:val="single" w:color="auto"/>
          <w:color w:val="auto"/>
        </w:rPr>
        <w:t>Section 2.20(m)</w:t>
      </w:r>
      <w:r>
        <w:rPr>
          <w:rFonts w:ascii="Times New Roman" w:cs="Times New Roman" w:eastAsia="Times New Roman" w:hAnsi="Times New Roman"/>
          <w:sz w:val="22"/>
          <w:szCs w:val="22"/>
          <w:color w:val="auto"/>
        </w:rPr>
        <w:t xml:space="preserve"> for so long as such LC Exposure is outstanding;</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2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LC Borrowers cash collateralize any portion of such Defaulting Lender’s LC Exposure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the LC Borrowers shall not be required to pay participation fees to such Defaulting Lender pursuant to </w:t>
      </w:r>
      <w:r>
        <w:rPr>
          <w:rFonts w:ascii="Times New Roman" w:cs="Times New Roman" w:eastAsia="Times New Roman" w:hAnsi="Times New Roman"/>
          <w:sz w:val="22"/>
          <w:szCs w:val="22"/>
          <w:u w:val="single" w:color="auto"/>
          <w:color w:val="auto"/>
        </w:rPr>
        <w:t>Section 2.09(c)</w:t>
      </w:r>
      <w:r>
        <w:rPr>
          <w:rFonts w:ascii="Times New Roman" w:cs="Times New Roman" w:eastAsia="Times New Roman" w:hAnsi="Times New Roman"/>
          <w:sz w:val="22"/>
          <w:szCs w:val="22"/>
          <w:color w:val="auto"/>
        </w:rPr>
        <w:t xml:space="preserve"> with respect to such portion of such Defaulting Lender’s LC Exposure for so long as such Defaulting Lender’s LC Exposure is cash collateralized;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portion of the LC Exposure of such Defaulting Lender is reallocated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then the fees payable to the Lenders pursuant to </w:t>
      </w:r>
      <w:r>
        <w:rPr>
          <w:rFonts w:ascii="Times New Roman" w:cs="Times New Roman" w:eastAsia="Times New Roman" w:hAnsi="Times New Roman"/>
          <w:sz w:val="22"/>
          <w:szCs w:val="22"/>
          <w:u w:val="single" w:color="auto"/>
          <w:color w:val="auto"/>
        </w:rPr>
        <w:t>Sections 2.09(a)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2.09(c)</w:t>
      </w:r>
      <w:r>
        <w:rPr>
          <w:rFonts w:ascii="Times New Roman" w:cs="Times New Roman" w:eastAsia="Times New Roman" w:hAnsi="Times New Roman"/>
          <w:sz w:val="22"/>
          <w:szCs w:val="22"/>
          <w:color w:val="auto"/>
        </w:rPr>
        <w:t xml:space="preserve"> shall be adjusted to give effect to such reallocation;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LC Exposure that is subject to reallocation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is neither reallocated nor cash collateralized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then, without prejudice to any rights or remedies of any Issuing Bank or any other Lender hereunder, all participation fees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2.09(c)</w:t>
      </w:r>
      <w:r>
        <w:rPr>
          <w:rFonts w:ascii="Times New Roman" w:cs="Times New Roman" w:eastAsia="Times New Roman" w:hAnsi="Times New Roman"/>
          <w:sz w:val="22"/>
          <w:szCs w:val="22"/>
          <w:color w:val="auto"/>
        </w:rPr>
        <w:t xml:space="preserve"> with respect to such portion of its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86" w:name="page87"/>
    <w:bookmarkEnd w:id="86"/>
    <w:p>
      <w:pPr>
        <w:jc w:val="both"/>
        <w:ind w:firstLine="656"/>
        <w:spacing w:after="0" w:line="251" w:lineRule="auto"/>
        <w:tabs>
          <w:tab w:leader="none" w:pos="11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such Revolving Lender is a Defaulting Lender, no Issuing Bank shall be required to issue, amend, renew or extend any Letter of Credit, unless, in each case, it is satisfied that the related exposure and such Defaulting Lender’s then outstanding LC Exposure will be fully covered by the Revolving Commitments of the Non-Defaulting Revolving Lenders and/or cash collateral provided by the Borrowers in accordance with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above, and participating interests in any such issued, amended, renewed or extended Letter of Credit will be allocated among the Non-Defaulting Revolving Lenders in a manner consistent with </w:t>
      </w:r>
      <w:r>
        <w:rPr>
          <w:rFonts w:ascii="Times New Roman" w:cs="Times New Roman" w:eastAsia="Times New Roman" w:hAnsi="Times New Roman"/>
          <w:sz w:val="22"/>
          <w:szCs w:val="22"/>
          <w:u w:val="single" w:color="auto"/>
          <w:color w:val="auto"/>
        </w:rPr>
        <w:t>clause (c)(i)</w:t>
      </w:r>
      <w:r>
        <w:rPr>
          <w:rFonts w:ascii="Times New Roman" w:cs="Times New Roman" w:eastAsia="Times New Roman" w:hAnsi="Times New Roman"/>
          <w:sz w:val="22"/>
          <w:szCs w:val="22"/>
          <w:color w:val="auto"/>
        </w:rPr>
        <w:t xml:space="preserve"> above (and such Defaulting Lender shall not participate therein).</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In the event that (x) a Bankruptcy Event with respect to a Lender Parent of a Revolving Lender shall have occurred following the Effective Date and for so long as such Bankruptcy Event shall continue or (y) any Issuing Bank has a good faith belief that any Revolving Lender has defaulted in fulfilling its obligations under one or more other agreements in which such Revolving Lender commits to extend credit, no Issuing Bank shall be required to issue, amend, renew or extend any Letter of Credit, unless, in each case, such Issuing Bank shall have entered into arrangements with the Company and any other applicable Borrower or such Revolving Lender satisfactory to such Issuing Bank to defease any risk to it in respect of such Revolving Lender hereunder.</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In the event that the Administrative Agent, the Company and each Issuing Bank each agree that a Defaulting Lender that is a Revolving Lender has adequately remedied all matters that caused such Revolving Lender to be a Defaulting Lender, then the LC Exposure of the Revolving Lenders shall be readjusted to reflect the inclusion of such Revolving Lender’s Revolving Commitment and on such date such Revolving Lender shall purchase at par such of the Revolving Loans of the other Revolving Lenders as the Administrative Agent shall determine to be necessary in order for such Revolving Lender to hold such Revolving Loans in accordance with its Applicable Percentage, and such Revolving Lender shall thereupon cease to be a Defaulting Lender (but shall not be entitled to receive any Revolving Commitment Fees accrued during the period when it was a Defaulting Lender, and all amendments, waivers or modifications effected without its consent in accordance with the provisions of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and this Section during such period shall be binding on it).</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In the event that the Administrative Agent and the Company each agree that a Defaulting Lender that is a Term Lender has adequately remedied all matters that caused such Term Lender to be a Defaulting Lender, then on such date such Term Lender shall take such actions as the Administrative Agent may determine to be appropriate in connection with such Term Lender ceasing to be a Defaulting Lender, and such Term Lender shall thereupon cease to be a Defaulting Lender (but all amendments, waivers or modifications effected without its consent in accordance with the provisions of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and this Section during such period shall be binding on it).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rights and remedies against, and with respect to, a Defaulting Lender under this Section are in addition to, and cumulative and not in limitation of, all other rights and remedies that the Administrative Agent, any Issuing Bank, any Lender or the Borrowers may at any time have against, or with respect to,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87" w:name="page88"/>
    <w:bookmarkEnd w:id="87"/>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 xml:space="preserve">. (a) The Company may on one or more occasions, by written notice to the Administrative Agent, request the establishment of Incremental Revolving Commitments and/or Incremental Term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US Dollar equivalent amount of all the Incremental Commitments established hereunder shall not exceed US$250,000,000. Each such notice shall specify (1) the date on which the Company proposes that the Incremental Commitments shall be effective, which shall be a date not less than 10 Business Days (or such shorter period as may be agreed to by the Administrative Agent) after the date on which such notice is delivered to the Administrative Agent and (2) the amount of the Incremental Commitments being requested (it being agreed that (x) any Lender approached to provide any Incremental Commitment may elect or decline, in its sole discretion, to provide such Incremental Commitment and (y) any Person that the Company proposes to become an Incremental Lender, if such Person is not then a Lender, must be an Eligible Assignee and must be reasonably acceptable to the Administrative Agent and solely in the case of Incremental Revolving Commitments, each Issuing Bank and the Swingline Lender).</w:t>
      </w:r>
    </w:p>
    <w:p>
      <w:pPr>
        <w:spacing w:after="0" w:line="189" w:lineRule="exact"/>
        <w:rPr>
          <w:sz w:val="20"/>
          <w:szCs w:val="20"/>
          <w:color w:val="auto"/>
        </w:rPr>
      </w:pPr>
    </w:p>
    <w:p>
      <w:pPr>
        <w:jc w:val="both"/>
        <w:ind w:firstLine="656"/>
        <w:spacing w:after="0" w:line="263" w:lineRule="auto"/>
        <w:tabs>
          <w:tab w:leader="none" w:pos="112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Incremental Commitment of any Class and the Loans and other extensions of credit to be made thereunder (other than any upfront or similar fees) shall be identical to those of, and shall be treated as part of (and not separate from), the Commitments and the Loans of such Class and other extensions of credit made thereunder.</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2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Incremental Commitments shall be effected pursuant to one or more Incremental Facility Agreements executed and delivered by the Company, each Incremental Lender providing such Incremental Commitments and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Incremental Commitments shall become effective unless (i) no Default or Event of Default shall have occurred and be continuing on the date of effectiveness thereof, both immediately prior to and immediately after giving effect to such Incremental Commitments and the making of any Loans thereunder to be made on such date, (ii) on the date of effectiveness thereof, the representations and warranties of the Borrowers set forth in the Loan Documents shall be true and correct in (A) in the case of the representations and warranties qualified as to materiality, in all respects and (B) otherwise, in all material respects, in each case on and as of such date of effectiveness, except in the case of any such representation or warranty that expressly relates to a prior date, in which case such representation or warranty shall be so true and correct in all material respects on and as of such prior date, (iii) after giving effect to such Incremental Commitments (and assuming the making of Loans thereunder in the full amount thereof), the Company shall be in pro forma compliance with the financial covenant set forth in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xml:space="preserve"> as of the end of the most recent fiscal quarter for which financial statements shall have been delivered under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firstLine="8"/>
        <w:spacing w:after="0" w:line="260" w:lineRule="auto"/>
        <w:tabs>
          <w:tab w:leader="none" w:pos="3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shall make any payments required to be made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in connection with such Incremental Commitments and the related transactions under this Section and (v) the Company shall have delivered to the Administrative Agent such legal opinions, board resolutions, secretary’s certificates, officer’s certificates and other documents as shall have been reasonably be requested by the Administrative Agent in connection with any such transaction. Each Incremental Facility Agreement may, without the consent of any Lender,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88" w:name="page89"/>
    <w:bookmarkEnd w:id="88"/>
    <w:p>
      <w:pPr>
        <w:jc w:val="both"/>
        <w:ind w:firstLine="656"/>
        <w:spacing w:after="0" w:line="249" w:lineRule="auto"/>
        <w:tabs>
          <w:tab w:leader="none" w:pos="112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effectiveness of an Incremental Commitment of any Incremental Lender, (i) such Incremental Lender shall be deemed to be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hereunder, and henceforth shall be entitled to all the rights of, and benefits accruing to, Lenders hereunder and under the other Loan Documents and shall be bound by all agreements, acknowledgements and other obligations of Lenders hereunder and under the other Loan Documents and (ii) in the case of any Incremental Revolving Commitment, (A) such Incremental Revolving Commitment shall constitute (or, in the event such Incremental Revolving Lender already has a Revolving Commitment, shall increase) the Revolving Commitment of such Incremental Revolving Lender and (B) the Aggregate Revolving Commitment shall be increased by the amount of such Incremental Revolving Commitment, in each case, subject to further increase or reduction from time to time as provided herein. Upon the effectiveness of any Incremental Revolving Commitment, the Applicable Percentages of all the Revolving Lenders shall automatically be adjusted to give effect thereto.</w:t>
      </w:r>
    </w:p>
    <w:p>
      <w:pPr>
        <w:spacing w:after="0" w:line="18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4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effectiveness of any Incremental Revolving Commitments, (i) the aggregate principal amount of the Revolving Loans outstanding (the “</w:t>
      </w:r>
      <w:r>
        <w:rPr>
          <w:rFonts w:ascii="Times New Roman" w:cs="Times New Roman" w:eastAsia="Times New Roman" w:hAnsi="Times New Roman"/>
          <w:sz w:val="21"/>
          <w:szCs w:val="21"/>
          <w:u w:val="single" w:color="auto"/>
          <w:color w:val="auto"/>
        </w:rPr>
        <w:t>Existing Revolving Borrowings</w:t>
      </w:r>
      <w:r>
        <w:rPr>
          <w:rFonts w:ascii="Times New Roman" w:cs="Times New Roman" w:eastAsia="Times New Roman" w:hAnsi="Times New Roman"/>
          <w:sz w:val="21"/>
          <w:szCs w:val="21"/>
          <w:color w:val="auto"/>
        </w:rPr>
        <w:t xml:space="preserve">”) immediately prior to the effectiveness of such Incremental Revolving Commitments shall be deemed to be repaid, (ii) each Incremental Revolving Lender that shall have had a Revolving Commitment prior to the effectiveness of such Incremental Revolving Commitments shall pay to the Administrative Agent in same day funds and in the applicable currency an amount equal to the difference between (A) the product of (1) such Lender’s Applicable Percentage (calculated after giving effect to the effectiveness of such Incremental Revolving Commitments) multiplied by (2) the amount of each Resulting Revolving Borrowing (as hereinafter defined) and (B) the product of (1) such Lender’s Applicable Percentage (calculated without giving effect to the effectiveness of such Incremental Revolving Commitments) multiplied by (2) the amount of each corresponding Existing Revolving Borrowing, (iii) each Incremental Revolving Lender that shall not have had a Revolving Commitment prior to the effectiveness of such Incremental Revolving Commitments shall pay to Administrative Agent in same day funds and in the applicable currency an amount equal to the product of (1) such Lender’s Applicable Percentage (calculated after giving effect to the effectiveness of such Incremental Revolving Commitments) multiplied by (2) the amount of each Resulting Revolving Borrowing, (iv) after the Administrative Agent receives the funds specified in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above, the Administrative Agent shall pay to each Revolving Lender the portion of such funds that is equal to the difference between (A) the product of (1) such Lender’s Applicable Percentage (calculated without giving effect to the effectiveness of such Incremental Revolving Commitments) multiplied by (2) the amount of each Existing Revolving Borrowing, and (B) the product of (1) such Lender’s Applicable Percentage (calculated after giving effect to the effectiveness of such Incremental Revolving Commitments) multiplied by (2) the amount of each corresponding Resulting Revolving Borrowing, (v) after the effectiveness of such Incremental Revolving Commitments, the applicable Revolving Borrowers shall be deemed to have made new Revolving Borrowings (the “</w:t>
      </w:r>
      <w:r>
        <w:rPr>
          <w:rFonts w:ascii="Times New Roman" w:cs="Times New Roman" w:eastAsia="Times New Roman" w:hAnsi="Times New Roman"/>
          <w:sz w:val="21"/>
          <w:szCs w:val="21"/>
          <w:u w:val="single" w:color="auto"/>
          <w:color w:val="auto"/>
        </w:rPr>
        <w:t>Resulting Revolving Borrowings</w:t>
      </w:r>
      <w:r>
        <w:rPr>
          <w:rFonts w:ascii="Times New Roman" w:cs="Times New Roman" w:eastAsia="Times New Roman" w:hAnsi="Times New Roman"/>
          <w:sz w:val="21"/>
          <w:szCs w:val="21"/>
          <w:color w:val="auto"/>
        </w:rPr>
        <w:t xml:space="preserve">”) in amounts and currencies equal to the amount and currencies of the Existing Revolving Borrowings and of the Types and for the Interest Periods specified in a Borrowing Request delivered to the Administrative Agent in accordance with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the Company shall, on behalf of all applicable Revolving Borrowers, deliver such Borrowing Request), (vi) each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shall be deemed to hold its Applicable Percentage of each Resulting Revolving Borrowing (calculated after giving effect to the effectiveness of such Incremental Revolving Commitments) and (vii) the applicable Revolving Borrowers shall pay each Revolving Lender any and all accrued but unpaid interest on its Revolving Loans comprising the Existing Revolving Borrowings. The deemed payments of the Existing Revolving Borrowings made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shall be subject to compensation by the Revolving Borrowers pursuant to the provisions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if the date of the effectiveness of such Incremental Revolving Commitments occurs other than on the last day of the Interest Period relating thereto.</w:t>
      </w:r>
    </w:p>
    <w:p>
      <w:pPr>
        <w:spacing w:after="0" w:line="181" w:lineRule="exact"/>
        <w:rPr>
          <w:sz w:val="20"/>
          <w:szCs w:val="20"/>
          <w:color w:val="auto"/>
        </w:rPr>
      </w:pPr>
    </w:p>
    <w:p>
      <w:pPr>
        <w:jc w:val="both"/>
        <w:ind w:firstLine="656"/>
        <w:spacing w:after="0" w:line="256" w:lineRule="auto"/>
        <w:tabs>
          <w:tab w:leader="none" w:pos="10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notify the Lenders promptly upon receipt by the Administrative Agent of any notice from the Company referred to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and of the effectiveness of any Incremental Commitments, in each case advising the Lenders of the details thereof and, in the case of effectiveness of any Incremental Revolving Commitments, of the Applicable Percentages of the Revolving Lenders after giving effect thereto.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Requests for Extension</w:t>
      </w:r>
      <w:r>
        <w:rPr>
          <w:rFonts w:ascii="Times New Roman" w:cs="Times New Roman" w:eastAsia="Times New Roman" w:hAnsi="Times New Roman"/>
          <w:sz w:val="22"/>
          <w:szCs w:val="22"/>
          <w:color w:val="auto"/>
        </w:rPr>
        <w:t>. (a) The Company may, on up to two occasions, by notice to the Administrative Agent (who shall promptly notify the Lenders) not earlier than 45 days and not later than 30 days prior to any anniversary of the Effective Date, request that each Lender extend such Lender’s Revolving Maturity Date for an additional one year from the then-current Revolving Maturity Date, provided that in no event shall the Revolving Maturity Date as so extended be a date that is more than five years after the applicable Extension Effective Date.</w:t>
      </w:r>
    </w:p>
    <w:p>
      <w:pPr>
        <w:spacing w:after="0" w:line="179" w:lineRule="exact"/>
        <w:rPr>
          <w:sz w:val="20"/>
          <w:szCs w:val="20"/>
          <w:color w:val="auto"/>
        </w:rPr>
      </w:pPr>
    </w:p>
    <w:p>
      <w:pPr>
        <w:jc w:val="both"/>
        <w:ind w:firstLine="656"/>
        <w:spacing w:after="0" w:line="250" w:lineRule="auto"/>
        <w:tabs>
          <w:tab w:leader="none" w:pos="114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acting in its sole and individual discretion, shall, by notice to the Administrative Agent given not less than 20 days prior to such anniversary of the Effective Date (the “</w:t>
      </w:r>
      <w:r>
        <w:rPr>
          <w:rFonts w:ascii="Times New Roman" w:cs="Times New Roman" w:eastAsia="Times New Roman" w:hAnsi="Times New Roman"/>
          <w:sz w:val="22"/>
          <w:szCs w:val="22"/>
          <w:u w:val="single" w:color="auto"/>
          <w:color w:val="auto"/>
        </w:rPr>
        <w:t>Notice Date</w:t>
      </w:r>
      <w:r>
        <w:rPr>
          <w:rFonts w:ascii="Times New Roman" w:cs="Times New Roman" w:eastAsia="Times New Roman" w:hAnsi="Times New Roman"/>
          <w:sz w:val="22"/>
          <w:szCs w:val="22"/>
          <w:color w:val="auto"/>
        </w:rPr>
        <w:t>”), advise the Administrative Agent whether or not such Lender agrees to such extension (and each Lender that determines not to so extend its Revolving Maturity Date (a “</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80"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notify the Company of each Lender’s determination under this Section no later than the date 15 days prior to such anniversary of the Effective Date (or, if such date is not a Business Day, on the immediately preceding Business Day).</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total of the Revolving Commitments of the Lenders that have agreed to so extend their Revolving Maturity Date (each, an “</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shall be more than 50% of the aggregate amount of the Revolving Commitments in effect immediately prior to such anniversary of the Effective Date, and the conditions in clause (f) below are met, then, effective as of such anniversary of the Effective Date (the “</w:t>
      </w:r>
      <w:r>
        <w:rPr>
          <w:rFonts w:ascii="Times New Roman" w:cs="Times New Roman" w:eastAsia="Times New Roman" w:hAnsi="Times New Roman"/>
          <w:sz w:val="22"/>
          <w:szCs w:val="22"/>
          <w:u w:val="single" w:color="auto"/>
          <w:color w:val="auto"/>
        </w:rPr>
        <w:t>Extension Effective Date</w:t>
      </w:r>
      <w:r>
        <w:rPr>
          <w:rFonts w:ascii="Times New Roman" w:cs="Times New Roman" w:eastAsia="Times New Roman" w:hAnsi="Times New Roman"/>
          <w:sz w:val="22"/>
          <w:szCs w:val="22"/>
          <w:color w:val="auto"/>
        </w:rPr>
        <w:t>”), the Revolving Maturity Date of each Extending Lender shall be extended to the date falling one year after the then current Revolving Maturity Date (except that, if such date is not a Business Day, such Revolving Maturity Date as so extended shall be the immediately preceding Business Day).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90" w:name="page91"/>
    <w:bookmarkEnd w:id="90"/>
    <w:p>
      <w:pPr>
        <w:spacing w:after="0" w:line="271" w:lineRule="auto"/>
        <w:rPr>
          <w:sz w:val="20"/>
          <w:szCs w:val="20"/>
          <w:color w:val="auto"/>
        </w:rPr>
      </w:pPr>
      <w:r>
        <w:rPr>
          <w:rFonts w:ascii="Times New Roman" w:cs="Times New Roman" w:eastAsia="Times New Roman" w:hAnsi="Times New Roman"/>
          <w:sz w:val="22"/>
          <w:szCs w:val="22"/>
          <w:color w:val="auto"/>
        </w:rPr>
        <w:t>the avoidance of doubt, the Revolving Maturity Date then in effect shall remain unchanged with respect to Revolving Loans and Revolving Commitments held by Non-Extending Lenders.</w:t>
      </w:r>
    </w:p>
    <w:p>
      <w:pPr>
        <w:spacing w:after="0" w:line="158" w:lineRule="exact"/>
        <w:rPr>
          <w:sz w:val="20"/>
          <w:szCs w:val="20"/>
          <w:color w:val="auto"/>
        </w:rPr>
      </w:pPr>
    </w:p>
    <w:p>
      <w:pPr>
        <w:jc w:val="both"/>
        <w:ind w:firstLine="656"/>
        <w:spacing w:after="0" w:line="248" w:lineRule="auto"/>
        <w:tabs>
          <w:tab w:leader="none" w:pos="112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but shall not be obligated, on the applicable Extension Effective Date, to replace such Non-Extending Lender with, and add as “Lenders” under this Agreement in place thereof, one or more financial institutions (each, an “</w:t>
      </w:r>
      <w:r>
        <w:rPr>
          <w:rFonts w:ascii="Times New Roman" w:cs="Times New Roman" w:eastAsia="Times New Roman" w:hAnsi="Times New Roman"/>
          <w:sz w:val="22"/>
          <w:szCs w:val="22"/>
          <w:u w:val="single" w:color="auto"/>
          <w:color w:val="auto"/>
        </w:rPr>
        <w:t>Additional Commitment Lender</w:t>
      </w:r>
      <w:r>
        <w:rPr>
          <w:rFonts w:ascii="Times New Roman" w:cs="Times New Roman" w:eastAsia="Times New Roman" w:hAnsi="Times New Roman"/>
          <w:sz w:val="22"/>
          <w:szCs w:val="22"/>
          <w:color w:val="auto"/>
        </w:rPr>
        <w:t xml:space="preserve">”) approved by the Administrative Agent or, if applicable, each Issuing Bank in accordance with the procedures provided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xml:space="preserve">, each of which Additional Commitment Lenders shall have entered into an Assignment and Assumption (in accordance with and subject to the restrictions contained in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with the Company or Additional Commitment Lender obligated to pay any applicable processing or recordation fee) with such Non-Extending Lender, pursuant to which such Additional Commitment Lenders shall, effective as of the applicable Extension Effective Date, assume a Commitment (and, if any such Additional Commitment Lender is already a Lender, its Commitment shall be in addition to such Lender’s Commitment hereunder on such date) and shall agree, with respect to such undertaken Commitment, to such extension.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Maturity Date), to become an Extending Lender.</w:t>
      </w:r>
    </w:p>
    <w:p>
      <w:pPr>
        <w:spacing w:after="0" w:line="192" w:lineRule="exact"/>
        <w:rPr>
          <w:rFonts w:ascii="Times New Roman" w:cs="Times New Roman" w:eastAsia="Times New Roman" w:hAnsi="Times New Roman"/>
          <w:sz w:val="22"/>
          <w:szCs w:val="22"/>
          <w:color w:val="auto"/>
        </w:rPr>
      </w:pPr>
    </w:p>
    <w:p>
      <w:pPr>
        <w:jc w:val="both"/>
        <w:ind w:firstLine="656"/>
        <w:spacing w:after="0" w:line="254" w:lineRule="auto"/>
        <w:tabs>
          <w:tab w:leader="none" w:pos="111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conditions precedent to such extension, (A) the Company shall deliver to the Administrative Agent a certificate dated the Extension Effective Date signed by the chief executive officer or the chief financial officer of the Company certifying</w:t>
      </w:r>
    </w:p>
    <w:p>
      <w:pPr>
        <w:spacing w:after="0" w:line="1" w:lineRule="exact"/>
        <w:rPr>
          <w:rFonts w:ascii="Times New Roman" w:cs="Times New Roman" w:eastAsia="Times New Roman" w:hAnsi="Times New Roman"/>
          <w:sz w:val="22"/>
          <w:szCs w:val="22"/>
          <w:color w:val="auto"/>
        </w:rPr>
      </w:pPr>
    </w:p>
    <w:p>
      <w:pPr>
        <w:jc w:val="both"/>
        <w:ind w:firstLine="8"/>
        <w:spacing w:after="0" w:line="244" w:lineRule="auto"/>
        <w:tabs>
          <w:tab w:leader="none" w:pos="27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on or as of the Extension Effective Date or would occur as a result thereof and (ii) the representations and warranties of the Company set forth in the Loan Documents are true and correct</w:t>
      </w:r>
    </w:p>
    <w:p>
      <w:pPr>
        <w:jc w:val="both"/>
        <w:ind w:firstLine="8"/>
        <w:spacing w:after="0" w:line="249" w:lineRule="auto"/>
        <w:tabs>
          <w:tab w:leader="none" w:pos="32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representations and warranties qualified as to materiality, in all respects and (y) otherwise, in all material respects, in each case on and as of the Extension Effective Date, except in the case of any such representation and warranty that expressly relates to a prior date, in which case such representation and warranty shall be so true and correct in all material respects on and as of such prior date and (B) the Company shall have paid to the Administrative Agent all fees, invoiced expenses and other amounts due and payable to the Administrative Agent pursuant to this Agreement and the other Loan Documents on or prior to the Extension Effective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the Administrative Agent (and the Extending Lenders) shall be entitled to enter into any amendments to this Agreement that the Administrative Agent believes are necessary or appropriate to reflect, or to provide for the integration of, any extension of the Maturity Date pursuant to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without the consent of any Non-Extending Lender.</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shall supersede any provisions in Section 2.15 or 10.02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91" w:name="page92"/>
    <w:bookmarkEnd w:id="91"/>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9" w:lineRule="auto"/>
        <w:tabs>
          <w:tab w:leader="none" w:pos="117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any LC Borrower may request any Issuing Bank to issue Letters of Credit (or to amend, renew or extend outstanding Letters of Credit) denominated in US Dollars, for its own account, in a form reasonably acceptable to the Administrative Agent and the applicable Issuing Bank, at any time and from time to time during the Revolving Availability Period. In the event of any inconsistency between the terms and conditions of this Agreement and the terms and conditions of any form of letter of credit application or other agreement submitted by any LC Borrower to, or entered into by any LC Borrower with, any Issuing Bank relating to any Letter of Credit, the terms and conditions of this Agreement shall control. The Company unconditionally and irrevocably agrees that, in connection with any Letter of Credit issued for the account of any Subsidiary as provided in the first sentence of this paragraph, the Company will be fully responsible for the reimbursement of LC Disbursements, the payment of interest thereon and the payment of fees due under </w:t>
      </w:r>
      <w:r>
        <w:rPr>
          <w:rFonts w:ascii="Times New Roman" w:cs="Times New Roman" w:eastAsia="Times New Roman" w:hAnsi="Times New Roman"/>
          <w:sz w:val="21"/>
          <w:szCs w:val="21"/>
          <w:u w:val="single" w:color="auto"/>
          <w:color w:val="auto"/>
        </w:rPr>
        <w:t>Section 2.09(c)</w:t>
      </w:r>
      <w:r>
        <w:rPr>
          <w:rFonts w:ascii="Times New Roman" w:cs="Times New Roman" w:eastAsia="Times New Roman" w:hAnsi="Times New Roman"/>
          <w:sz w:val="21"/>
          <w:szCs w:val="21"/>
          <w:color w:val="auto"/>
        </w:rPr>
        <w:t xml:space="preserve"> to the same extent as if it were the sole account party in respect of such Letter of Credit (the Company hereby irrevocably waiving, to the extent permitted by applicable law, any defenses that might otherwise be available to it as a guarantor of the obligations of any Subsidiary that shall be an account party in respect of any such Letter of Credit). This Section shall not be construed to impose an obligation upon any Issuing Bank to issue any Letter of Credit if (i)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in the case of any Borrowing Subsidiary, shall impose upon such Issuing Bank with respect to such Letter of Credit any restriction, reserve or capital or liquidity requirement, or shall impose upon such Issuing Bank any unreimbursed loss, cost or expense, in each case for which such Issuing Bank is not otherwise compensated hereunder, (ii) the issuance of such Letter of Credit would violate one or more policies of general applicability of such Issuing Bank or (iii) such Letter of Credit is not in the currency approved for issuance by such Issuing Bank. The issuance of Letters of Credit by any Issuing Bank shall be subject to customary procedures of such Issuing Bank. No Issuing Bank shall be required to issue (but if requested as set forth above, may issue) commercial Letters of Credit.</w:t>
      </w:r>
    </w:p>
    <w:p>
      <w:pPr>
        <w:spacing w:after="0" w:line="200" w:lineRule="exact"/>
        <w:rPr>
          <w:rFonts w:ascii="Times New Roman" w:cs="Times New Roman" w:eastAsia="Times New Roman" w:hAnsi="Times New Roman"/>
          <w:sz w:val="21"/>
          <w:szCs w:val="21"/>
          <w:color w:val="auto"/>
        </w:rPr>
      </w:pPr>
    </w:p>
    <w:p>
      <w:pPr>
        <w:spacing w:after="0" w:line="249" w:lineRule="exact"/>
        <w:rPr>
          <w:rFonts w:ascii="Times New Roman" w:cs="Times New Roman" w:eastAsia="Times New Roman" w:hAnsi="Times New Roman"/>
          <w:sz w:val="21"/>
          <w:szCs w:val="21"/>
          <w:color w:val="auto"/>
        </w:rPr>
      </w:pPr>
    </w:p>
    <w:p>
      <w:pPr>
        <w:jc w:val="both"/>
        <w:ind w:firstLine="656"/>
        <w:spacing w:after="0" w:line="248" w:lineRule="auto"/>
        <w:tabs>
          <w:tab w:leader="none" w:pos="119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(other than an automatic renewal permitted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the applicable LC Borrower shall hand deliver or fax (or transmit by electronic communication, if arrangements for doing so have been approved by the recipient) to the applicable Issuing Bank and the Administrative Agent, not later than three Business Days before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the amount of such Letter of Credit, the name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address of the beneficiary thereof and such other information as shall be necessary to enable the applicable Issuing Bank to prepare, amend, renew or extend such Letter of Credit. If requested by the applicable Issuing Bank, the applicable LC Borrower also shall submit a letter of credit application on such Issuing Bank’s standard form in connection with any such request. A Letter of Credit shall be issued, amended, renewed or extended only if (and upon each issuance, amendment, renewal or extension of any Letter of Credit the applicable LC Borrower shall be deemed to represent and warrant that), after giving effect to such issuance, amendment, renewal or extension, (i) the LC Exposure attributable to Letters of Credit issued by any Issuing Bank will not exceed the LC Commitment of such Issuing Bank, (ii) the LC Exposure will not exceed US$50,000,000 and (iii) the Revolving Exposure of each Lender will not exceed its Revolving Commitment. Each Issuing Bank agrees that it shall not permit any issuance, amendment, renewal or extension of a Letter of Credit to occur unless it shall have given to the Administrative Agent written notice thereof required under </w:t>
      </w:r>
      <w:r>
        <w:rPr>
          <w:rFonts w:ascii="Times New Roman" w:cs="Times New Roman" w:eastAsia="Times New Roman" w:hAnsi="Times New Roman"/>
          <w:sz w:val="22"/>
          <w:szCs w:val="22"/>
          <w:u w:val="single" w:color="auto"/>
          <w:color w:val="auto"/>
        </w:rPr>
        <w:t>paragraph (k)</w:t>
      </w:r>
      <w:r>
        <w:rPr>
          <w:rFonts w:ascii="Times New Roman" w:cs="Times New Roman" w:eastAsia="Times New Roman" w:hAnsi="Times New Roman"/>
          <w:sz w:val="22"/>
          <w:szCs w:val="22"/>
          <w:color w:val="auto"/>
        </w:rPr>
        <w:t xml:space="preserve"> of this Section.</w:t>
      </w:r>
    </w:p>
    <w:p>
      <w:pPr>
        <w:spacing w:after="0" w:line="183" w:lineRule="exact"/>
        <w:rPr>
          <w:sz w:val="20"/>
          <w:szCs w:val="20"/>
          <w:color w:val="auto"/>
        </w:rPr>
      </w:pPr>
    </w:p>
    <w:p>
      <w:pPr>
        <w:ind w:left="1160" w:hanging="504"/>
        <w:spacing w:after="0"/>
        <w:tabs>
          <w:tab w:leader="none" w:pos="116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Each Letter of Credit shall by its terms expire at or prior to the close of business on the earlier of</w:t>
      </w:r>
    </w:p>
    <w:p>
      <w:pPr>
        <w:spacing w:after="0" w:line="27" w:lineRule="exact"/>
        <w:rPr>
          <w:rFonts w:ascii="Times New Roman" w:cs="Times New Roman" w:eastAsia="Times New Roman" w:hAnsi="Times New Roman"/>
          <w:sz w:val="22"/>
          <w:szCs w:val="22"/>
          <w:color w:val="auto"/>
        </w:rPr>
      </w:pPr>
    </w:p>
    <w:p>
      <w:pPr>
        <w:jc w:val="both"/>
        <w:ind w:firstLine="8"/>
        <w:spacing w:after="0" w:line="260" w:lineRule="auto"/>
        <w:tabs>
          <w:tab w:leader="none" w:pos="25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one year after the date of the issuance of such Letter of Credit (or, in the case of any renewal or extension thereof, one year after such renewal or extension) and (ii) the date that is five Business Days prior to the Revolving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Letter of Credit may contain customary automatic renewal provisions agreed upon by the applicable LC Borrower and the applicable Issuing Bank pursuant to which the expiration date of such Letter of Credit shall automatically be extended for a period of up to 12 months (but not to a date later than the date set forth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subject to a right on the part of such Issuing Bank to prevent any such renewal from occurring by giving notice to the beneficiary in advance of any such renewal.</w:t>
      </w:r>
    </w:p>
    <w:p>
      <w:pPr>
        <w:spacing w:after="0" w:line="174" w:lineRule="exact"/>
        <w:rPr>
          <w:rFonts w:ascii="Times New Roman" w:cs="Times New Roman" w:eastAsia="Times New Roman" w:hAnsi="Times New Roman"/>
          <w:sz w:val="21"/>
          <w:szCs w:val="21"/>
          <w:color w:val="auto"/>
        </w:rPr>
      </w:pPr>
    </w:p>
    <w:p>
      <w:pPr>
        <w:jc w:val="both"/>
        <w:ind w:firstLine="656"/>
        <w:spacing w:after="0" w:line="248" w:lineRule="auto"/>
        <w:tabs>
          <w:tab w:leader="none" w:pos="117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(or an amendment to a Letter of Credit increasing the amount thereof) and without any further action on the part of the applicable Issuing Bank or the Revolving Lenders, the Issuing Bank that is the issuer thereof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applicable LC Borrower on the date due as provided in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or of any reimbursement payment required to be refunded to the applicable LC Borrower for any reason. Such payment by the Revolving Lenders shall be made in US Dollars in an amount equal to such LC Disbursement or reimbursement payment. Each Revolving Lender acknowledges and agrees that (i)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any Default, any reduction or termination of the Revolving Commitments or any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or other event that under any rule of law or uniform practices to which any Letter of Credit is subject (including Section 3.14 of ISP 98 or any successor publication of the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Chamber of Commerce) permits a drawing to be made under such Letter of Credit after the expiration thereof or of the Revolving Commitments, and (ii) each such payment shall be made without any offset, abatement, withholding or reduction whatsoever. Each Revolving Lender further acknowledges and agrees that, in issuing, amending, renewing or extending any Letter of Credit, the applicable Issuing Bank shall be entitled to rely, and shall not incur any liability for relying, upon the representation and warranty of the LC Borrowers deemed made pursuant to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unless, at least two Business Days prior to the time such Letter of Credit is issued, amended, renewed or extended (or, in the case of an automatic renewal permitted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at least two Business Days prior to the time by which the election not to extend must be made by the applicable Issuing Bank), a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4.02(b)</w:t>
      </w:r>
      <w:r>
        <w:rPr>
          <w:rFonts w:ascii="Times New Roman" w:cs="Times New Roman" w:eastAsia="Times New Roman" w:hAnsi="Times New Roman"/>
          <w:sz w:val="22"/>
          <w:szCs w:val="22"/>
          <w:color w:val="auto"/>
        </w:rPr>
        <w:t xml:space="preserve">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spacing w:after="0" w:line="203" w:lineRule="exact"/>
        <w:rPr>
          <w:sz w:val="20"/>
          <w:szCs w:val="20"/>
          <w:color w:val="auto"/>
        </w:rPr>
      </w:pPr>
    </w:p>
    <w:p>
      <w:pPr>
        <w:jc w:val="both"/>
        <w:ind w:firstLine="656"/>
        <w:spacing w:after="0" w:line="250" w:lineRule="auto"/>
        <w:tabs>
          <w:tab w:leader="none" w:pos="110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w:t>
      </w:r>
      <w:r>
        <w:rPr>
          <w:rFonts w:ascii="Times New Roman" w:cs="Times New Roman" w:eastAsia="Times New Roman" w:hAnsi="Times New Roman"/>
          <w:sz w:val="22"/>
          <w:szCs w:val="22"/>
          <w:color w:val="auto"/>
        </w:rPr>
        <w:t>. Each Issuing Bank shall, promptly following its receipt thereof, examine all documents purporting to represent a demand for payment under a Letter of Credit issued by it and shall promptly notify the Administrative Agent and the applicable LC Borrower by telephone (confirmed by hand delivery or facsimile) of such demand for payment and whether such Issuing Bank has made or will make an LC Disbursement thereunder; provided that any failure to give or delay in giving such notice shall not relieve any LC Borrower of its obligation to reimburse such LC Disbursement.</w:t>
      </w:r>
    </w:p>
    <w:p>
      <w:pPr>
        <w:spacing w:after="0" w:line="194"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 applicable LC Borrower shall reimburse such LC Disbursement by paying to the Administrative Agent an amount in the currency of such LC Disbursement equal to such LC Disbursement not later than (i) if such LC Borrower shall have received notice of such LC Disbursement prior to 12:00 p.m., Local Time, on any Business Day, then 2:00 p.m., Local Time, on such Business Day, or (ii) otherwise, 12:00 p.m., Local Time, on the Business Day immediately following the day that such LC Borrower receives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denominated in US Dollars and is not less than US$1,000,000 and solely to the extent such LC Borrower is a Domestic Borrowing Subsidiary, the applicable LC Borrower may, subject to the conditions to borrowing set forth herein,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that such payment be financed with an ABR Revolving Borrowing in an equivalent amount and, to the extent so financed, such LC Borrower’s obligation to make such payment shall be discharged and replaced by the resulting ABR Revolving Borrowing. If the applicable LC Borrower fails to make any such reimbursement payment when due, in the case of each LC Disbursement, the Administrative Agent shall notify each Revolving Lender of the applicable LC Disbursement, the amount of the payment then due from such LC Borrower in respect thereof and such Revolving Lender’s Applicable Percentage thereof, and each Revolving Lender shall pay in US Dollars to the Administrative Agent on the date such notice is received its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Percentage of the payment then due from such LC Borrower, in the same manner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with respect to Revolving Loans made by such Lender (and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Revolving Lenders pursuant to this paragraph), and the Administrative Agent shall promptly pay to the applicable Issuing Bank the amounts so received by it from the Revolving Lenders. Promptly following receipt by the Administrative Agent of any payment from a LC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ABR Revolving Loans as contemplated above) shall not constitute a Loan and shall not relieve the applicable LC Borrower of its obligation to reimburse such LC Disbursement.</w:t>
      </w:r>
    </w:p>
    <w:p>
      <w:pPr>
        <w:spacing w:after="0" w:line="183" w:lineRule="exact"/>
        <w:rPr>
          <w:sz w:val="20"/>
          <w:szCs w:val="20"/>
          <w:color w:val="auto"/>
        </w:rPr>
      </w:pPr>
    </w:p>
    <w:p>
      <w:pPr>
        <w:jc w:val="both"/>
        <w:ind w:firstLine="656"/>
        <w:spacing w:after="0" w:line="259" w:lineRule="auto"/>
        <w:tabs>
          <w:tab w:leader="none" w:pos="114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Each LC Borrower’s obligation to reimburse LC Disbursements as provided in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other Loan Document,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Revolving Commitments or (v) any other event or circumstance whatsoever, whether or not similar to any of the foregoing, that might, but for the provisions of this paragraph, constitute a legal or equitable discharge of, or provide a right of setoff against, the applicable LC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any Issuing Bank from liability to the LC Borrowers to the extent of any direct damages (as opposed to special, indirect, consequential or punitive damages, claims in respect of which are hereby waived by the LC Borrowers to the extent permitted by applicable law) suffered by the LC Borrowers that are caused by such Issuing Bank’s failure to exercise care when determining whether drafts and other documents presented under a Letter of Credit comply with the terms thereof. The parties hereto expressly agree that unless a court of competent jurisdiction shall have determined in a final and nonappealable judgment that in making any such determination the applicable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51" w:lineRule="auto"/>
        <w:rPr>
          <w:sz w:val="20"/>
          <w:szCs w:val="20"/>
          <w:color w:val="auto"/>
        </w:rPr>
      </w:pPr>
      <w:r>
        <w:rPr>
          <w:rFonts w:ascii="Times New Roman" w:cs="Times New Roman" w:eastAsia="Times New Roman" w:hAnsi="Times New Roman"/>
          <w:sz w:val="22"/>
          <w:szCs w:val="22"/>
          <w:color w:val="auto"/>
        </w:rPr>
        <w:t>Bank acted with gross negligence, bad faith or willful misconduct, such Issuing Bank shall be deemed to have exercised care in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181" w:lineRule="exact"/>
        <w:rPr>
          <w:sz w:val="20"/>
          <w:szCs w:val="20"/>
          <w:color w:val="auto"/>
        </w:rPr>
      </w:pPr>
    </w:p>
    <w:p>
      <w:pPr>
        <w:jc w:val="both"/>
        <w:ind w:firstLine="656"/>
        <w:spacing w:after="0" w:line="248" w:lineRule="auto"/>
        <w:tabs>
          <w:tab w:leader="none" w:pos="11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 Issuing Bank shall make any LC Disbursement, then, unless the applicable LC Borrower shall reimburse such LC Disbursement in full on the date such LC Disbursement is made, the unpaid amount thereof (determined in accordance with the definition thereof) shall bear interest, for each day from and including the date such LC Disbursement is made to but excluding the date that the applicable LC Borrower reimburses such LC Disbursement, at the rate per annum then applicable to ABR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applicable LC Borrower fails to reimburse such LC Disbursement when due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then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to reimburse such Issuing Bank shall be paid to the Administrative Agent for the account of such Revolving Lender to the extent of such payment, and shall be payable on demand or, if no demand has been made, on the date on which the applicable LC Borrower reimburses the applicable LC Disbursement in full.</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0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Additional Issuing Banks</w:t>
      </w:r>
      <w:r>
        <w:rPr>
          <w:rFonts w:ascii="Times New Roman" w:cs="Times New Roman" w:eastAsia="Times New Roman" w:hAnsi="Times New Roman"/>
          <w:sz w:val="22"/>
          <w:szCs w:val="22"/>
          <w:color w:val="auto"/>
        </w:rPr>
        <w:t>. The Company may, at any time and from time to time, with the consent of the Administrative Agent (which consent shall not be unreasonably withheld, delayed or conditioned),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Company, the Administrative Agent and such designated Revolving Lender and, from and after the effective date of such agreement, (i) such Revolving Lender shall have all the rights and obligations of an Issuing Bank under this Agreement and (ii) references herein and in the other Loan Documents to the term “</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shall be deemed to include such Revolving Lender in its capacity as an issuer of Letters of Credit hereunder.</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 Issuing Bank</w:t>
      </w:r>
      <w:r>
        <w:rPr>
          <w:rFonts w:ascii="Times New Roman" w:cs="Times New Roman" w:eastAsia="Times New Roman" w:hAnsi="Times New Roman"/>
          <w:sz w:val="22"/>
          <w:szCs w:val="22"/>
          <w:color w:val="auto"/>
        </w:rPr>
        <w:t>. The Company may terminate the appointment of any Issuing Bank as an “</w:t>
      </w:r>
      <w:r>
        <w:rPr>
          <w:rFonts w:ascii="Times New Roman" w:cs="Times New Roman" w:eastAsia="Times New Roman" w:hAnsi="Times New Roman"/>
          <w:sz w:val="22"/>
          <w:szCs w:val="22"/>
          <w:u w:val="single" w:color="auto"/>
          <w:color w:val="auto"/>
        </w:rPr>
        <w:t>Issuing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xml:space="preserve">”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applicable LC Borrower shall pay all unpaid fees accrued for the account of the terminated Issuing Bank pursuant to </w:t>
      </w:r>
      <w:r>
        <w:rPr>
          <w:rFonts w:ascii="Times New Roman" w:cs="Times New Roman" w:eastAsia="Times New Roman" w:hAnsi="Times New Roman"/>
          <w:sz w:val="22"/>
          <w:szCs w:val="22"/>
          <w:u w:val="single" w:color="auto"/>
          <w:color w:val="auto"/>
        </w:rPr>
        <w:t>Section 2.09(c)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2"/>
          <w:szCs w:val="22"/>
          <w:color w:val="auto"/>
        </w:rPr>
        <w:t>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86" w:lineRule="exact"/>
        <w:rPr>
          <w:sz w:val="20"/>
          <w:szCs w:val="20"/>
          <w:color w:val="auto"/>
        </w:rPr>
      </w:pPr>
    </w:p>
    <w:p>
      <w:pPr>
        <w:jc w:val="both"/>
        <w:ind w:firstLine="656"/>
        <w:spacing w:after="0" w:line="248" w:lineRule="auto"/>
        <w:tabs>
          <w:tab w:leader="none" w:pos="12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 Reports to the Administrative Agent</w:t>
      </w:r>
      <w:r>
        <w:rPr>
          <w:rFonts w:ascii="Times New Roman" w:cs="Times New Roman" w:eastAsia="Times New Roman" w:hAnsi="Times New Roman"/>
          <w:sz w:val="22"/>
          <w:szCs w:val="22"/>
          <w:color w:val="auto"/>
        </w:rPr>
        <w:t>. Unless otherwise agreed by the Administrative Agent, each Issuing Bank shall, in addition to its notification obligations set forth elsewhere in this Section, (i) report in writing to the Administrative Agent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LC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84" w:lineRule="exact"/>
        <w:rPr>
          <w:rFonts w:ascii="Times New Roman" w:cs="Times New Roman" w:eastAsia="Times New Roman" w:hAnsi="Times New Roman"/>
          <w:sz w:val="22"/>
          <w:szCs w:val="22"/>
          <w:color w:val="auto"/>
        </w:rPr>
      </w:pPr>
    </w:p>
    <w:p>
      <w:pPr>
        <w:jc w:val="both"/>
        <w:ind w:firstLine="656"/>
        <w:spacing w:after="0" w:line="253" w:lineRule="auto"/>
        <w:tabs>
          <w:tab w:leader="none" w:pos="10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Exposure Determination</w:t>
      </w:r>
      <w:r>
        <w:rPr>
          <w:rFonts w:ascii="Times New Roman" w:cs="Times New Roman" w:eastAsia="Times New Roman" w:hAnsi="Times New Roman"/>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3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that the Company receives notice from the Administrative Agent or a Majority in Interest of the Revolving Lenders demanding the deposit of cash collateral pursuant to this paragraph, each LC Borrower shall deposit in an account with the Administrative Agent, in the name of the Administrative Agent and for the benefit of the Revolving Lenders and the Issuing Banks, an amount in US Dollars equal to the LC Exposure attributable to Letters of Credit issued for the account of such LC Borrower as of such date plus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LC Borrower under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The LC Borrowers shall also deposit cash collateral in accordance with this paragraph as and to the extent required by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Each such deposit shall be held by the Administrative Agent as collateral for the payment and performance of the obligations of the applicable LC Borrower under this Agreement. The Administrative Agent shall have exclusive dominion and control,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60" w:lineRule="auto"/>
        <w:rPr>
          <w:sz w:val="20"/>
          <w:szCs w:val="20"/>
          <w:color w:val="auto"/>
        </w:rPr>
      </w:pPr>
      <w:r>
        <w:rPr>
          <w:rFonts w:ascii="Times New Roman" w:cs="Times New Roman" w:eastAsia="Times New Roman" w:hAnsi="Times New Roman"/>
          <w:sz w:val="21"/>
          <w:szCs w:val="21"/>
          <w:color w:val="auto"/>
        </w:rPr>
        <w:t>exclusive right of withdrawal, over such account. Other than any interest earned on the investment of such deposits, which investments shall be in Cash Equivalents and shall be made at the option and sole discretion of the Administrative Agent and at the applicable LC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 LC Borrower for the LC Exposure at such time or, if the maturity of the Loans has been accelerated (but subject to the consent of (A) a Majority in Interest of the Revolving Lenders and</w:t>
      </w:r>
    </w:p>
    <w:p>
      <w:pPr>
        <w:spacing w:after="0" w:line="2" w:lineRule="exact"/>
        <w:rPr>
          <w:sz w:val="20"/>
          <w:szCs w:val="20"/>
          <w:color w:val="auto"/>
        </w:rPr>
      </w:pPr>
    </w:p>
    <w:p>
      <w:pPr>
        <w:jc w:val="both"/>
        <w:ind w:firstLine="8"/>
        <w:spacing w:after="0" w:line="246" w:lineRule="auto"/>
        <w:tabs>
          <w:tab w:leader="none" w:pos="36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application at a time when any Revolving Lender is a Defaulting Lender (but only if, after giving effect thereto, the remaining cash collateral shall be less than the total LC Exposure of all the Defaulting Lenders), the consent of each Issuing Bank), be applied to satisfy other obligations of such LC Borrower under this Agreement. If an LC Borrower is required to provide an amount of cash collateral hereunder as a result of the occurrence of an Event of Default, such amount (to the extent not applied as aforesaid) shall be returned to such LC Borrower within three Business Days after all Events of Default have been cured or waived. If the LC Borrowers are required to provide an amount of cash collateral hereunder pursuant to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such amount (to the extent not applied as aforesaid) shall be returned to the LC Borrowers to the extent that the applicable excess referred to in such Section shall have been eliminated and no Default shall have occurred and be continuing. If the LC Borrowers provide an amount of cash collateral hereunder pursuant to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 such amount (to the extent not applied as aforesaid) shall be returned to the LC Borrowers, upon request of the LC Borrowers, to the extent that, after giving effect to such return, no Issuing Bank shall have any exposure in respect of any outstanding Letter of Credit that is not fully covered by the Revolving Commitments of the Non-Defaulting Revolving Lenders and/or the remaining cash collateral and no Event of Default shall have occurred and be continuing.</w:t>
      </w:r>
    </w:p>
    <w:p>
      <w:pPr>
        <w:spacing w:after="0" w:line="19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an Issuing Bank</w:t>
      </w:r>
      <w:r>
        <w:rPr>
          <w:rFonts w:ascii="Times New Roman" w:cs="Times New Roman" w:eastAsia="Times New Roman" w:hAnsi="Times New Roman"/>
          <w:sz w:val="22"/>
          <w:szCs w:val="22"/>
          <w:color w:val="auto"/>
        </w:rPr>
        <w:t>. Any Issuing Bank may resign at any time by giving 30 days’ prior notice to the Administrative Agent and the LC Borrowers.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increase any existing Letter of Credit.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(a) Subject to the terms and conditions set forth herein, the Swingline Lender agrees to make Swingline Loans denominated in US Dollars to any Swingline Borrower from time to time during the Revolving Availability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thereto, (i) the aggregate principal amount of the outstanding Swingline Loans shall not exceed the Swingline Sublimit, (ii) no Lender’s Revolving Exposure shall exceed such Lender’s Revolving Commitment and (iii) the Aggregate Revolving Exposure shall not exceed the Aggregate Revolving Commitment. Within the foregoing limits and subject to the terms and conditions set forth herein, the Swingline Borrowers may borrow, prepay and reborrow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98" w:name="page99"/>
    <w:bookmarkEnd w:id="98"/>
    <w:p>
      <w:pPr>
        <w:jc w:val="both"/>
        <w:ind w:firstLine="656"/>
        <w:spacing w:after="0" w:line="249" w:lineRule="auto"/>
        <w:tabs>
          <w:tab w:leader="none" w:pos="11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request a Swingline Loan, the applicable Swingline Borrower (or the Company on its behalf) shall submit to the Swingline Lender (with a copy to the Administrative Agent) a Swingline Borrowing Request, signed by its Authorized Officer, not later than 1:00 p.m., New York City time, on the day of the proposed Swingline Loan. Each such Swingline Borrowing Request shall be irrevocable and shall specify the name of the applicable Swingline Borrower, the requested date (which shall be a Business Day) and the amount of the requested Swingline Loan and the location and number of the account of the applicable Swingline Borrower to which funds are to be disbursed or, in the case of any Swingline Loan requested to finance the reimbursement of an LC Disbursement as provided in </w:t>
      </w:r>
      <w:r>
        <w:rPr>
          <w:rFonts w:ascii="Times New Roman" w:cs="Times New Roman" w:eastAsia="Times New Roman" w:hAnsi="Times New Roman"/>
          <w:sz w:val="22"/>
          <w:szCs w:val="22"/>
          <w:u w:val="single" w:color="auto"/>
          <w:color w:val="auto"/>
        </w:rPr>
        <w:t>Section 2.20(f)</w:t>
      </w:r>
      <w:r>
        <w:rPr>
          <w:rFonts w:ascii="Times New Roman" w:cs="Times New Roman" w:eastAsia="Times New Roman" w:hAnsi="Times New Roman"/>
          <w:sz w:val="22"/>
          <w:szCs w:val="22"/>
          <w:color w:val="auto"/>
        </w:rPr>
        <w:t>, the identity of the Issuing Bank that has made such LC Disbursement. The Swingline Lender shall make such Swingline Loan available to the applicable Swingline Borrower by means of a wire transfer to the account specified in the applicable Swingline Borrowing Request or to the applicable Issuing Bank, as the case may be, by 3:00 p.m., New York City time, on the requested date of such Swingline Loan.</w:t>
      </w:r>
    </w:p>
    <w:p>
      <w:pPr>
        <w:spacing w:after="0" w:line="183" w:lineRule="exact"/>
        <w:rPr>
          <w:rFonts w:ascii="Times New Roman" w:cs="Times New Roman" w:eastAsia="Times New Roman" w:hAnsi="Times New Roman"/>
          <w:sz w:val="22"/>
          <w:szCs w:val="22"/>
          <w:color w:val="auto"/>
        </w:rPr>
      </w:pPr>
    </w:p>
    <w:p>
      <w:pPr>
        <w:jc w:val="both"/>
        <w:ind w:firstLine="656"/>
        <w:spacing w:after="0" w:line="246" w:lineRule="auto"/>
        <w:tabs>
          <w:tab w:leader="none" w:pos="111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the Swingline Loans in which the Revolving Lenders will be required to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to pay, upon receipt of notice as provided above, to the Administrative Agent, for the account of the Swingline Lender, such Lender’s Applicable Percentage of such Swingline Loan or Loans. Each Revolving Lender acknowledges and agrees that, in making any Swingline Loan, the Swingline Lender shall be entitled to rely, and shall not incur any liability for relying, upon the representation and warranty of the applicable Swingline Borrower deemed made pursuant to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unless, at least two Business Days prior to the time such Swingline Loan was made, the Majority in Interest of the Revolving Lenders shall have notified the Swingline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4.02(b)</w:t>
      </w:r>
      <w:r>
        <w:rPr>
          <w:rFonts w:ascii="Times New Roman" w:cs="Times New Roman" w:eastAsia="Times New Roman" w:hAnsi="Times New Roman"/>
          <w:sz w:val="22"/>
          <w:szCs w:val="22"/>
          <w:color w:val="auto"/>
        </w:rPr>
        <w:t xml:space="preserve"> would not be satisfied if such Swingline Loan were then made (it being understood and agreed that, in the event the Swingline Lender shall have received any such notice, it shall have no obligation to make any Swingline Loan until and unless it shall be satisfied that the events and circumstances described in such notice shall have been cured or otherwise shall have ceased to exist). Each Revolving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with respect to Revolving Loans made by such Revolving Lender (and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Revolving Lenders pursuant to this paragraph),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Administrative Agent shall promptly remit to the Swingline Lender the amounts so received by it from the Revolving Lenders. The Administrative Agent shall notify the applicable Swingline Borrower of any participations in any Swingline Loan acquired pursuant to this paragraph, and thereafter payments in respect of such Swingline Loan shall be made to the Administrative Agent and not to the Swingline Lender. Any amounts received by the Swingline Lender from the applicable Swingline Borrower (or other Person on behalf of such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payment so remitted shall be repaid to the Swingline Lender or to the Administrative Agent, as applicable, if and to the extent such payment is required to be refunded to the applicable Swingline Borrower for any reason. The purchase of participations in a Swingline Loan pursuant to this paragraph shall not constitute a Loan and shall not relieve the applicable Swingline Borrower of its obligation to repay such Swingline Loan.</w:t>
      </w:r>
    </w:p>
    <w:p>
      <w:pPr>
        <w:spacing w:after="0" w:line="184" w:lineRule="exact"/>
        <w:rPr>
          <w:sz w:val="20"/>
          <w:szCs w:val="20"/>
          <w:color w:val="auto"/>
        </w:rPr>
      </w:pPr>
    </w:p>
    <w:p>
      <w:pPr>
        <w:jc w:val="both"/>
        <w:ind w:firstLine="656"/>
        <w:spacing w:after="0" w:line="248" w:lineRule="auto"/>
        <w:tabs>
          <w:tab w:leader="none" w:pos="116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Swingline Lender may be replaced at any time by written agreement among the Company, the Administrative Agent and the successor Swingline Lender. The Administrative Agent shall notify the Revolving Lenders of any such replacement of the Swingline Lender. At the time any such replacement shall become effective, the applicable Swingline Borrower shall pay all unpaid interest accrued for the account of the replaced Swingline Lender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make additional Swingline Loans.</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2.22 </w:t>
      </w:r>
      <w:r>
        <w:rPr>
          <w:rFonts w:ascii="Times New Roman" w:cs="Times New Roman" w:eastAsia="Times New Roman" w:hAnsi="Times New Roman"/>
          <w:sz w:val="21"/>
          <w:szCs w:val="21"/>
          <w:u w:val="single" w:color="auto"/>
          <w:color w:val="auto"/>
        </w:rPr>
        <w:t>Borrowing Subsidiaries</w:t>
      </w:r>
      <w:r>
        <w:rPr>
          <w:rFonts w:ascii="Times New Roman" w:cs="Times New Roman" w:eastAsia="Times New Roman" w:hAnsi="Times New Roman"/>
          <w:sz w:val="21"/>
          <w:szCs w:val="21"/>
          <w:color w:val="auto"/>
        </w:rPr>
        <w:t>. (a) The Company may at any time and from time to time request the designation of any wholly-owned Subsidiary as a Borrowing Subsidiary under the Revolving Facility by delivery to the Administrative Agent of a written request therefor. The effectiveness of any such designation shall be subject to (i) other than in the case of such designation of Intergraph Corporation and Octave Intelligence Finance Ltd, prior written consent thereto by the Administrative Agent and each Revolving Lender (in each case, not to be unreasonably withheld or delayed), it being understood that a Revolving Lender shall be deemed to have acted reasonably in withholding its consent if (A) it is unlawful for such Revolving Lender to make Revolving Loans and other extensions of credit under this Agreement to such Subsidiary, (B) the making of Revolving Loans or other extensions of credit under this Agreement to such Subsidiary might subject such Revolving Lender to adverse tax consequences for which it is not reimbursed hereunder, (C) such Revolving Lender would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60" w:lineRule="auto"/>
        <w:rPr>
          <w:sz w:val="20"/>
          <w:szCs w:val="20"/>
          <w:color w:val="auto"/>
        </w:rPr>
      </w:pPr>
      <w:r>
        <w:rPr>
          <w:rFonts w:ascii="Times New Roman" w:cs="Times New Roman" w:eastAsia="Times New Roman" w:hAnsi="Times New Roman"/>
          <w:sz w:val="21"/>
          <w:szCs w:val="21"/>
          <w:color w:val="auto"/>
        </w:rPr>
        <w:t>register or file in the jurisdiction of formation, organization or location of such Subsidiary in order to make Revolving Loans or other extensions of credit under this Agreement to such Subsidiary, and such Revolving Lender does not wish to do so or (D) such Revolving Lender is restricted by operational or administrative procedures or other applicable internal policies from making Revolving Loans or other extensions of credit under this Agreement to Persons formed, organized or located in the jurisdiction in which such Subsidiary is formed, organized or located, and (ii) (A) each Lender having received all documentation and other information with respect to such Subsidiary required by bank regulatory authorities under applicable “know your customer” and anti-money laundering rules and regulations, including the USA PATRIOT Act, that shall have been requested by such Lender prior to a deadline notified by the Administrative Agent to the Lenders (which deadline shall be set by the Administrative Agent in its reasonable discretion and in consultation with the Company), (B) to the extent such Subsidiary qualifies as a “legal entity customer” under the Beneficial Ownership Regulation, the Administrative Agent having received a Beneficial Ownership Certification in relation to such Subsidiary prior to a deadline notified by the Administrative Agent (which deadline shall be set by the Administrative Agent in its reasonable discretion and in consultation with the Company) and (C) the Administrative Agent having received such other customary documentation or information with respect to such Subsidiary as reasonably requested by the Administrative Agent. Upon the execution and delivery of a Borrowing Subsidiary Accession Agreement by the Company and such Subsidiary, and the acceptance thereof by the Administrative Agent, such Subsidiary shall for all purposes of this Agreement be a Borrowing Subsidiary and a party to this Agreement in respect of the Revolving Facility.</w:t>
      </w:r>
    </w:p>
    <w:p>
      <w:pPr>
        <w:spacing w:after="0" w:line="175" w:lineRule="exact"/>
        <w:rPr>
          <w:sz w:val="20"/>
          <w:szCs w:val="20"/>
          <w:color w:val="auto"/>
        </w:rPr>
      </w:pPr>
    </w:p>
    <w:p>
      <w:pPr>
        <w:jc w:val="both"/>
        <w:ind w:firstLine="656"/>
        <w:spacing w:after="0" w:line="249" w:lineRule="auto"/>
        <w:tabs>
          <w:tab w:leader="none" w:pos="132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execution by the Company and delivery to the Administrative Agent of a Borrowing Subsidiary Termination with respect to any Borrowing Subsidiary, such Subsidiary shall cease to be a Borrowing Subsidiary and a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Borrowing Subsidiary Termination will become effective as to any Borrowing Subsidiary (other than to terminate such Borrowing Subsidiary’s right to make further Revolving Borrowings or obtain Letters of Credit under this Agreement) at a time when any principal of or interest on any Revolving Loan to such Borrowing Subsidiary, or any Letter of Credit issued for the account of such Borrowing Subsidiary, shall be outstanding hereunder or any fees or other amounts remain unpaid with respect thereto. As soon as practicable upon receipt of a Borrowing Subsidiary Termination, the Administrative Agent shall make a copy thereof available to each Revolving Lender.</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0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Subsidiary hereby irrevocably appoints the Company as its agent for all purposes of this Agreement and the other Loan Documents, including (i) the giving and receipt of notices (including any Borrowing Request and any Interest Election Request) and (ii) the execution and delivery of all documents, instruments and certificates contemplated herein. Each Borrowing Subsidiary hereby acknowledges that any amendment or other modification to this Agreement or any other Loan Document may be effected as set forth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that no consent of such Borrowing Subsidiary shall be required to effect any such amendment or other modification and that such Borrowing Subsidiary shall be bound by this Agreement or any other Loan Document (if it is theretofore a party thereto) as so amended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represents and warrants to the Administrative Agent, the Lenders and the Issuing Banks, on the Effective Date, the Closing Date and on each other date on which representations and warranties are required to be, or are deemed to be, made under the Loan Documents, that:</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Corporate Powers</w:t>
      </w:r>
      <w:r>
        <w:rPr>
          <w:rFonts w:ascii="Times New Roman" w:cs="Times New Roman" w:eastAsia="Times New Roman" w:hAnsi="Times New Roman"/>
          <w:sz w:val="22"/>
          <w:szCs w:val="22"/>
          <w:color w:val="auto"/>
        </w:rPr>
        <w:t>. Each of the Company and its Subsidiaries is duly organized, incorporated, validly existing and, to the extent such concept is applicable in the relevant jurisdiction, in good standing under the laws of its jurisdiction of formation, except where the failure to so be in good standing would not have a Material Adverse Effect, and is qualified to conduct its business in each jurisdiction in which its business is conducted, except where the failure to be so qualified would not have a Material Adverse Effect.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and Validity</w:t>
      </w:r>
      <w:r>
        <w:rPr>
          <w:rFonts w:ascii="Times New Roman" w:cs="Times New Roman" w:eastAsia="Times New Roman" w:hAnsi="Times New Roman"/>
          <w:sz w:val="22"/>
          <w:szCs w:val="22"/>
          <w:color w:val="auto"/>
        </w:rPr>
        <w:t>. Each Loan Party has the requisite power and authority and legal right to execute and deliver the Loan Documents to which it is a party and to perform its obligations thereunder. The execution and delivery by each Loan Party of the Loan Documents to which it is a party and the performance by such Loan Party of its obligations thereunder have been duly authorized by all necessary corporate (or equivalent) actions on the part of such Loan Party, and the Loan Documents to which it is a party constitute legal, valid and binding obligations of each Loan Party party thereto, enforceable against such Loan Party in accordance with their terms, except as enforceability may be limited by bankruptcy, insolvency or similar laws affecting the enforcement of creditors’ rights generally and by equitable principles (regardless of whether enforcement is sought in equity or at law).</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No Conflict; Government Consent</w:t>
      </w:r>
      <w:r>
        <w:rPr>
          <w:rFonts w:ascii="Times New Roman" w:cs="Times New Roman" w:eastAsia="Times New Roman" w:hAnsi="Times New Roman"/>
          <w:sz w:val="22"/>
          <w:szCs w:val="22"/>
          <w:color w:val="auto"/>
        </w:rPr>
        <w:t>. None of the execution and delivery by any Borrower of the Loan Documents to which it is a party, compliance by any Borrower with the provisions thereof or the consummation of the Transactions will violate (a) any law, rule, regulation, order, writ, judgment, injunction, decree or award binding on such Borrower, (b) such Borrower’s articles of incorporation or by-laws or other constitutive documents and agreements or (c) the provisions of any material indenture, instrument or agreement to which the Company or any Subsidiary is a party or is subject, or by which it, or its property, is bound, or conflict with or constitute a default thereunder, or result in the creation or imposition of any Lien (other than Liens permitted under Section 6.01) on the property of the Company or any of its Subsidiaries pursuant to the terms of any such indenture, instrument or agreement. No order, consent, approval, license, authorization, or validation of, or filing, recording or registration with, or exemption by, any Governmental Authority is required to be obtained by any Borrower in connection with the authorization, execution, delivery and performance by such Borrower of, or the legality, validity, binding effect or enforceability of, any of the Loan Documents to which it is a party or the consummation by such Borrower of the Transactions, except such as have been obtained or made and are in full force and effect or where the failure to so obtain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102" w:name="page103"/>
    <w:bookmarkEnd w:id="102"/>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Company has heretofore furnished to the Lenders its consolidated balance sheet and related consolidated statements of income, comprehensive income, stockholders’ equity and cash flows as of and for the fiscal year ended December 31, 2025, audited by and accompanied by the opinion of PricewaterhouseCoopers LLP. Such financial statements present fairly, in all material respects, the financial position and the results of operations and cash flows of the Company and its consolidated Subsidiaries as of such dates and for such periods in accordance with GAAP.</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March 31, 2026, there has occurred no change in the financial condition, operations, assets, business or properties of the Company and its Subsidiaries taken as a whole, or any other event, in each case, which has had or could reasonably be expected to have a Material Adverse Effect.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the Subsidiaries have filed all income Tax returns and all other material Tax returns that are required to be filed by any of them and have paid all Taxes due pursuant to such returns or pursuant to any assessment received by the Company or any Subsidiary, except such Taxes, if any, as are being contested in good faith and as to which adequate reserves have been provided in accordance with GAAP or where the failure to make such payment or file such return would not reasonably be expected to result in a Material Adverse Effect. Adequate charges, accruals and reserves on the books of the Company and the Subsidiaries in respect of any Taxes or other governmental charges have been made in accordance with GAAP.</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Litigation and Contingent Obligations</w:t>
      </w:r>
      <w:r>
        <w:rPr>
          <w:rFonts w:ascii="Times New Roman" w:cs="Times New Roman" w:eastAsia="Times New Roman" w:hAnsi="Times New Roman"/>
          <w:sz w:val="22"/>
          <w:szCs w:val="22"/>
          <w:color w:val="auto"/>
        </w:rPr>
        <w:t xml:space="preserve">. There is no litigation, arbitration, governmental investigation, proceeding or inquiry pending or, to the knowledge of the Company or any Borrowing Subsidiary, threatened in writing against the Company or any of its Subsidiaries (a) challenging the validity or enforceability of any material provision of the Loan Documents or (b) which could reasonably be expected to have a Material Adverse Effect. There is no material loss contingency within the meaning of GAAP which has not been reflected in the consolidated financial statements of the Company referred to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prepared and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for the fiscal period during which such material loss contingency was incurred. Neither the Company nor any of its Subsidiaries is subject to or in default with respect to any final judgment, writ, injunction, restraining order or order of any nature, decree, rule or regulation of any court or Governmental Authority which could reasonably be expected to have a Material Adverse Effect.</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As of March 31, 2026, the Unfunded Liabilities of all Single Employer Plans did not in the aggregate exceed US$150,000,000. Each Plan complies in all material respects with, and has been maintained in all material respects in accordance with, all applicable laws and regulations. No Reportable Event has occurred with respect to any Single Employer Plan having any Unfunded Liability which has or could reasonably be expected to result in a liability to the Company which could reasonably be expected to have a Material Adverse Effect. Except as could not reasonably be expected, either individually or in the aggregate, to have a Material Adverse Effect, (i) neither the Company nor any other member of the Controlled Group has terminated any Single Employer Plan without in each instance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56" w:lineRule="auto"/>
        <w:rPr>
          <w:sz w:val="20"/>
          <w:szCs w:val="20"/>
          <w:color w:val="auto"/>
        </w:rPr>
      </w:pPr>
      <w:r>
        <w:rPr>
          <w:rFonts w:ascii="Times New Roman" w:cs="Times New Roman" w:eastAsia="Times New Roman" w:hAnsi="Times New Roman"/>
          <w:sz w:val="22"/>
          <w:szCs w:val="22"/>
          <w:color w:val="auto"/>
        </w:rPr>
        <w:t>all vested benefit obligations thereunder. Each member of the Controlled Group has fulfilled its minimum funding obligations with respect to each Multiemployer Plan; (ii) no Termination Event has occurred or is reasonably expected to occur; and (iii) there are no material actions, suits or claims (other than routine claims for benefits) pending or, to the knowledge of the Company or its Subsidiaries, threatened in writing with respect to any Plan or Multiemployer Plan.</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(a) None of the written reports, financial statements, certificates or other written information (other than projections or forward-looking information and information of a general economic or industry specific nature) furnished by or on behalf of the Company or any Subsidiary to the Administrative Agent or to any Lender in connection with the negotiation of the Loan Documents, as modified or supplemented by other information theretofore furnished, when furnished and taken as a whole and taken together with the Company’s publicly available filings theretofore made with the SEC (other than any portion thereof under the heading “</w:t>
      </w:r>
      <w:r>
        <w:rPr>
          <w:rFonts w:ascii="Times New Roman" w:cs="Times New Roman" w:eastAsia="Times New Roman" w:hAnsi="Times New Roman"/>
          <w:sz w:val="22"/>
          <w:szCs w:val="22"/>
          <w:u w:val="single" w:color="auto"/>
          <w:color w:val="auto"/>
        </w:rPr>
        <w:t>Risk Factors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Cautionary Forward-Looking Statements</w:t>
      </w:r>
      <w:r>
        <w:rPr>
          <w:rFonts w:ascii="Times New Roman" w:cs="Times New Roman" w:eastAsia="Times New Roman" w:hAnsi="Times New Roman"/>
          <w:sz w:val="22"/>
          <w:szCs w:val="22"/>
          <w:color w:val="auto"/>
        </w:rPr>
        <w:t xml:space="preserve">” and any similar cautionary disclosure or disclaimer), contains any untrue statement of a material fact or omits to state any material fact necessary to make the statements contained therein, in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projections or forward-looking information contained in such materials, the Company represents only that such information was prepared in good faith based upon assumptions believed by the Company to be reasonable at the time (it being understood that such projections and forward-looking information is subject to significant uncertainties and contingencies and that no assurances can be given that any particular projected financial information will be realized and that variances between actual results and projected financial results can be material).</w:t>
      </w:r>
    </w:p>
    <w:p>
      <w:pPr>
        <w:spacing w:after="0" w:line="193" w:lineRule="exact"/>
        <w:rPr>
          <w:sz w:val="20"/>
          <w:szCs w:val="20"/>
          <w:color w:val="auto"/>
        </w:rPr>
      </w:pPr>
    </w:p>
    <w:p>
      <w:pPr>
        <w:jc w:val="both"/>
        <w:ind w:firstLine="656"/>
        <w:spacing w:after="0" w:line="256" w:lineRule="auto"/>
        <w:tabs>
          <w:tab w:leader="none" w:pos="125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Beneficial Ownership Certification is required to be delivered pursuant to </w:t>
      </w:r>
      <w:r>
        <w:rPr>
          <w:rFonts w:ascii="Times New Roman" w:cs="Times New Roman" w:eastAsia="Times New Roman" w:hAnsi="Times New Roman"/>
          <w:sz w:val="22"/>
          <w:szCs w:val="22"/>
          <w:u w:val="single" w:color="auto"/>
          <w:color w:val="auto"/>
        </w:rPr>
        <w:t>Section 4.01(f)</w:t>
      </w:r>
      <w:r>
        <w:rPr>
          <w:rFonts w:ascii="Times New Roman" w:cs="Times New Roman" w:eastAsia="Times New Roman" w:hAnsi="Times New Roman"/>
          <w:sz w:val="22"/>
          <w:szCs w:val="22"/>
          <w:color w:val="auto"/>
        </w:rPr>
        <w:t xml:space="preserve">, then, as of the Effective Date, the information set forth in such Beneficial Ownership Certification is true and correct in all respects. If a Beneficial Ownership Certification is required to be delivered pursuant to </w:t>
      </w:r>
      <w:r>
        <w:rPr>
          <w:rFonts w:ascii="Times New Roman" w:cs="Times New Roman" w:eastAsia="Times New Roman" w:hAnsi="Times New Roman"/>
          <w:sz w:val="22"/>
          <w:szCs w:val="22"/>
          <w:u w:val="single" w:color="auto"/>
          <w:color w:val="auto"/>
        </w:rPr>
        <w:t>Section 2.22(a)</w:t>
      </w:r>
      <w:r>
        <w:rPr>
          <w:rFonts w:ascii="Times New Roman" w:cs="Times New Roman" w:eastAsia="Times New Roman" w:hAnsi="Times New Roman"/>
          <w:sz w:val="22"/>
          <w:szCs w:val="22"/>
          <w:color w:val="auto"/>
        </w:rPr>
        <w:t>, then, as of the date of the delivery thereof, the information set forth in such Beneficial Ownership Certification is true and correct in all respects.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The Borrowers are not engaged in the business of extending credit for the purpose of purchasing or carrying Margin Stock. No proceeds of any Loan will be used to purchase or carry any Margin Stock or to extend credit to any other Person for the purpose of purchasing or carrying any Margin Stock, in each case, in a manner that would result in a violation (including on the part of any Lender) of Regulation U.</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its Subsidiaries are in compliance with all applicable laws, except to the extent that such non-compliance could not reasonably be expected to have a Material Adverse Effect. Neither the Company nor any Subsidiary has received any notice to the effect that its operations are not in material compliance with any applicable laws or are the subject of any federal or state investigation evaluating whether any remedial action is needed to respond to a Release of any Contaminant, which non-compliance or remedial action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104" w:name="page105"/>
    <w:bookmarkEnd w:id="10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Ownership of Properties</w:t>
      </w:r>
      <w:r>
        <w:rPr>
          <w:rFonts w:ascii="Times New Roman" w:cs="Times New Roman" w:eastAsia="Times New Roman" w:hAnsi="Times New Roman"/>
          <w:sz w:val="22"/>
          <w:szCs w:val="22"/>
          <w:color w:val="auto"/>
        </w:rPr>
        <w:t xml:space="preserve">. On the Effective Date, each of the Company and its Subsidiaries has or will have, as applicable, good title, free of all Liens other than Liens permitted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to or valid leasehold interests in, or valid license rights under, all of its real and personal, tangible and intangible (including patents, trademarks, trade names, service marks and copyrights) property and assets material to its business.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Investment Company Act Status</w:t>
      </w:r>
      <w:r>
        <w:rPr>
          <w:rFonts w:ascii="Times New Roman" w:cs="Times New Roman" w:eastAsia="Times New Roman" w:hAnsi="Times New Roman"/>
          <w:sz w:val="22"/>
          <w:szCs w:val="22"/>
          <w:color w:val="auto"/>
        </w:rPr>
        <w:t>. Neither the Company nor any of its Subsidiaries is an “investment company” as defined in the Investment Company Act of 1940.</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Each of the Company and its Subsidiaries is in compliance with all, and has obtained and is in compliance with all permits and licenses required under, Environmental Laws in effect in each jurisdiction where it has conducted business, except to the extent the failure to so comply or obtain, in the aggregate for all such failures, would not reasonably be expected to have a Material Adverse Effect. Neither the Company nor any Subsidiary is subject to, or knows of any basis for, any liability, damage, action or other cost, contingent or otherwise, under applicable Environmental Laws, or with respect to the Release of or exposure to any Contaminant, that could reasonably be expected to have a Material Adverse Effect. As of the Effective Date, neither the Company nor any Subsidiary has received any:</w:t>
      </w:r>
    </w:p>
    <w:p>
      <w:pPr>
        <w:spacing w:after="0" w:line="180" w:lineRule="exact"/>
        <w:rPr>
          <w:sz w:val="20"/>
          <w:szCs w:val="20"/>
          <w:color w:val="auto"/>
        </w:rPr>
      </w:pPr>
    </w:p>
    <w:p>
      <w:pPr>
        <w:jc w:val="both"/>
        <w:ind w:firstLine="656"/>
        <w:spacing w:after="0" w:line="263" w:lineRule="auto"/>
        <w:tabs>
          <w:tab w:leader="none" w:pos="115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from any Governmental Authority by which any of the Company’s or such Subsidiary’s currently or previously owned or leased property has been identified in any manner by such Governmental Authority as a property requiring remedial or other corrective action with respect to a Release of any Contaminant;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any Environmental Lien that has attached to any of the Company’s or such Subsidiary’s owned property or the Company or any Subsidiaries’ interest in any leased property or any revenues of the Company’s or such Subsidiary’s owned property; or</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 from any Governmental Authority concerning action or omission by the Company or such Subsidiary in connection with its ownership or leasing of any property resulting in the Release of any Contaminant which could reasonably be expected to result in any violation of or liability under any Environmental Law;</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 the effect of which, in the aggregate for all such notices and communications described in clauses (a) through (c), could reasonably be expected to have a Material Adverse Effect.</w:t>
      </w:r>
    </w:p>
    <w:p>
      <w:pPr>
        <w:spacing w:after="0" w:line="17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and the Letters of Credit shall be used as set forth in</w:t>
      </w:r>
      <w:r>
        <w:rPr>
          <w:rFonts w:ascii="Times New Roman" w:cs="Times New Roman" w:eastAsia="Times New Roman" w:hAnsi="Times New Roman"/>
          <w:sz w:val="22"/>
          <w:szCs w:val="22"/>
          <w:u w:val="single" w:color="auto"/>
          <w:color w:val="auto"/>
        </w:rPr>
        <w:t xml:space="preserve">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On the Closing Date, after giving effect to the Transactions to occur on such date, including the making of the Loans and the application of the proceeds thereof, (a) the fair value of the assets of the Company and its Subsidiaries (on a going concern basis), on a consolidated basis, will exceed their debts and liabilities, subordinated, contingent or otherwise, (b) the present fair saleable value of the property of the Company and its Subsidiaries (on a going concern basis), on a consolidated basis, will be greater than the amount that will be required to pay the probable liabilities on their debts and other liabilities,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105" w:name="page106"/>
    <w:bookmarkEnd w:id="105"/>
    <w:p>
      <w:pPr>
        <w:jc w:val="both"/>
        <w:spacing w:after="0" w:line="250" w:lineRule="auto"/>
        <w:rPr>
          <w:sz w:val="20"/>
          <w:szCs w:val="20"/>
          <w:color w:val="auto"/>
        </w:rPr>
      </w:pPr>
      <w:r>
        <w:rPr>
          <w:rFonts w:ascii="Times New Roman" w:cs="Times New Roman" w:eastAsia="Times New Roman" w:hAnsi="Times New Roman"/>
          <w:sz w:val="22"/>
          <w:szCs w:val="22"/>
          <w:color w:val="auto"/>
        </w:rPr>
        <w:t>contingent or otherwise, as such debts and other liabilities become absolute and matured, (c) the Company and its Subsidiaries, on a consolidated basis, will be able to pay their debts and liabilities, subordinated, contingent or otherwise, as such debts and liabilities become absolute and matured and (d) the Company and its Subsidiaries, on a consolidated basis, will not have an unreasonably small capital with which to conduct the businesses in which they are engaged as such businesses are now conducted and proposed to be conducted following the date hereof. For purposes of this Section, the amount of any contingent liability shall be computed as the amount that, in light of all the facts and circumstances existing as of the Closing Date, represents the amount that can reasonably be expected to become an actual or matured liability.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Affected Financial Institutions</w:t>
      </w:r>
      <w:r>
        <w:rPr>
          <w:rFonts w:ascii="Times New Roman" w:cs="Times New Roman" w:eastAsia="Times New Roman" w:hAnsi="Times New Roman"/>
          <w:sz w:val="22"/>
          <w:szCs w:val="22"/>
          <w:color w:val="auto"/>
        </w:rPr>
        <w:t>. Neither the Company nor any Borrowing Subsidiary is an Affected Financial Institution.</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3.18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The Company has implemented and maintains in effect policies and procedures designed to ensure compliance by the Company, its Subsidiaries and its and their respective directors, officers, employees and agents with applicable Anti-Corruption Laws and applicable Sanctions, and the Company, its Subsidiaries and its and their respective officers and employees and, to the knowledge of the Company, its directors and agents are in compliance in all material respects with applicable Anti-Corruption Laws and applicable Sanctions. None of (a) the Company, any Subsidiary or, to the knowledge of the Company, any of its or their respective directors, officers or employees, or (b) to the knowledge of the Company, any agent of the Company or any Subsidiary that will act in any capacity in connection with or benefit from the credit facilities established hereby, is a Sanctioned Person. No Loan or Letter of Credit, use of proceeds thereof or other transaction contemplated by this Agreement will violate applicable Anti-Corruption Laws or applicable Sanctions.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Representations and Warranties of each Borrowing Subsidiary</w:t>
      </w:r>
      <w:r>
        <w:rPr>
          <w:rFonts w:ascii="Times New Roman" w:cs="Times New Roman" w:eastAsia="Times New Roman" w:hAnsi="Times New Roman"/>
          <w:sz w:val="22"/>
          <w:szCs w:val="22"/>
          <w:color w:val="auto"/>
        </w:rPr>
        <w:t xml:space="preserve">. Each Borrowing Subsidiary represents and warrants to the Administrative Agent, the Lenders and the Issuing Banks, on the date such Borrowing Subsidiary becomes a party hereto pursuant to </w:t>
      </w:r>
      <w:r>
        <w:rPr>
          <w:rFonts w:ascii="Times New Roman" w:cs="Times New Roman" w:eastAsia="Times New Roman" w:hAnsi="Times New Roman"/>
          <w:sz w:val="22"/>
          <w:szCs w:val="22"/>
          <w:u w:val="single" w:color="auto"/>
          <w:color w:val="auto"/>
        </w:rPr>
        <w:t>Section 2.22(a)</w:t>
      </w:r>
      <w:r>
        <w:rPr>
          <w:rFonts w:ascii="Times New Roman" w:cs="Times New Roman" w:eastAsia="Times New Roman" w:hAnsi="Times New Roman"/>
          <w:sz w:val="22"/>
          <w:szCs w:val="22"/>
          <w:color w:val="auto"/>
        </w:rPr>
        <w:t xml:space="preserve"> and on each other date on which representations and warranties of such Borrowing Subsidiary are required to be, or are deemed to be, made under the Loan Documents, that:</w:t>
      </w:r>
    </w:p>
    <w:p>
      <w:pPr>
        <w:spacing w:after="0" w:line="176" w:lineRule="exact"/>
        <w:rPr>
          <w:sz w:val="20"/>
          <w:szCs w:val="20"/>
          <w:color w:val="auto"/>
        </w:rPr>
      </w:pPr>
    </w:p>
    <w:p>
      <w:pPr>
        <w:jc w:val="both"/>
        <w:ind w:firstLine="656"/>
        <w:spacing w:after="0" w:line="250" w:lineRule="auto"/>
        <w:tabs>
          <w:tab w:leader="none" w:pos="11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Corporate Powers</w:t>
      </w:r>
      <w:r>
        <w:rPr>
          <w:rFonts w:ascii="Times New Roman" w:cs="Times New Roman" w:eastAsia="Times New Roman" w:hAnsi="Times New Roman"/>
          <w:sz w:val="22"/>
          <w:szCs w:val="22"/>
          <w:color w:val="auto"/>
        </w:rPr>
        <w:t>. Such Borrowing Subsidiary (i) is a company duly organized, incorporated, validly existing and, to the extent such concept is applicable in the relevant jurisdiction, in good standing under the laws of the state or country of its organization (such jurisdiction being hereinafter referred to as the “</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(ii) has the requisite power and authority to own its property and assets and to carry on its business substantially as now conducted, except where the failure to have such requisite authority would not have a Material Adverse Effect on such Borrowing Subsidiary, and (iii) has the requisite power and authority and legal right to execute and deliver each Loan Document to which it is a party and to perform its obligations thereunder. The execution and delivery by such Borrowing Subsidiary of the Loan Documents to which it is a party and the performance by it of its obligations thereunder have been duly authorized by necessary corporate (or equivalent) actions on the part of such Borrowing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656"/>
        <w:spacing w:after="0" w:line="256" w:lineRule="auto"/>
        <w:tabs>
          <w:tab w:leader="none" w:pos="12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Each Loan Document executed by such Borrowing Subsidiary is the legal, valid and binding obligation of such Borrowing Subsidiary, enforceable against such Borrowing Subsidiary in accordance with its terms, except as enforceability may be limited by bankruptcy, insolvency or similar laws affecting the enforcement of creditors’ rights generally and general equitable principles (regardless of whether enforcement is sought in equity or at law).</w:t>
      </w:r>
    </w:p>
    <w:p>
      <w:pPr>
        <w:spacing w:after="0" w:line="176" w:lineRule="exact"/>
        <w:rPr>
          <w:rFonts w:ascii="Times New Roman" w:cs="Times New Roman" w:eastAsia="Times New Roman" w:hAnsi="Times New Roman"/>
          <w:sz w:val="22"/>
          <w:szCs w:val="22"/>
          <w:color w:val="auto"/>
        </w:rPr>
      </w:pPr>
    </w:p>
    <w:p>
      <w:pPr>
        <w:jc w:val="both"/>
        <w:ind w:firstLine="656"/>
        <w:spacing w:after="0" w:line="247" w:lineRule="auto"/>
        <w:tabs>
          <w:tab w:leader="none" w:pos="115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Government Consent</w:t>
      </w:r>
      <w:r>
        <w:rPr>
          <w:rFonts w:ascii="Times New Roman" w:cs="Times New Roman" w:eastAsia="Times New Roman" w:hAnsi="Times New Roman"/>
          <w:sz w:val="22"/>
          <w:szCs w:val="22"/>
          <w:color w:val="auto"/>
        </w:rPr>
        <w:t>. Neither the execution and delivery by such Borrowing Subsidiary of the Loan Documents to which it is a party, nor the consummation by it of the transactions therein contemplated to be consummated by it, nor compliance by such Borrowing Subsidiary with the provisions thereof will violate (i) any law, rule, regulation, order, writ, judgment, injunction, decree or award binding on such Borrowing Subsidiary, (ii) such Borrowing Subsidiary’s memoranda of association or articles or certificate of incorporation, by-laws or other constituent documents and agreements or (iii) the provisions of any material indenture, instrument or agreement to which such Borrowing Subsidiary or any of its subsidiaries is a party or is subject, or by which it, or its property, is bound, or conflict with or constitute a default thereunder, or result in the creation or imposition of any Lien (other than Liens permitted under Section 6.01) on the property of such Borrowing Subsidiary or any of its subsidiaries pursuant to the terms of any such indenture, instrument or agreement. No order, consent, approval, license, authorization, or validation of, or filing, recording or registration with, or exemption by, any Governmental Authority is required to authorize, or is required to be made by such Borrowing Subsidiary in connection with the execution, delivery and performance by such Borrowing Subsidiary of, or the legality, validity, binding effect or enforceability of, any of the Loan Documents to which it is a party except such as have been obtained or made and are in full force and effect.</w:t>
      </w:r>
    </w:p>
    <w:p>
      <w:pPr>
        <w:spacing w:after="0" w:line="19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1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w:t>
      </w:r>
      <w:r>
        <w:rPr>
          <w:rFonts w:ascii="Times New Roman" w:cs="Times New Roman" w:eastAsia="Times New Roman" w:hAnsi="Times New Roman"/>
          <w:sz w:val="22"/>
          <w:szCs w:val="22"/>
          <w:color w:val="auto"/>
        </w:rPr>
        <w:t>. To ensure the enforceability or admissibility in evidence of this Agreement and each Loan Document to which such Borrowing Subsidiary is a party in its Home Country, it is not necessary that this Agreement or any other Loan Document to which such Borrowing Subsidiary is a party or any other document be filed or recorded with any court or other authority in its Home Country or that any stamp or similar tax be paid to or in respect of this Agreement or any other Loan Document of such Borrowing Subsidiary. The qualification by any Lender, any Issuing Bank or the Administrative Agent for admission to do business under the laws of such Borrowing Subsidiary’s Home Country does not constitute a condition to, and the failure to so qualify does not affect, the exercise by any Lender, any Issuing Bank or the Administrative Agent of any right, privilege, or remedy afforded to any Lender, any Issuing Bank or the Administrative Agent in connection with the Loan Documents to which such Borrowing Subsidiary is a party or the enforcement of any such right, privilege, or remedy against such Borrowing Subsidiary.</w:t>
      </w:r>
    </w:p>
    <w:p>
      <w:pPr>
        <w:spacing w:after="0" w:line="183" w:lineRule="exact"/>
        <w:rPr>
          <w:rFonts w:ascii="Times New Roman" w:cs="Times New Roman" w:eastAsia="Times New Roman" w:hAnsi="Times New Roman"/>
          <w:sz w:val="22"/>
          <w:szCs w:val="22"/>
          <w:color w:val="auto"/>
        </w:rPr>
      </w:pPr>
    </w:p>
    <w:p>
      <w:pPr>
        <w:jc w:val="both"/>
        <w:ind w:firstLine="656"/>
        <w:spacing w:after="0" w:line="275" w:lineRule="auto"/>
        <w:tabs>
          <w:tab w:leader="none" w:pos="1131"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Immunity</w:t>
      </w:r>
      <w:r>
        <w:rPr>
          <w:rFonts w:ascii="Times New Roman" w:cs="Times New Roman" w:eastAsia="Times New Roman" w:hAnsi="Times New Roman"/>
          <w:sz w:val="21"/>
          <w:szCs w:val="21"/>
          <w:color w:val="auto"/>
        </w:rPr>
        <w:t>. Neither such Borrowing Subsidiary nor any of its assets is entitled to immunity from suit, execution, attachment or other legal process. Such Borrowing Subsidiary’s execution and delivery of the Loan Documents to which it is a party constitute, and the exercise of its rights and performance of and compliance with its obligations under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Documents will constitute, private and commercial acts done and performed for private and commercial purposes.</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u w:val="single" w:color="auto"/>
          <w:color w:val="auto"/>
        </w:rPr>
        <w:t>Covered Entities</w:t>
      </w:r>
      <w:r>
        <w:rPr>
          <w:rFonts w:ascii="Times New Roman" w:cs="Times New Roman" w:eastAsia="Times New Roman" w:hAnsi="Times New Roman"/>
          <w:sz w:val="21"/>
          <w:szCs w:val="21"/>
          <w:color w:val="auto"/>
        </w:rPr>
        <w:t>. Neither the Company nor any Borrowing Subsidiary is a Covered Entity.</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to Effective Date</w:t>
      </w:r>
      <w:r>
        <w:rPr>
          <w:rFonts w:ascii="Times New Roman" w:cs="Times New Roman" w:eastAsia="Times New Roman" w:hAnsi="Times New Roman"/>
          <w:sz w:val="22"/>
          <w:szCs w:val="22"/>
          <w:color w:val="auto"/>
        </w:rPr>
        <w:t xml:space="preserve">. This Agreement shall not become effective until the date on which each of the following conditions shall be satisfied (or waived in accordance with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63" w:lineRule="auto"/>
        <w:tabs>
          <w:tab w:leader="none" w:pos="11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each party hereto (i) a counterpart of this Agreement executed by each party hereto or (ii) written evidence satisfactory to the Administrative Agent (which may include facsimile transmission or other electronic imaging) that such party has signed a counterpart of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the Lenders and the Issuing Banks and dated the Effective Date) of (i) Sullivan &amp; Cromwell LLP, in its capacity as special New York counsel to the Loan Parties, (ii) Arthur Cox, in its capacity as Irish counsel to the Loan Parties, (iii) Mannheimer Swartling, in its capacity as Swedish counsel to the Loan Parties, and (iv) Davis Polk &amp; Wardwell London LLP, in its capacity as special English counsel to the Administrative Agent, in each case, in form and substance reasonably satisfactory to the Administrative Agent.</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may reasonably request relating to the organization, incorporation, existence and, to the extent applicable in the relevant jurisdiction, good standing of each Loan Party, the authorization of the Loan Documents, the incumbency of the Persons executing any Loan Document on behalf of each Loan Party and any other legal matters relating to each Loan Party, the Loan Documents or the Transactions, all in form and substance reasonably satisfactory to the Administrative Agent.</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expenses (including reasonable and documented legal fees and expenses) and fees contemplated by the Loan Documents, or otherwise agreed by the Company with the Arrangers in connection with the Loan Documents, to be reimbursable or payable by or on behalf of the Company to the Arrangers (or Affiliates thereof), the Administrative Agent or the Lenders shall have been paid on or prior to the Effective Date, in each case, to the extent required to be paid on or prior to the Effective Date and, in the case of costs and expenses, invoiced at least two Business Days prior to the Effective Date.</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Effective Date and signed by an Authorized Officer of the Company, certifying that, as of the Effective Date and after giving effect to the Transactions that are to occur on such date,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108" w:name="page109"/>
    <w:bookmarkEnd w:id="108"/>
    <w:p>
      <w:pPr>
        <w:jc w:val="both"/>
        <w:spacing w:after="0" w:line="257" w:lineRule="auto"/>
        <w:rPr>
          <w:sz w:val="20"/>
          <w:szCs w:val="20"/>
          <w:color w:val="auto"/>
        </w:rPr>
      </w:pPr>
      <w:r>
        <w:rPr>
          <w:rFonts w:ascii="Times New Roman" w:cs="Times New Roman" w:eastAsia="Times New Roman" w:hAnsi="Times New Roman"/>
          <w:sz w:val="22"/>
          <w:szCs w:val="22"/>
          <w:color w:val="auto"/>
        </w:rPr>
        <w:t>representations and warranties of the Company set forth in the Loan Documents are true and correct (A) in the case of the representations and warranties qualified as to materiality, in all respects and (B) otherwise, in all material respects and (ii) no Default or Event of Default has occurred and is continuing.</w:t>
      </w:r>
    </w:p>
    <w:p>
      <w:pPr>
        <w:spacing w:after="0" w:line="186" w:lineRule="exact"/>
        <w:rPr>
          <w:sz w:val="20"/>
          <w:szCs w:val="20"/>
          <w:color w:val="auto"/>
        </w:rPr>
      </w:pPr>
    </w:p>
    <w:p>
      <w:pPr>
        <w:jc w:val="both"/>
        <w:ind w:firstLine="656"/>
        <w:spacing w:after="0" w:line="265" w:lineRule="auto"/>
        <w:tabs>
          <w:tab w:leader="none" w:pos="111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shall have received, (i) at least three Business Days prior to the Effective Date, all documentation and other information regarding the Company and the Subsidiaries required by bank regulatory authorities under applicable “know your customer” and anti-money laundering rules and regulations, including, without limitation, the USA PATRIOT Act, that has been reasonably requested in writing by the Administrative Agent or any Lender at least 10 Business Days prior to the Effective Date and (ii) to the extent the Company qualifies as a “legal entity customer” under the Beneficial Ownership Regulation, at least five Business Days prior to the Effective Date, a Beneficial Ownership Certification in relation to the Company.</w:t>
      </w:r>
    </w:p>
    <w:p>
      <w:pPr>
        <w:spacing w:after="0" w:line="16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Effective Date, and such notice shall be conclusive and binding.</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to Each Revolving Credit Event</w:t>
      </w:r>
      <w:r>
        <w:rPr>
          <w:rFonts w:ascii="Times New Roman" w:cs="Times New Roman" w:eastAsia="Times New Roman" w:hAnsi="Times New Roman"/>
          <w:sz w:val="22"/>
          <w:szCs w:val="22"/>
          <w:color w:val="auto"/>
        </w:rPr>
        <w:t xml:space="preserve">. The obligation of each Revolving Lender to make a Revolving Loan on the occasion of each Revolving Borrowing (other than any conversion or continuation of any Revolving Loan) and of each Issuing Bank to issue, amend to increase the amount thereof, renew (other than an automatic renewal permitted pursuant to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or extend any Letter of Credit is subject to receipt of the request therefor in accordance herewith and to the satisfaction of the following conditions:</w:t>
      </w:r>
    </w:p>
    <w:p>
      <w:pPr>
        <w:spacing w:after="0" w:line="179" w:lineRule="exact"/>
        <w:rPr>
          <w:sz w:val="20"/>
          <w:szCs w:val="20"/>
          <w:color w:val="auto"/>
        </w:rPr>
      </w:pPr>
    </w:p>
    <w:p>
      <w:pPr>
        <w:jc w:val="both"/>
        <w:ind w:firstLine="656"/>
        <w:spacing w:after="0" w:line="251" w:lineRule="auto"/>
        <w:tabs>
          <w:tab w:leader="none" w:pos="11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each Loan Party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after the Effective Date, the representations and warranties set forth in </w:t>
      </w:r>
      <w:r>
        <w:rPr>
          <w:rFonts w:ascii="Times New Roman" w:cs="Times New Roman" w:eastAsia="Times New Roman" w:hAnsi="Times New Roman"/>
          <w:sz w:val="22"/>
          <w:szCs w:val="22"/>
          <w:u w:val="single" w:color="auto"/>
          <w:color w:val="auto"/>
        </w:rPr>
        <w:t>Sections 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3.07</w:t>
      </w:r>
      <w:r>
        <w:rPr>
          <w:rFonts w:ascii="Times New Roman" w:cs="Times New Roman" w:eastAsia="Times New Roman" w:hAnsi="Times New Roman"/>
          <w:sz w:val="22"/>
          <w:szCs w:val="22"/>
          <w:color w:val="auto"/>
        </w:rPr>
        <w:t>) shall be true and correct (i) in the case of the representations and warranties qualified as to materiality, in all respects and (ii) otherwise, in all material respects, in each case on and as of the date of such Borrowing or the date of such issuance, amendment, renewal or extension of such Letter of Credit, as applicable, except in the case of any such representation and warranty that expressly relates to a prior date, in which case such representation and warranty shall be so true and correct on and as of such prior date.</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0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such issuance, amendment, renewal or extension of such Letter of Credit, as applicable, no Default or Event of Default shall have occurred and be continuing.</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16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applicable Issuing Bank shall have received a written Borrowing Request or request for the issuance of a Letter of Credit, as applicable, in accordance with the requirements hereof.</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shall have occurred.</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On the date of any Revolving Borrowing (other than any conversion or continuation of any Revolving Loan) or the issuance, amendment to increase the amount thereof, renewal (other than an automatic renewal permitted pursuant to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or extension of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2" w:right="339" w:bottom="1440" w:gutter="0" w:footer="0" w:header="0"/>
        </w:sectPr>
      </w:pPr>
    </w:p>
    <w:bookmarkStart w:id="109" w:name="page110"/>
    <w:bookmarkEnd w:id="10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the Company and the applicable Borrower shall be deemed to have represented and warranted that the conditions specified in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have been satisfied.</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Conditions to Initial Revolving Credit Event to each Borrowing Subsidiary</w:t>
      </w:r>
      <w:r>
        <w:rPr>
          <w:rFonts w:ascii="Times New Roman" w:cs="Times New Roman" w:eastAsia="Times New Roman" w:hAnsi="Times New Roman"/>
          <w:sz w:val="22"/>
          <w:szCs w:val="22"/>
          <w:color w:val="auto"/>
        </w:rPr>
        <w:t xml:space="preserve">. The obligations of the Revolving Lenders to make Revolving Loans and of the Issuing Banks to issue Letters of Credit hereunder to or for the account of any Borrowing Subsidiary (other than Intergraph Corporation and Octave Intelligence Finance Ltd) shall not become effective until the date on which each of the following additional conditions shall be satisfied (unless waived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63" w:lineRule="auto"/>
        <w:tabs>
          <w:tab w:leader="none" w:pos="11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the Lenders and the Issuing Banks and dated the Effective Date) of counsel to such Borrowing Subsidiary, in form and substance reasonably satisfactory to the Administrative Agent.</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0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may reasonably request relating to the organization, existence and, if applicable, good standing of such Borrowing Subsidiary, the authorization of the Loan Documents by such Borrowing Subsidiary, the incumbency of the Persons executing any Loan Document on behalf of such Borrowing Subsidiary and any other legal matters reasonably relating to such Borrowing Subsidiary, this Agreement or its Borrowing Subsidiary Accession Agreement, all in form and substance reasonably satisfactory to the Administrative Agent.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Conditions to Closing Date</w:t>
      </w:r>
      <w:r>
        <w:rPr>
          <w:rFonts w:ascii="Times New Roman" w:cs="Times New Roman" w:eastAsia="Times New Roman" w:hAnsi="Times New Roman"/>
          <w:sz w:val="22"/>
          <w:szCs w:val="22"/>
          <w:color w:val="auto"/>
        </w:rPr>
        <w:t xml:space="preserve">. The obligations of the Lenders to make Loans and of the Issuing Banks to issue Letters of Credit hereunder shall not become effective until the date on which each of the following conditions is satisfied (unless waived in accordance with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56"/>
        <w:spacing w:after="0" w:line="251" w:lineRule="auto"/>
        <w:tabs>
          <w:tab w:leader="none" w:pos="11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Loan Party set forth in this Agreement shall be true and correct (i) in the case of the representations and warranties qualified as to materiality, in all respects and (ii) otherwise, in all material respects in each case on and as of the date of such Borrowing or the date of such issuance, amendment, renewal or extension of such Letter of Credit, as applicable, except in the case of any such representation and warranty that expressly stated to have been made as of a specific date, in which case such representation and warranty shall be so true and correct on in all material respects and as of such specific date.</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0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such issuance, amendment, renewal or extension of such Letter of Credit, as applicable, no Default or Event of Default shall have occurred and be continuing.</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Spin-Off Effective Date shall have occurred and the Spin-Off shall have been consummated substantially concurrently with the making of such Loans or the issuances of such Letter of Credit in all material respects in accordance with the Distribution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provision of the Distribution Agreement shall have been amended or amended or modified by the Company, and no condition therein shall have been waived or consent granted or request made by the Company, in each case, in any respect that is materially adverse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2"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22"/>
          <w:szCs w:val="22"/>
          <w:color w:val="auto"/>
        </w:rPr>
        <w:t>Lenders in their capacities as such without the prior written consent of the Lead Arrangers (which consent shall not be unreasonably withheld or delayed and will be deemed to have been provided by a Lead Arranger if the form or substance of such amendment, modification, waiver or consent has been provided to such Lead Arranger and it has not objected by written notice to the Company within five (5) Business Days).</w:t>
      </w:r>
    </w:p>
    <w:p>
      <w:pPr>
        <w:spacing w:after="0" w:line="176" w:lineRule="exact"/>
        <w:rPr>
          <w:sz w:val="20"/>
          <w:szCs w:val="20"/>
          <w:color w:val="auto"/>
        </w:rPr>
      </w:pPr>
    </w:p>
    <w:p>
      <w:pPr>
        <w:jc w:val="both"/>
        <w:ind w:firstLine="656"/>
        <w:spacing w:after="0" w:line="257" w:lineRule="auto"/>
        <w:tabs>
          <w:tab w:leader="none" w:pos="111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Company, dated the Closing Date and signed by an Authorized Officer of the Company, certifying that, as of the Closing Date and after giving effect to the Transactions that are to occur on such date, the conditions set forth in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have been satisfied.</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solvency certificate,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dated as of the Closing Date from the chief financial officer (or an Authorized Officer with reasonably equivalent responsibilities) of the Company dated as of the Closing Date and certifying as to the matters set forth therein.</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5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expenses (including reasonable and documented legal fees and expenses) and fees contemplated by the Loan Documents, or otherwise agreed by the Company with the Arrangers in connection with the Loan Documents, to be reimbursable or payable by or on behalf of the Company to the Arrangers (or Affiliates thereof), the Administrative Agent or the Lenders shall have been paid on or prior to the Closing Date, in each case, to the extent required to be paid on or prior to the Closing Date and, in the case of costs and expenses, invoiced at least two Business Days prior to the Closing Date.</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Early Termination Date shall not have occurred.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Administrative Agent shall notify the Company and the Lenders of the satisfaction of the conditions to Closing Date specified in this Section, and such notice shall be conclusive and binding. Each Borrowing shall be deemed to constitute a representation and warranty by the Company and the applicable Borrower on the date thereof as to the matters specified in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Until the Commitments shall have expired or been terminated, the principal of and interest on each Loan and all fees payable hereunder shall have been paid in full, all Letters of Credit shall have expired or been terminated and all LC Disbursements shall have been reimbursed, the Company covenants and agrees that: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Financial Reporting</w:t>
      </w:r>
      <w:r>
        <w:rPr>
          <w:rFonts w:ascii="Times New Roman" w:cs="Times New Roman" w:eastAsia="Times New Roman" w:hAnsi="Times New Roman"/>
          <w:sz w:val="21"/>
          <w:szCs w:val="21"/>
          <w:color w:val="auto"/>
        </w:rPr>
        <w:t>. The Company shall furnish to the Administrative Agent:</w:t>
      </w:r>
    </w:p>
    <w:p>
      <w:pPr>
        <w:spacing w:after="0" w:line="220" w:lineRule="exact"/>
        <w:rPr>
          <w:sz w:val="20"/>
          <w:szCs w:val="20"/>
          <w:color w:val="auto"/>
        </w:rPr>
      </w:pPr>
    </w:p>
    <w:p>
      <w:pPr>
        <w:ind w:right="20" w:firstLine="656"/>
        <w:spacing w:after="0" w:line="271" w:lineRule="auto"/>
        <w:tabs>
          <w:tab w:leader="none" w:pos="11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Reports</w:t>
      </w:r>
      <w:r>
        <w:rPr>
          <w:rFonts w:ascii="Times New Roman" w:cs="Times New Roman" w:eastAsia="Times New Roman" w:hAnsi="Times New Roman"/>
          <w:sz w:val="22"/>
          <w:szCs w:val="22"/>
          <w:color w:val="auto"/>
        </w:rPr>
        <w:t>. As soon as practicable and in any event within 45 days after the end of each of the first three fiscal quarters of each of its fiscal years (commencing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49" w:lineRule="auto"/>
        <w:rPr>
          <w:sz w:val="20"/>
          <w:szCs w:val="20"/>
          <w:color w:val="auto"/>
        </w:rPr>
      </w:pPr>
      <w:r>
        <w:rPr>
          <w:rFonts w:ascii="Times New Roman" w:cs="Times New Roman" w:eastAsia="Times New Roman" w:hAnsi="Times New Roman"/>
          <w:sz w:val="22"/>
          <w:szCs w:val="22"/>
          <w:color w:val="auto"/>
        </w:rPr>
        <w:t>first fiscal quarter ending after the Closing Date), an unaudited condensed consolidated balance sheet of the Company and its Subsidiaries as at the end of such fiscal quarter and related unaudited condensed consolidated statements of income, comprehensive income and cash flows for such fiscal quarter and the period from the beginning of such fiscal year to the end of such fiscal quarter (and, in the case of the consolidated statements of income and cash flows, on a comparative basis with the statements for such period in the prior fiscal year of the Company), which shall present fairly, in all material respects, the consolidated financial position of the Company and its Subsidiaries as at the dates indicated and their results of operations and cash flows for the periods indicated in accordance with GAAP, subject to normal year-end audit adjustments and the absence of certain footnotes.</w:t>
      </w:r>
    </w:p>
    <w:p>
      <w:pPr>
        <w:spacing w:after="0" w:line="195" w:lineRule="exact"/>
        <w:rPr>
          <w:sz w:val="20"/>
          <w:szCs w:val="20"/>
          <w:color w:val="auto"/>
        </w:rPr>
      </w:pPr>
    </w:p>
    <w:p>
      <w:pPr>
        <w:jc w:val="both"/>
        <w:ind w:firstLine="656"/>
        <w:spacing w:after="0" w:line="247" w:lineRule="auto"/>
        <w:tabs>
          <w:tab w:leader="none" w:pos="118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Reports</w:t>
      </w:r>
      <w:r>
        <w:rPr>
          <w:rFonts w:ascii="Times New Roman" w:cs="Times New Roman" w:eastAsia="Times New Roman" w:hAnsi="Times New Roman"/>
          <w:sz w:val="22"/>
          <w:szCs w:val="22"/>
          <w:color w:val="auto"/>
        </w:rPr>
        <w:t>. As soon as practicable, and in any event within 90 days after the end of each of its fiscal years, commencing with the first fiscal year ending after the Closing Date, an audited consolidated balance sheet of the Company and its Subsidiaries as at the end of such fiscal year and related audited consolidated statements of income, comprehensive income, stockholders’ equity and cash flows for such fiscal year, accompanied by an audit report thereon of an internationally recognized independent registered public accounting firm, which audit report shall not contain any “going concern” or like qualification or exception or any qualification or exception as to the scope of audit and shall state that such financial statements present fairly, in all material respects, the consolidated financial position of the Company and its Subsidiaries as at the dates indicated and their results of operations and cash flows for the periods indicated in conformity with GAAP and that the examination by such accounting firm in connection with such consolidated financial statements has been made in accordance with generally accepted auditing standards in the United States.</w:t>
      </w:r>
    </w:p>
    <w:p>
      <w:pPr>
        <w:spacing w:after="0" w:line="190"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Concurrently with each delivery of any financial statement pursuant to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w:t>
      </w:r>
    </w:p>
    <w:p>
      <w:pPr>
        <w:spacing w:after="0" w:line="29" w:lineRule="exact"/>
        <w:rPr>
          <w:rFonts w:ascii="Times New Roman" w:cs="Times New Roman" w:eastAsia="Times New Roman" w:hAnsi="Times New Roman"/>
          <w:sz w:val="22"/>
          <w:szCs w:val="22"/>
          <w:color w:val="auto"/>
        </w:rPr>
      </w:pPr>
    </w:p>
    <w:p>
      <w:pPr>
        <w:jc w:val="both"/>
        <w:ind w:firstLine="8"/>
        <w:spacing w:after="0" w:line="247" w:lineRule="auto"/>
        <w:tabs>
          <w:tab w:leader="none" w:pos="316" w:val="left"/>
        </w:tabs>
        <w:numPr>
          <w:ilvl w:val="0"/>
          <w:numId w:val="9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Section, a Compliance Certificate, signed by the Company’s chief financial officer, chief accounting officer, treasurer or assistant treasurer, setting forth calculations for the period then ended which demonstrate compliance with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calculating the Leverage Ratio for purposes of determining the then Applicable Rate and stating that as of the date of such Compliance Certificate no Default or Event of Default exists, or if any Default or Event of Default exists, stating the nature and status thereof.</w:t>
      </w:r>
    </w:p>
    <w:p>
      <w:pPr>
        <w:spacing w:after="0" w:line="19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(to the extent any such documents are included in materials otherwise filed with the SEC) may be delivered electronically and if so delivered, shall be deemed to have been delivered on the date on which (i) the Company posts such documents, or provides a link thereto, on the Company’s website on the Internet at the website address www.trimble.com or (ii) such documents are posted on the Company’s behalf on an Internet website, if any, to which each Lender and the Administrative Agent have access (whether a commercial, third-party website or whether sponsored by the Administrative Agent).</w:t>
      </w:r>
    </w:p>
    <w:p>
      <w:pPr>
        <w:spacing w:after="0" w:line="20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u w:val="single" w:color="auto"/>
          <w:color w:val="auto"/>
        </w:rPr>
        <w:t>Notice of Material Events; Other Information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1" w:lineRule="auto"/>
        <w:tabs>
          <w:tab w:leader="none" w:pos="115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Promptly upon any of the chief executive officer, chief operating officer, chief financial officer, treasurer, controller or other executive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Company obtaining actual knowledge (i) of any condition or event which constitutes a Default or Event of Default or (ii) that any Person has given any written notice to the Company or any Subsidiary or taken any other action with respect to a claimed default or event or condition of the type referred to in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 the Company shall deliver to the Administrative Agent a certificate of an Authorized Officer specifying (A) the nature and period of existence of any such Default or Event of Default or any such claimed default or event or condition, (B) the notice given or action taken by such Person in connection therewith and</w:t>
      </w:r>
    </w:p>
    <w:p>
      <w:pPr>
        <w:spacing w:after="0" w:line="2"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what action the Company has taken, is taking or proposes to take with respect thereto.</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Lawsuits</w:t>
      </w:r>
      <w:r>
        <w:rPr>
          <w:rFonts w:ascii="Times New Roman" w:cs="Times New Roman" w:eastAsia="Times New Roman" w:hAnsi="Times New Roman"/>
          <w:sz w:val="22"/>
          <w:szCs w:val="22"/>
          <w:color w:val="auto"/>
        </w:rPr>
        <w:t xml:space="preserve">. Promptly upon any of the chief executive officer, chief operating officer, chief financial officer, treasurer, controller or other executive officer of the Company obtaining actual knowledge of the filing or commencement of any action, suit or proceeding by or before any arbitrator or Governmental Authority against the Company or any Subsidiary that could reasonably be expected to have a Material Adverse Effect, the Company shall give written notice thereof to the Administrative Agent and provide such other information as may be reasonably requested by the Administrative Agent or any Lender to enable the Administrative Agent or such Lender to evaluate such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provide information that is subject to attorney-client or similar privilege or constitutes attorney work product.</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The Company shall, promptly following a request by any Lender, prepare and deliver to such Lender all documentation and other information such Lender reasonably requests in order to comply with its ongoing obligations under applicable “know your customer” and anti-money laundering rules and regulations, including the USA PATRIOT Act. The Company shall (i) prepare and deliver to the Administrative Agent notice of any change in the information provided in any Beneficial Ownership Certification that would result in a change to the list of beneficial owners identified in parts (c) or (d) of such Beneficial Ownership Certification and (ii) promptly upon receiving a request therefor from the Administrative Agent, prepare and deliver to the Administrative Agent such other information with respect to the Company or any of its Subsidiaries as from time to time may be reasonably requested by the Administrative Agent.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Corporate Existence, Etc</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the Company shall, and shall cause each of its Subsidiaries to, at all times maintain its corporate (or other applicable entity) existence and preserve and keep, or cause to be preserved and kept, in full force and effect its rights and franchises material to its businesses, except where the failure to maintain such existence (other than in the case of the Company or any other Borrower) or any such rights or franchises could not reasonably be expected to have a Material Adverse Effect.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Corporate Powers; Conduct of Business</w:t>
      </w:r>
      <w:r>
        <w:rPr>
          <w:rFonts w:ascii="Times New Roman" w:cs="Times New Roman" w:eastAsia="Times New Roman" w:hAnsi="Times New Roman"/>
          <w:sz w:val="22"/>
          <w:szCs w:val="22"/>
          <w:color w:val="auto"/>
        </w:rPr>
        <w:t>. The Company shall, and shall cause each of its Subsidiaries to, qualify and remain qualified to do business in each jurisdiction in which the nature of its business requires it to be so qualified and where the failure to be so qualified could reasonably be expected to have a Material Adverse Effect.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Compliance with Laws, Etc</w:t>
      </w:r>
      <w:r>
        <w:rPr>
          <w:rFonts w:ascii="Times New Roman" w:cs="Times New Roman" w:eastAsia="Times New Roman" w:hAnsi="Times New Roman"/>
          <w:sz w:val="22"/>
          <w:szCs w:val="22"/>
          <w:color w:val="auto"/>
        </w:rPr>
        <w:t>. The Company shall, and shall cause each of its Subsidiaries to, (a) comply with all applicable laws and (b) obtain as needed all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6" w:lineRule="auto"/>
        <w:rPr>
          <w:sz w:val="20"/>
          <w:szCs w:val="20"/>
          <w:color w:val="auto"/>
        </w:rPr>
      </w:pPr>
      <w:r>
        <w:rPr>
          <w:rFonts w:ascii="Times New Roman" w:cs="Times New Roman" w:eastAsia="Times New Roman" w:hAnsi="Times New Roman"/>
          <w:sz w:val="22"/>
          <w:szCs w:val="22"/>
          <w:color w:val="auto"/>
        </w:rPr>
        <w:t>necessary for its operations and maintain such permits in good standing, unless failure to comply or to obtain or maintain such permits could not reasonably be expected to have a Material Adverse Effect. The Company shall maintain in effect and enforce policies and procedures designed to ensure compliance in all material respects by the Company, its Subsidiaries and its and their respective directors, officers, employees and agents with Anti-Corruption Laws and applicable Sanctions.</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Payment of Taxes and Claims</w:t>
      </w:r>
      <w:r>
        <w:rPr>
          <w:rFonts w:ascii="Times New Roman" w:cs="Times New Roman" w:eastAsia="Times New Roman" w:hAnsi="Times New Roman"/>
          <w:sz w:val="21"/>
          <w:szCs w:val="21"/>
          <w:color w:val="auto"/>
        </w:rPr>
        <w:t xml:space="preserve">. The Company shall, and shall cause each of its Subsidiaries to, pay (a) all material Taxes, assessments and other governmental charges imposed upon it or on any of its properties or assets or in respect of any of its franchises, business, income or property before becoming delinquent and (b) all claims (including, without limitation, claims for labor, services, materials and supplies) for material sums which have become due and payable and which by law have or may become a Lien (other than a Lien permitted by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upon any of the Company’s or such Subsidiary’s property or assets before becoming delinquent;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Taxes, assessments and governmental charges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or claims referred to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(and interest, penalties or fines relating thereto) need be paid if (i) such Taxes, assessments and governmental charges or claims are being contested in good faith by appropriate proceedings diligently instituted and conducted and adequate reserves in accordance with GAAP are being maintained by the Company or such Subsidiary, or (ii) the failure to do so would not reasonably be expected to have a Material Adverse Effect.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shall maintain, and shall cause to be maintained on behalf of each of its Subsidiaries, insurance coverage by financially sound and reputable insurance companies or associations, against such casualties and contingencies, of such types and in such amounts as are customary for companies engaged in similar businesses and owning and operating similar properties, it being understood that the Company and its Subsidiaries may self-insure against hazards and risks with respect to which, and in such amounts, as the Company in good faith determines prudent and consistent with sound financial practice, and as are customary for companies engaged in similar businesses and owning and operating similar properties. The Company shall furnish to any Lender upon request such information as to the insurance carried by the Company as such Lender may reasonably request.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Inspection of Property; Books and Records; Discussions</w:t>
      </w:r>
      <w:r>
        <w:rPr>
          <w:rFonts w:ascii="Times New Roman" w:cs="Times New Roman" w:eastAsia="Times New Roman" w:hAnsi="Times New Roman"/>
          <w:sz w:val="21"/>
          <w:szCs w:val="21"/>
          <w:color w:val="auto"/>
        </w:rPr>
        <w:t>. The Company shall, and cause each of its Subsidiaries to, permit any authorized representative(s) designated by either the Administrative Agent or the Required Lenders (or while any Event of Default exists, any Lender) to visit and inspect, for a reasonable purpose, any of the properties of the Company or any of its Subsidiaries, to examine, audit, check and make copies of their respective financial and accounting records, books, journals, orders, receipts and any correspondence and other data relating to their respective businesses or the transactions contemplated hereby (including, without limitation, in connection with environmental compliance, hazard or liability), and to discuss their affairs, finances and accounts with their officers and their independent certified public accountants, all upon reasonable notice and at such reasonable times during normal business hours, as often as may be reasonably requested (but no more than once per calendar year unless an Event of Default exists). Notwithstanding anything to the contrary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neither the Company nor any of its Subsidiaries will be required to disclose, permit the inspection, examination or making of extracts from, or discussion of, any document, information or other matter (a) that constitutes non-financial trade secrets or non-financial proprietary information, (b) in respect of which disclosure to the Administrative Agent or any Lender (or their respective designated representatives) is then prohibited by any applicable law or any agreement binding on the Company or any of its Subsidiaries or (c) that is subject to attorney-client or similar privilege or constitutes attorney work product. The Company shall keep and maintain, and cause each of its Subsidiaries to keep and maintain, proper books of record and account in which full, true and correct entries in all material respects are made sufficient for the preparation of financial statements in accordance with GAAP.</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Maintenance of Property</w:t>
      </w:r>
      <w:r>
        <w:rPr>
          <w:rFonts w:ascii="Times New Roman" w:cs="Times New Roman" w:eastAsia="Times New Roman" w:hAnsi="Times New Roman"/>
          <w:sz w:val="22"/>
          <w:szCs w:val="22"/>
          <w:color w:val="auto"/>
        </w:rPr>
        <w:t>. The Company shall cause all property used or useful in the conduct of its business or the business of any Subsidiary to be maintained and kept in good condition, repair and working order, ordinary wear and tear excepted, except to the extent that the failure to so maintain such property could not be reasonably expected to have a Material Adverse Effect.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63" w:lineRule="auto"/>
        <w:tabs>
          <w:tab w:leader="none" w:pos="110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Dollar Tranche Term Loans will be used to fund in whole or in part a repayment to the Parent of one or more intercompany balances owing to the Parent by the USD Term Borrower and for other general corporate purposes of the Company and its Subsidiaries.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Euro Tranche Term Loans will be used to fund in whole or in part a repayment to the Parent of one or more intercompany balances owing to the Parent by the EUR Term Borrower and for other general corporate purposes of the Company and its Subsidiaries.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Revolving Loans will be used to fund in whole or in part, and Letters of Credit will be issued to support, a repayment to the Parent of one or more intercompany balances owing to the Parent and for other working capital needs and other general corporate purposes of the Company and its Subsidiaries.</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will not request any Loan or Letter of Credit, and the Company shall not use, and shall procure that its Subsidiaries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Governmental Approvals and Authorizations</w:t>
      </w:r>
      <w:r>
        <w:rPr>
          <w:rFonts w:ascii="Times New Roman" w:cs="Times New Roman" w:eastAsia="Times New Roman" w:hAnsi="Times New Roman"/>
          <w:sz w:val="22"/>
          <w:szCs w:val="22"/>
          <w:color w:val="auto"/>
        </w:rPr>
        <w:t>. Borrowing Subsidiaries shall maintain all material authorizations, consents, approvals and licenses from, exemptions of, and material filings and registrations with, each Governmental Authority of the jurisdiction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115" w:name="page116"/>
    <w:bookmarkEnd w:id="11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which each Borrowing Subsidiary is organized and existing, and all material approvals and consents of each other Person in such jurisdiction.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Until the Commitments shall have expired or been terminated, the principal of and interest on each Loan and all fees payable hereunder shall have been paid in full, all Letters of Credit shall have expired or been terminated and all LC Disbursements shall have been reimbursed, the Company covenants and agrees that: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Company shall not, nor shall it permit any Subsidiary to, directly or indirectly create, incur, assume or permit to exist any Lien on or with respect to any of its property or assets, except:</w:t>
      </w:r>
    </w:p>
    <w:p>
      <w:pPr>
        <w:spacing w:after="0" w:line="144" w:lineRule="exact"/>
        <w:rPr>
          <w:sz w:val="20"/>
          <w:szCs w:val="20"/>
          <w:color w:val="auto"/>
        </w:rPr>
      </w:pPr>
    </w:p>
    <w:p>
      <w:pPr>
        <w:jc w:val="both"/>
        <w:ind w:firstLine="656"/>
        <w:spacing w:after="0" w:line="251" w:lineRule="auto"/>
        <w:tabs>
          <w:tab w:leader="none" w:pos="117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Existing Liens and any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not apply to any other asset of the Company or any Subsidiary and shall secure only those obligations that they secure on the date hereof (together with any accessions, additions, parts, replacements, fixtures, improvements and attachments to such original property, and the proceeds thereof) and any extensions, renewals and refinancings thereof that do not increase the outstanding principal amount thereof except by an amount equal to a reasonable premium or other reasonable amount paid, and expenses reasonably incurred, in connection with such extensions, renewals or refinancings;</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2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acquired by the Company or any Subsidiary after the date hereof existing at the time of the acquisition thereof or existing on any property of any Person that becomes a Subsidiary (or of any Person not previously a Subsidiary that is merged, consolidated or amalgamated with or into the Company or a Subsidiary) after the date hereof prior to the time such Person becomes a Subsidiary (or is so merged, consolidated or amalgamated);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are not created in contemplation of or in connection with such acquisition or such Person becoming a Subsidiary (or such merger, consolidation or amalgamation), as the case may be, (ii) such Liens shall not apply to any other property of the Company or any Subsidiary (other than any accessions, additions, parts, replacements, fixtures, improvements and attachments to such original property, and the proceeds thereof) and (iii) such Liens shall secure only those obligations that they secure on the date of such acquisition or the date such Person becomes a Subsidiary (or is so merged, consolidated or amalgamated), as the case may be, and extensions, renewals and refinancings thereof that do not increase the outstanding principal amount thereof except by an amount equal to a premium or other amount paid, and expenses reasonably incurred, in connection with such extensions, renewals or refinancings;</w:t>
      </w:r>
    </w:p>
    <w:p>
      <w:pPr>
        <w:spacing w:after="0" w:line="184"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of (i) a Subsidiary to the Company or to another Subsidiary or (ii) the Company to any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2" w:right="339" w:bottom="1440" w:gutter="0" w:footer="0" w:header="0"/>
        </w:sectPr>
      </w:pPr>
    </w:p>
    <w:bookmarkStart w:id="116" w:name="page117"/>
    <w:bookmarkEnd w:id="116"/>
    <w:p>
      <w:pPr>
        <w:jc w:val="both"/>
        <w:ind w:firstLine="656"/>
        <w:spacing w:after="0" w:line="250" w:lineRule="auto"/>
        <w:tabs>
          <w:tab w:leader="none" w:pos="114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(including real property) and related software acquired, constructed or improved by the Company or any Subsidiary (together with any accessions, additions, parts, replacements, fixtures, improvements and attachments to such original property, and the proceeds thereof) securing Indebtedness incurred to finance such acquisition, construction or improvement;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and the Indebtedness secured thereby are incurred prior to or within 180 days after such acquisition or the completion of such construction or improvement, (ii) the Indebtedness secured thereby does not exceed the cost of acquiring, constructing or improving such fixed or capital assets and related software and (iii) such Liens shall not apply to any other property or assets of the Company or any Subsidiary;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individual financings of equipment or other fixed or capital assets otherwise permitted to be secured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provided by any Person (or its Affiliates) may be cross-collateralized to other such financings provided by such Person (or its Affiliates);</w:t>
      </w:r>
    </w:p>
    <w:p>
      <w:pPr>
        <w:spacing w:after="0" w:line="179" w:lineRule="exact"/>
        <w:rPr>
          <w:rFonts w:ascii="Times New Roman" w:cs="Times New Roman" w:eastAsia="Times New Roman" w:hAnsi="Times New Roman"/>
          <w:sz w:val="22"/>
          <w:szCs w:val="22"/>
          <w:color w:val="auto"/>
        </w:rPr>
      </w:pPr>
    </w:p>
    <w:p>
      <w:pPr>
        <w:ind w:right="20" w:firstLine="656"/>
        <w:spacing w:after="0" w:line="271" w:lineRule="auto"/>
        <w:tabs>
          <w:tab w:leader="none" w:pos="109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the Company or any of its Subsidiaries in connection with any letter of intent or purchase agreement permitted hereunder;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the proceeds thereof securing such Person’s obligations in respect of letters of credit, bank guarantees and bankers’ acceptances issued or credited for the account of such Person to facilitate the purchase, shipment or storage of such inventory or goods;</w:t>
      </w:r>
    </w:p>
    <w:p>
      <w:pPr>
        <w:spacing w:after="0" w:line="186" w:lineRule="exact"/>
        <w:rPr>
          <w:rFonts w:ascii="Times New Roman" w:cs="Times New Roman" w:eastAsia="Times New Roman" w:hAnsi="Times New Roman"/>
          <w:sz w:val="22"/>
          <w:szCs w:val="22"/>
          <w:color w:val="auto"/>
        </w:rPr>
      </w:pPr>
    </w:p>
    <w:p>
      <w:pPr>
        <w:ind w:right="20" w:firstLine="656"/>
        <w:spacing w:after="0" w:line="271" w:lineRule="auto"/>
        <w:tabs>
          <w:tab w:leader="none" w:pos="12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common law or contractual Liens of creditor depository institutions or institutions holding securities accounts (including rights of set-off or similar rights and remedies);</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2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of cash collateral in an aggregate amount not to exceed at any time US$20,000,000 to secure Hedging Agreements, letters of credit, bank guarantees and banker’s acceptances;</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09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Liens granted in favor of a trustee to secure fees and other amounts owing to a trustee under an indenture or other agreement pursuant to which Indebtedness permitted by this Agreement is issued;</w:t>
      </w:r>
    </w:p>
    <w:p>
      <w:pPr>
        <w:spacing w:after="0" w:line="143"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of Foreign Subsidiaries securing Indebtedness of such Foreign Subsidiaries permitted by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656"/>
        <w:spacing w:after="0" w:line="256" w:lineRule="auto"/>
        <w:tabs>
          <w:tab w:leader="none" w:pos="109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Receivables sold or assigned by the Company or its Subsidiaries pursuant to factoring or similar arrangements (but not pursuant to Securitization Transactions or secured incurrences of Indebtedness) and the proceeds thereof and any account into which such proceeds are deposited (so long as such account is maintained solely for the purpose of receiving such proceeds);</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37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under Section 4-208 of the Uniform Commercial Code as in effect in the State of New York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2" w:right="339" w:bottom="1440" w:gutter="0" w:footer="0" w:header="0"/>
        </w:sectPr>
      </w:pPr>
    </w:p>
    <w:bookmarkStart w:id="117" w:name="page118"/>
    <w:bookmarkEnd w:id="117"/>
    <w:p>
      <w:pPr>
        <w:spacing w:after="0" w:line="271" w:lineRule="auto"/>
        <w:rPr>
          <w:sz w:val="20"/>
          <w:szCs w:val="20"/>
          <w:color w:val="auto"/>
        </w:rPr>
      </w:pPr>
      <w:r>
        <w:rPr>
          <w:rFonts w:ascii="Times New Roman" w:cs="Times New Roman" w:eastAsia="Times New Roman" w:hAnsi="Times New Roman"/>
          <w:sz w:val="22"/>
          <w:szCs w:val="22"/>
          <w:color w:val="auto"/>
        </w:rPr>
        <w:t>applicable, the corresponding section of the Uniform Commercial Code in the relevant jurisdiction), in each case covering only the items being collected upon;</w:t>
      </w:r>
    </w:p>
    <w:p>
      <w:pPr>
        <w:spacing w:after="0" w:line="158" w:lineRule="exact"/>
        <w:rPr>
          <w:sz w:val="20"/>
          <w:szCs w:val="20"/>
          <w:color w:val="auto"/>
        </w:rPr>
      </w:pPr>
    </w:p>
    <w:p>
      <w:pPr>
        <w:jc w:val="both"/>
        <w:ind w:firstLine="656"/>
        <w:spacing w:after="0" w:line="263" w:lineRule="auto"/>
        <w:tabs>
          <w:tab w:leader="none" w:pos="126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sale, transfer or other disposition of any Capital Stock or other assets in a transaction permitted hereunder, customary rights and restrictions contained in agreements relating to such sale, transfer or other disposition pending the completion thereof;</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3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(including put and call arrangements) with respect to the transfer of the Equity Interests of any joint venture or similar arrangement pursuant to the terms thereof;</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4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or arising in connection with Securitization Transactions so long as the aggregate principal amount at any time outstanding under such Securitization Transactions does not exceed US$150,000,000;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not apply to any assets other than the Receivables subject to the Securitization Transactions and Equity Interests in any Securitization Subsidiary;</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0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net cash proceeds of any Acquisition Indebtedness held in escrow by a third party escrow agent prior to the release thereof from escrow; and</w:t>
      </w:r>
    </w:p>
    <w:p>
      <w:pPr>
        <w:spacing w:after="0" w:line="171" w:lineRule="exact"/>
        <w:rPr>
          <w:rFonts w:ascii="Times New Roman" w:cs="Times New Roman" w:eastAsia="Times New Roman" w:hAnsi="Times New Roman"/>
          <w:sz w:val="22"/>
          <w:szCs w:val="22"/>
          <w:color w:val="auto"/>
        </w:rPr>
      </w:pPr>
    </w:p>
    <w:p>
      <w:pPr>
        <w:ind w:right="20" w:firstLine="656"/>
        <w:spacing w:after="0" w:line="271" w:lineRule="auto"/>
        <w:tabs>
          <w:tab w:leader="none" w:pos="128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connection with any Sale-Leaseback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secure only the Indebtedness permitted under </w:t>
      </w:r>
      <w:r>
        <w:rPr>
          <w:rFonts w:ascii="Times New Roman" w:cs="Times New Roman" w:eastAsia="Times New Roman" w:hAnsi="Times New Roman"/>
          <w:sz w:val="22"/>
          <w:szCs w:val="22"/>
          <w:u w:val="single" w:color="auto"/>
          <w:color w:val="auto"/>
        </w:rPr>
        <w:t>Section 6.02(o)</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securing or deemed to exist in connection with Indebtedness or other obligations and Securitization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and after giving pro forma effect to the incurrence of any such Lien (or any Indebtedness or other obligations secured thereby) or such Securitization Transaction, the sum, without duplication, of (i) the aggregate principal amount of the outstanding Indebtedness or other obligations secured by Liens and the outstanding Securitization Transactions permitted by this </w:t>
      </w:r>
      <w:r>
        <w:rPr>
          <w:rFonts w:ascii="Times New Roman" w:cs="Times New Roman" w:eastAsia="Times New Roman" w:hAnsi="Times New Roman"/>
          <w:sz w:val="22"/>
          <w:szCs w:val="22"/>
          <w:u w:val="single" w:color="auto"/>
          <w:color w:val="auto"/>
        </w:rPr>
        <w:t>clause (t)</w:t>
      </w:r>
      <w:r>
        <w:rPr>
          <w:rFonts w:ascii="Times New Roman" w:cs="Times New Roman" w:eastAsia="Times New Roman" w:hAnsi="Times New Roman"/>
          <w:sz w:val="22"/>
          <w:szCs w:val="22"/>
          <w:color w:val="auto"/>
        </w:rPr>
        <w:t xml:space="preserve"> and (ii) the aggregate principal amount of the outstanding Indebtedness permitted by </w:t>
      </w:r>
      <w:r>
        <w:rPr>
          <w:rFonts w:ascii="Times New Roman" w:cs="Times New Roman" w:eastAsia="Times New Roman" w:hAnsi="Times New Roman"/>
          <w:sz w:val="22"/>
          <w:szCs w:val="22"/>
          <w:u w:val="single" w:color="auto"/>
          <w:color w:val="auto"/>
        </w:rPr>
        <w:t>Section 6.02(p)</w:t>
      </w:r>
      <w:r>
        <w:rPr>
          <w:rFonts w:ascii="Times New Roman" w:cs="Times New Roman" w:eastAsia="Times New Roman" w:hAnsi="Times New Roman"/>
          <w:sz w:val="22"/>
          <w:szCs w:val="22"/>
          <w:color w:val="auto"/>
        </w:rPr>
        <w:t xml:space="preserve"> does not exceed, at the time incurred, the greater of (x) US$105,000,000 and (y) 15.0% of Consolidated Net Tangible Assets (calculated as of the date of the Company’s balance sheet then most recently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5.01(b) or, if prior to the delivery of the first balance sheet to be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5.01(b)</w:t>
      </w:r>
      <w:r>
        <w:rPr>
          <w:rFonts w:ascii="Times New Roman" w:cs="Times New Roman" w:eastAsia="Times New Roman" w:hAnsi="Times New Roman"/>
          <w:sz w:val="22"/>
          <w:szCs w:val="22"/>
          <w:color w:val="auto"/>
        </w:rPr>
        <w:t xml:space="preserve">, the most recent balance sheet referred to in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-210820</wp:posOffset>
            </wp:positionV>
            <wp:extent cx="468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468630" cy="8255"/>
                    </a:xfrm>
                    <a:prstGeom prst="rect">
                      <a:avLst/>
                    </a:prstGeom>
                    <a:noFill/>
                  </pic:spPr>
                </pic:pic>
              </a:graphicData>
            </a:graphic>
          </wp:anchor>
        </w:drawing>
      </w:r>
    </w:p>
    <w:p>
      <w:pPr>
        <w:spacing w:after="0" w:line="16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Indebtedness of Subsidiaries</w:t>
      </w:r>
      <w:r>
        <w:rPr>
          <w:rFonts w:ascii="Times New Roman" w:cs="Times New Roman" w:eastAsia="Times New Roman" w:hAnsi="Times New Roman"/>
          <w:sz w:val="22"/>
          <w:szCs w:val="22"/>
          <w:color w:val="auto"/>
        </w:rPr>
        <w:t>. The Company shall not permit any Subsidiary to, directly or indirectly, create, incur, assume or otherwise become or remain directly or indirectly liable with respect to any Indebtedness, other than:</w:t>
      </w:r>
    </w:p>
    <w:p>
      <w:pPr>
        <w:spacing w:after="0" w:line="158" w:lineRule="exact"/>
        <w:rPr>
          <w:sz w:val="20"/>
          <w:szCs w:val="20"/>
          <w:color w:val="auto"/>
        </w:rPr>
      </w:pPr>
    </w:p>
    <w:p>
      <w:pPr>
        <w:ind w:left="1120" w:hanging="464"/>
        <w:spacing w:after="0"/>
        <w:tabs>
          <w:tab w:leader="none" w:pos="11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Existing Indebtedness and any refinancings, renewals, refundings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principal amount of such Indebtedness is not increased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95" w:lineRule="auto"/>
        <w:rPr>
          <w:sz w:val="20"/>
          <w:szCs w:val="20"/>
          <w:color w:val="auto"/>
        </w:rPr>
      </w:pPr>
      <w:r>
        <w:rPr>
          <w:rFonts w:ascii="Times New Roman" w:cs="Times New Roman" w:eastAsia="Times New Roman" w:hAnsi="Times New Roman"/>
          <w:sz w:val="21"/>
          <w:szCs w:val="21"/>
          <w:color w:val="auto"/>
        </w:rPr>
        <w:t>the time of any such refinancing, renewal, refunding or extension except by an amount equal to a reasonable premium or other reasonable amount paid, and expenses reasonably incurred, in connection with such refinancing, renewal, refunding or extension;</w:t>
      </w:r>
    </w:p>
    <w:p>
      <w:pPr>
        <w:spacing w:after="0" w:line="135" w:lineRule="exact"/>
        <w:rPr>
          <w:sz w:val="20"/>
          <w:szCs w:val="20"/>
          <w:color w:val="auto"/>
        </w:rPr>
      </w:pPr>
    </w:p>
    <w:p>
      <w:pPr>
        <w:ind w:firstLine="656"/>
        <w:spacing w:after="0" w:line="284" w:lineRule="auto"/>
        <w:tabs>
          <w:tab w:leader="none" w:pos="12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Subsidiary to the Company, any other Subsidiary or, until the occurrence of the Spin-Off Effective Date, the Parent;</w:t>
      </w:r>
    </w:p>
    <w:p>
      <w:pPr>
        <w:spacing w:after="0" w:line="14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1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Subsidiary incurred to finance the acquisition, construction or improvement of any fixed or capital assets (including real property) and related software acquired, constructed or improved by the such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is incurred prior to or within 180 days after such acquisition or the completion of such construction or improvement and (ii) the principal amount of such Indebtedness at the time incurred does not exceed the cost of acquiring, constructing or improving such fixed or capital assets;</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that becomes a Subsidiary (or Indebtedness of any Person not previously a Subsidiary that is merged, consolidated or amalgamated with or into a Subsidiary) after the date hereof, or Indebtedness that is assumed by any Subsidiary in connection with an acquisition of assets by such Subsidiary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 shall exist at the time such Person becomes a Subsidiary (or is so merged, consolidated or amalgamated) or such assets are acquired, as the case may be, (ii) shall not be created in contemplation of or in connection with such Person becoming a Subsidiary (or such merger, consolidation or amalgamation) or such acquisition, as the case may be, and (iii) shall not be secured by any Liens other than Liens permitted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Subsidiary as an account party in respect of letters of credit, bank guarantees and banker’s acceptances backing or supporting obligations that do not constitute Indebtedness (it being understood and agreed that letters of credit may be provided to back bank guarantees);</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3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any Subsidiary of any Indebtedness of the Company or any other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 Subsidiary shall not guarantee Indebtedness of any other Subsidiary that it would not have been permitted to incur under this Section if it were a primary obligor thereon and (ii) any Subsidiary that guarantees any Indebtedness of the Company shall also guarantee the Obligations on terms consistent with the Guarantees provided hereunder on the Effective Date;</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Hedging Agreements entered into for non-speculative purposes;</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0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in connection with (i) customary cash management or treasury services, (ii) any overdraft facilities or (iii) the endorsement of instruments for deposit, in each case, entered into in the ordinary course of business;</w:t>
      </w:r>
    </w:p>
    <w:p>
      <w:pPr>
        <w:spacing w:after="0" w:line="15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customary indemnification obligations pursuant to factoring or similar arrangements permitted by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119" w:name="page120"/>
    <w:bookmarkEnd w:id="119"/>
    <w:p>
      <w:pPr>
        <w:ind w:right="20" w:firstLine="656"/>
        <w:spacing w:after="0" w:line="271" w:lineRule="auto"/>
        <w:tabs>
          <w:tab w:leader="none" w:pos="112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with respect to repurchase obligations in respect of Cash Equivalents of the type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the definition thereof;</w:t>
      </w:r>
    </w:p>
    <w:p>
      <w:pPr>
        <w:spacing w:after="0" w:line="15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deposits and advance payments received in the ordinary course of business from customers for goods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w:t>
      </w:r>
    </w:p>
    <w:p>
      <w:pPr>
        <w:spacing w:after="0" w:line="20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surety, appeal, indemnity, performance bond or other obligations of a like nature;</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Securitization Transactions in an aggregate principal amount at any time outstanding not to exceed US$150,000,000;</w:t>
      </w:r>
    </w:p>
    <w:p>
      <w:pPr>
        <w:spacing w:after="0" w:line="231" w:lineRule="exact"/>
        <w:rPr>
          <w:rFonts w:ascii="Times New Roman" w:cs="Times New Roman" w:eastAsia="Times New Roman" w:hAnsi="Times New Roman"/>
          <w:sz w:val="21"/>
          <w:szCs w:val="21"/>
          <w:color w:val="auto"/>
        </w:rPr>
      </w:pPr>
    </w:p>
    <w:p>
      <w:pPr>
        <w:ind w:firstLine="656"/>
        <w:spacing w:after="0" w:line="271" w:lineRule="auto"/>
        <w:tabs>
          <w:tab w:leader="none" w:pos="112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out of any Sale-Leaseback Transaction(s) so long as the aggregate principal amount at any time outstanding under such Sale-Leaseback Transaction(s) does not exceed US$25,000,000; and</w:t>
      </w:r>
    </w:p>
    <w:p>
      <w:pPr>
        <w:spacing w:after="0" w:line="17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1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and after giving pro forma effect to the incurrence of any such Indebtedness, the sum, without duplication, of (i) the aggregate principal amount of the outstanding Indebtedness of Subsidiaries permitted by this </w:t>
      </w:r>
      <w:r>
        <w:rPr>
          <w:rFonts w:ascii="Times New Roman" w:cs="Times New Roman" w:eastAsia="Times New Roman" w:hAnsi="Times New Roman"/>
          <w:sz w:val="21"/>
          <w:szCs w:val="21"/>
          <w:u w:val="single" w:color="auto"/>
          <w:color w:val="auto"/>
        </w:rPr>
        <w:t>clause (p)</w:t>
      </w:r>
      <w:r>
        <w:rPr>
          <w:rFonts w:ascii="Times New Roman" w:cs="Times New Roman" w:eastAsia="Times New Roman" w:hAnsi="Times New Roman"/>
          <w:sz w:val="21"/>
          <w:szCs w:val="21"/>
          <w:color w:val="auto"/>
        </w:rPr>
        <w:t xml:space="preserve"> and (ii) the aggregate principal amount of the outstanding Indebtedness or other obligations secured by Liens and the outstanding Securitization Transactions permitted by </w:t>
      </w:r>
      <w:r>
        <w:rPr>
          <w:rFonts w:ascii="Times New Roman" w:cs="Times New Roman" w:eastAsia="Times New Roman" w:hAnsi="Times New Roman"/>
          <w:sz w:val="21"/>
          <w:szCs w:val="21"/>
          <w:u w:val="single" w:color="auto"/>
          <w:color w:val="auto"/>
        </w:rPr>
        <w:t>Section 6.01(t)</w:t>
      </w:r>
      <w:r>
        <w:rPr>
          <w:rFonts w:ascii="Times New Roman" w:cs="Times New Roman" w:eastAsia="Times New Roman" w:hAnsi="Times New Roman"/>
          <w:sz w:val="21"/>
          <w:szCs w:val="21"/>
          <w:color w:val="auto"/>
        </w:rPr>
        <w:t xml:space="preserve"> does not exceed, at the time incurred, the greater of (x) US$105,000,000 and (y) 15.0% of Consolidated Net Tangible Assets (calculated as of the date of the Company’s balance sheet then most recently delivered pursuant to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 xml:space="preserve"> or, if prior to the delivery of the first balance sheet to be delivered pursuant to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5.01(b)</w:t>
      </w:r>
      <w:r>
        <w:rPr>
          <w:rFonts w:ascii="Times New Roman" w:cs="Times New Roman" w:eastAsia="Times New Roman" w:hAnsi="Times New Roman"/>
          <w:sz w:val="21"/>
          <w:szCs w:val="21"/>
          <w:color w:val="auto"/>
        </w:rPr>
        <w:t xml:space="preserve">, the most recent balance sheet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Asset Sales</w:t>
      </w:r>
      <w:r>
        <w:rPr>
          <w:rFonts w:ascii="Times New Roman" w:cs="Times New Roman" w:eastAsia="Times New Roman" w:hAnsi="Times New Roman"/>
          <w:sz w:val="22"/>
          <w:szCs w:val="22"/>
          <w:color w:val="auto"/>
        </w:rPr>
        <w:t>. The Company shall not, nor shall it permit any Subsidiary to, make any Disposition or Dispose of (whether in one transaction or in a series of transactions) all or substantially all of the assets of the Company and its Subsidiaries, calculated on a consolidated basis (whether now owned or hereafter acquired) to or in favor of any Person (including pursuant to a Delaware LLC Division).</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Dollar Tranche Term Loans will be used to fund in whole or in part a repayment to the Parent of one or more intercompany balances owing to the Parent by the USD Term Borrower and for other general corporate purposes of the Company and its Subsidiaries. The proceeds of the Euro Tranche Term Loans will be used to fund in whole or in part a repayment to the Parent of one or more intercompany balances owing to the Parent by the EUR Term Borrower and for other general corporate purposes of the Company and its Subsidiaries. The proceeds of the Revolving Loans will be used to fund in whole or in part, and Letters of Credit will be issued to support, a repayment to the Parent of one or more intercompany balances owing to the Parent and for other working capital needs and other general corporate purposes of the Company and its Subsidiaries. No part of the proceeds of any of the Loans or Letters of Credit will be used, whether directly or indirectly, and whether immediately, incidentally or ultimately, to purchase or carry margin stock (within the meaning of Regulation U) or to extend credit to others for the purpose of purchasing or carrying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22" w:right="339" w:bottom="1440" w:gutter="0" w:footer="0" w:header="0"/>
        </w:sectPr>
      </w:pPr>
    </w:p>
    <w:bookmarkStart w:id="120" w:name="page121"/>
    <w:bookmarkEnd w:id="120"/>
    <w:p>
      <w:pPr>
        <w:spacing w:after="0" w:line="266" w:lineRule="auto"/>
        <w:rPr>
          <w:sz w:val="20"/>
          <w:szCs w:val="20"/>
          <w:color w:val="auto"/>
        </w:rPr>
      </w:pPr>
      <w:r>
        <w:rPr>
          <w:rFonts w:ascii="Times New Roman" w:cs="Times New Roman" w:eastAsia="Times New Roman" w:hAnsi="Times New Roman"/>
          <w:sz w:val="21"/>
          <w:szCs w:val="21"/>
          <w:color w:val="auto"/>
        </w:rPr>
        <w:t>stock or to refund indebtedness originally incurred for such purpose. The Borrowers will not request any Loan or Letter of Credit, and the Company shall not use, and shall procure that its Subsidiaries shall not use, the proceeds of any Loan or Letter of Credit</w:t>
      </w:r>
    </w:p>
    <w:p>
      <w:pPr>
        <w:spacing w:after="0" w:line="2" w:lineRule="exact"/>
        <w:rPr>
          <w:sz w:val="20"/>
          <w:szCs w:val="20"/>
          <w:color w:val="auto"/>
        </w:rPr>
      </w:pPr>
    </w:p>
    <w:p>
      <w:pPr>
        <w:jc w:val="both"/>
        <w:ind w:firstLine="8"/>
        <w:spacing w:after="0" w:line="249" w:lineRule="auto"/>
        <w:tabs>
          <w:tab w:leader="none" w:pos="30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Restriction on Fundamental Changes</w:t>
      </w:r>
      <w:r>
        <w:rPr>
          <w:rFonts w:ascii="Times New Roman" w:cs="Times New Roman" w:eastAsia="Times New Roman" w:hAnsi="Times New Roman"/>
          <w:sz w:val="21"/>
          <w:szCs w:val="21"/>
          <w:color w:val="auto"/>
        </w:rPr>
        <w:t xml:space="preserve">. The Company shall not, nor shall the Company permit any Subsidiary to, merge, consolidate or amalgamate with any other Person, or liquidate, wind-up or dissolve, or convey, lease, sell, transfer or otherwise dispose of, in one transaction or series of transactions, all or substantially all of the assets of the Company and its Subsidiaries, taken as a whole, whether now or hereafter acquired;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 Subsidiary of the Company may merge, consolidate or amalgamate with or into the Company or any Subsidiary to the extent that (i) in the case of any such transaction involving the Company, the Company shall be the surviving or continuing Person, (ii) in the case of any such transaction involving a Borrowing Subsidiary, such Borrowing Subsidiary (or, in the case of a merger, consolidation or amalgamation of such Borrowing Subsidiary with or into the Company or another Borrowing Subsidiary, the Company or such other Borrowing Subsidiary) shall be the surviving or continuing Person and (iii) in the case of any such transaction involving any Term Loan Borrower, such Term Loan Borrower (or, in the case of a merger, consolidation or amalgamation of such Term Loan Borrower with or into the Company or another Term Loan Borrower, the Company or such other Term Loan Borrower) shall be the surviving or continuing Person; (b) any Person (other than the Company or a Subsidiary) may merge, consolidate or amalgamate with or into (i) the Company in a transaction in which the Company is the surviving or continuing Person or (ii) any Subsidiary in a transaction in which such Subsidiary or a Person that becomes a Subsidiary is the surviving or continuing Person;</w:t>
      </w:r>
    </w:p>
    <w:p>
      <w:pPr>
        <w:spacing w:after="0" w:line="7" w:lineRule="exact"/>
        <w:rPr>
          <w:sz w:val="20"/>
          <w:szCs w:val="20"/>
          <w:color w:val="auto"/>
        </w:rPr>
      </w:pPr>
    </w:p>
    <w:p>
      <w:pPr>
        <w:jc w:val="both"/>
        <w:ind w:firstLine="8"/>
        <w:spacing w:after="0" w:line="245" w:lineRule="auto"/>
        <w:tabs>
          <w:tab w:leader="none" w:pos="29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(other than a Term Loan Borrower or a Borrowing Subsidiary) may merge, consolidate or amalgamate with or into any Person (other than the Company) in a transaction not prohibited hereunder in which, after giving effect to such transaction, the surviving or continuing Person is not a Subsidiary; (d) the Company or any Borrowing Subsidiary may transfer its assets to the Company or any other Borrowing Subsidiary, so long as immediately after giving effect thereto, no Default or Event of Default shall exist; and (e) any Subsidiary may liquidate, dissolve or wind-up (including by “striking off” or similar proceeding)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Borrowing Subsidiary may liquidate, dissolve or wind-up only if it shall have ceased, or shall concurrently cease, to be a Borrowing Subsidiary in accordance with </w:t>
      </w:r>
      <w:r>
        <w:rPr>
          <w:rFonts w:ascii="Times New Roman" w:cs="Times New Roman" w:eastAsia="Times New Roman" w:hAnsi="Times New Roman"/>
          <w:sz w:val="22"/>
          <w:szCs w:val="22"/>
          <w:u w:val="single" w:color="auto"/>
          <w:color w:val="auto"/>
        </w:rPr>
        <w:t>Section 2.22(b)</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Neither the Company nor any of its Subsidiaries shall use all or any portion of the proceeds of any Loan or other credit extended under this Agreement to purchase or carry Margin Stock if a violation of Regulation U would result.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u w:val="single" w:color="auto"/>
          <w:color w:val="auto"/>
        </w:rPr>
        <w:t>Financial Covenant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656"/>
        <w:spacing w:after="0" w:line="250" w:lineRule="auto"/>
        <w:tabs>
          <w:tab w:leader="none" w:pos="117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Leverage Ratio</w:t>
      </w:r>
      <w:r>
        <w:rPr>
          <w:rFonts w:ascii="Times New Roman" w:cs="Times New Roman" w:eastAsia="Times New Roman" w:hAnsi="Times New Roman"/>
          <w:sz w:val="22"/>
          <w:szCs w:val="22"/>
          <w:color w:val="auto"/>
        </w:rPr>
        <w:t xml:space="preserve">. The Company shall at the end of each fiscal quarter maintain a Leverage Ratio of not greater than 3.50:1.00;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the Company or any Subsidiary shall complete any Material Acquisition, the Company may, by a notice delivered to the Administrative Agent (which shall furnish a copy thereof to each Lender), increase to 4.00:1.00 the maximum Leverage Ratio permitted for the fiscal quarter during which such Material Acquisition shall have occurred and each of the three immediately succeeding fiscal quarters (but not for any subsequent fiscal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there shall be at least two full fiscal quarters following the expiration of such increase before another such increase may be in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Defaults</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w:t>
      </w:r>
    </w:p>
    <w:p>
      <w:pPr>
        <w:spacing w:after="0" w:line="220" w:lineRule="exact"/>
        <w:rPr>
          <w:sz w:val="20"/>
          <w:szCs w:val="20"/>
          <w:color w:val="auto"/>
        </w:rPr>
      </w:pPr>
    </w:p>
    <w:p>
      <w:pPr>
        <w:jc w:val="both"/>
        <w:ind w:firstLine="656"/>
        <w:spacing w:after="0" w:line="257" w:lineRule="auto"/>
        <w:tabs>
          <w:tab w:leader="none" w:pos="111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Make Payments when Due</w:t>
      </w:r>
      <w:r>
        <w:rPr>
          <w:rFonts w:ascii="Times New Roman" w:cs="Times New Roman" w:eastAsia="Times New Roman" w:hAnsi="Times New Roman"/>
          <w:sz w:val="22"/>
          <w:szCs w:val="22"/>
          <w:color w:val="auto"/>
        </w:rPr>
        <w:t>. Any Borrower shall (i) fail to pay when due any of the Obligations consisting of principal with respect to any Loan or of any LC Disbursement or (ii) shall fail to pay within five Business Days of the date when due any of the other Obligations under this Agreement or the other Loan Documents;</w:t>
      </w:r>
    </w:p>
    <w:p>
      <w:pPr>
        <w:spacing w:after="0" w:line="172" w:lineRule="exact"/>
        <w:rPr>
          <w:rFonts w:ascii="Times New Roman" w:cs="Times New Roman" w:eastAsia="Times New Roman" w:hAnsi="Times New Roman"/>
          <w:sz w:val="22"/>
          <w:szCs w:val="22"/>
          <w:color w:val="auto"/>
        </w:rPr>
      </w:pPr>
    </w:p>
    <w:p>
      <w:pPr>
        <w:jc w:val="both"/>
        <w:ind w:firstLine="656"/>
        <w:spacing w:after="0" w:line="273" w:lineRule="auto"/>
        <w:tabs>
          <w:tab w:leader="none" w:pos="115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Breach of Certain Covenants</w:t>
      </w:r>
      <w:r>
        <w:rPr>
          <w:rFonts w:ascii="Times New Roman" w:cs="Times New Roman" w:eastAsia="Times New Roman" w:hAnsi="Times New Roman"/>
          <w:sz w:val="21"/>
          <w:szCs w:val="21"/>
          <w:color w:val="auto"/>
        </w:rPr>
        <w:t xml:space="preserve">. Any Loan Party shall fail duly and punctually to perform or observe any agreement, covenant or obligation binding on it under (i)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xml:space="preserve"> (as to the existence of any Borrower) or </w:t>
      </w:r>
      <w:r>
        <w:rPr>
          <w:rFonts w:ascii="Times New Roman" w:cs="Times New Roman" w:eastAsia="Times New Roman" w:hAnsi="Times New Roman"/>
          <w:sz w:val="21"/>
          <w:szCs w:val="21"/>
          <w:u w:val="single" w:color="auto"/>
          <w:color w:val="auto"/>
        </w:rPr>
        <w:t>5.10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provision of this Agreement or any other Loan Document not covered by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7.01(b)(i)</w:t>
      </w:r>
      <w:r>
        <w:rPr>
          <w:rFonts w:ascii="Times New Roman" w:cs="Times New Roman" w:eastAsia="Times New Roman" w:hAnsi="Times New Roman"/>
          <w:sz w:val="22"/>
          <w:szCs w:val="22"/>
          <w:color w:val="auto"/>
        </w:rPr>
        <w:t xml:space="preserve"> and such failure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continue unremedied for 30 days after the earliest of the receipt by the Company of written notice from the Administrative Agent and actual knowledge thereof by an Authorized Officer;</w:t>
      </w:r>
    </w:p>
    <w:p>
      <w:pPr>
        <w:spacing w:after="0" w:line="186" w:lineRule="exact"/>
        <w:rPr>
          <w:rFonts w:ascii="Times New Roman" w:cs="Times New Roman" w:eastAsia="Times New Roman" w:hAnsi="Times New Roman"/>
          <w:sz w:val="22"/>
          <w:szCs w:val="22"/>
          <w:color w:val="auto"/>
        </w:rPr>
      </w:pPr>
    </w:p>
    <w:p>
      <w:pPr>
        <w:jc w:val="both"/>
        <w:ind w:firstLine="656"/>
        <w:spacing w:after="0" w:line="256" w:lineRule="auto"/>
        <w:tabs>
          <w:tab w:leader="none" w:pos="110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 or Warranty</w:t>
      </w:r>
      <w:r>
        <w:rPr>
          <w:rFonts w:ascii="Times New Roman" w:cs="Times New Roman" w:eastAsia="Times New Roman" w:hAnsi="Times New Roman"/>
          <w:sz w:val="22"/>
          <w:szCs w:val="22"/>
          <w:color w:val="auto"/>
        </w:rPr>
        <w:t>. Any representation or warranty made or deemed made by or on behalf of any Loan Party in any of the Loan Documents or in any written statement or certificate or written information at any time given by or on behalf of any Loan Party pursuant to any of the Loan Documents shall be false in any material respect on the date as of which made or deemed made;</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130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as to Other Indebtedness</w:t>
      </w:r>
      <w:r>
        <w:rPr>
          <w:rFonts w:ascii="Times New Roman" w:cs="Times New Roman" w:eastAsia="Times New Roman" w:hAnsi="Times New Roman"/>
          <w:sz w:val="22"/>
          <w:szCs w:val="22"/>
          <w:color w:val="auto"/>
        </w:rPr>
        <w:t>. The Company or any of its Subsidiaries shall fail to pay when due any Indebtedness in excess of US$100,000,000 (any such Indebtedness being “</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or the Company or any of its Subsidiaries shall fail to perform (beyond the applicable grace period with respect thereto, if any) any term, provision or condition contained in any agreement under which any such Material Indebtedness was created or is governed, or any other event shall occur or condition exist, the effect of which failure, event or condition is to cause, or to permit the holder or holders of such Material Indebtedness to cause, such Material Indebtedness to become due prior to its stated maturity; or any Material Indebtedness of the Company or any of its Subsidiaries shall be declared to be due and payable or required to be prepaid, repurchased or redeemed (other than by a regularly scheduled payment or a mandatory prepayment, repurchase or redemption upon a sale, transfer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2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 xml:space="preserve">of assets (including as a result of a casualty or condemnation event)) prior to the stated maturity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clause</w:t>
      </w:r>
    </w:p>
    <w:p>
      <w:pPr>
        <w:spacing w:after="0" w:line="39" w:lineRule="exact"/>
        <w:rPr>
          <w:sz w:val="20"/>
          <w:szCs w:val="20"/>
          <w:color w:val="auto"/>
        </w:rPr>
      </w:pPr>
    </w:p>
    <w:p>
      <w:pPr>
        <w:jc w:val="both"/>
        <w:ind w:firstLine="8"/>
        <w:spacing w:after="0" w:line="247" w:lineRule="auto"/>
        <w:tabs>
          <w:tab w:leader="none" w:pos="3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apply to (v) any payment, prepayment, repurchase or redemption of secured Indebtedness that becomes due as a result of the voluntary sale or transfer of the property or assets securing such Indebtedness to the extent such sale or transfer is not prohibited by this Agreement, (w) any Indebtedness that becomes due as a result of a refinancing thereof permitted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 any redemption, repurchase, conversion or settlement in respect of Convertible Indebtedness pursuant to its terms (other than any right to convert such Indebtedness into cash that is triggered by an event of default, a change of control or a similar event, however denominated), (y) any early payment requirement or unwinding or termination with respect to any Hedging Agreement (other than as a result of an event in the nature of a default under any Hedging Agreement) and (z) any prepayment, repurchase or redemption in respect of Acquisition Indebtedness if the related Acquisition is not consummated;</w:t>
      </w:r>
    </w:p>
    <w:p>
      <w:pPr>
        <w:spacing w:after="0" w:line="18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Bankruptcy; Appointment of Receiver, Etc.</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00" w:val="left"/>
        </w:tabs>
        <w:numPr>
          <w:ilvl w:val="2"/>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case shall be commenced against the Company or any of its Material Subsidiaries and the petition shall not be dismissed, stayed, bonded or discharged within 60 days after commencement of the case; or a court having jurisdiction in the premises shall enter a decree or order for relief in respect of the Company or any of its Material Subsidiaries in an involuntary case under any applicable bankruptcy, insolvency or other similar law now or hereinafter in effect; or any other similar relief shall be granted under any applicable federal, state, local or foreign law; or</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49" w:lineRule="auto"/>
        <w:tabs>
          <w:tab w:leader="none" w:pos="1803"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decree or order of a court having jurisdiction in the premises for the appointment of a receiver, liquidator, examiner, process adviser, sequestrator, trustee, custodian or other officer having similar powers over the Company or any of its Material Subsidiaries or over all or a substantial part of the property of the Company or any of its Material Subsidiaries shall be entered; or an interim receiver, trustee or other custodian of the Company or any of its Material Subsidiaries or of all or a substantial part of the property of the Company or any of its Material Subsidiaries shall be appointed or a warrant of attachment, execution or similar process against any substantial part of the property of the Company or any of its Material Subsidiaries shall be issued and any such event shall not be stayed, dismissed, bonded or discharged within 60 days after entry, appointment or issuance;</w:t>
      </w:r>
    </w:p>
    <w:p>
      <w:pPr>
        <w:spacing w:after="0" w:line="181"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Bankruptcy; Appointment of Receiver, Etc</w:t>
      </w:r>
      <w:r>
        <w:rPr>
          <w:rFonts w:ascii="Times New Roman" w:cs="Times New Roman" w:eastAsia="Times New Roman" w:hAnsi="Times New Roman"/>
          <w:sz w:val="22"/>
          <w:szCs w:val="22"/>
          <w:color w:val="auto"/>
        </w:rPr>
        <w:t>. The Company or any of its Material Subsidiaries shall</w:t>
      </w:r>
    </w:p>
    <w:p>
      <w:pPr>
        <w:spacing w:after="0" w:line="29" w:lineRule="exact"/>
        <w:rPr>
          <w:rFonts w:ascii="Times New Roman" w:cs="Times New Roman" w:eastAsia="Times New Roman" w:hAnsi="Times New Roman"/>
          <w:sz w:val="22"/>
          <w:szCs w:val="22"/>
          <w:color w:val="auto"/>
        </w:rPr>
      </w:pPr>
    </w:p>
    <w:p>
      <w:pPr>
        <w:jc w:val="both"/>
        <w:ind w:firstLine="8"/>
        <w:spacing w:after="0" w:line="247" w:lineRule="auto"/>
        <w:tabs>
          <w:tab w:leader="none" w:pos="27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 voluntary case under any applicable bankruptcy, insolvency or other similar law now or hereafter in effect, (ii) consent to the entry of an order for relief in an involuntary case, or to the conversion of an involuntary case to a voluntary case, under any such law, (iii) consent to the appointment of or taking possession by a receiver, trustee or other custodian for all or a substantial part of its property, (iv) make any assignment for the benefit of creditors, or (v) take any corporate action to authorize any of the foregoing;</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 and Attachments</w:t>
      </w:r>
      <w:r>
        <w:rPr>
          <w:rFonts w:ascii="Times New Roman" w:cs="Times New Roman" w:eastAsia="Times New Roman" w:hAnsi="Times New Roman"/>
          <w:sz w:val="22"/>
          <w:szCs w:val="22"/>
          <w:color w:val="auto"/>
        </w:rPr>
        <w:t>. Any money judgment(s) writ or warrant of attachment, or similar process against the Company or any Material Subsidiary or any of their respective assets involving in any single case or in the aggregate an amount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7" w:lineRule="auto"/>
        <w:rPr>
          <w:sz w:val="20"/>
          <w:szCs w:val="20"/>
          <w:color w:val="auto"/>
        </w:rPr>
      </w:pPr>
      <w:r>
        <w:rPr>
          <w:rFonts w:ascii="Times New Roman" w:cs="Times New Roman" w:eastAsia="Times New Roman" w:hAnsi="Times New Roman"/>
          <w:sz w:val="22"/>
          <w:szCs w:val="22"/>
          <w:color w:val="auto"/>
        </w:rPr>
        <w:t>US$100,000,000 (to the extent not adequately covered by insurance as to which a solvent and unaffiliated insurance company has acknowledged coverage) is or are entered and shall remain unsatisfied, undischarged, unvacated, unbonded or unstayed for a period of 60 days;</w:t>
      </w:r>
    </w:p>
    <w:p>
      <w:pPr>
        <w:spacing w:after="0" w:line="186" w:lineRule="exact"/>
        <w:rPr>
          <w:sz w:val="20"/>
          <w:szCs w:val="20"/>
          <w:color w:val="auto"/>
        </w:rPr>
      </w:pPr>
    </w:p>
    <w:p>
      <w:pPr>
        <w:jc w:val="both"/>
        <w:ind w:firstLine="656"/>
        <w:spacing w:after="0" w:line="252" w:lineRule="auto"/>
        <w:tabs>
          <w:tab w:leader="none" w:pos="126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xml:space="preserve">. Any order, judgment or decree shall be entered against the Company or any Material Subsidiary decreeing its involuntary dissolution or split up and such order shall remain undischarged and unstayed for a period in excess of 60 days; or the Company or any Material Subsidiary shall otherwise dissolve or cease to exist except, in the case of any such Subsidiary, as specifically permitted by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81" w:lineRule="auto"/>
        <w:tabs>
          <w:tab w:leader="none" w:pos="123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Event</w:t>
      </w:r>
      <w:r>
        <w:rPr>
          <w:rFonts w:ascii="Times New Roman" w:cs="Times New Roman" w:eastAsia="Times New Roman" w:hAnsi="Times New Roman"/>
          <w:sz w:val="21"/>
          <w:szCs w:val="21"/>
          <w:color w:val="auto"/>
        </w:rPr>
        <w:t>. Any Termination Event occurs which the Required Lenders believe would have, or could reasonably be expected to have, a Material Adverse Effect or at any time after the Effective Date the Unfunded Liabilities of all Single Employer Plans exceed an amount that would have, or could reasonably be expected to have, a Material Adverse Effect;</w:t>
      </w:r>
    </w:p>
    <w:p>
      <w:pPr>
        <w:spacing w:after="0" w:line="150"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Change of Control shall occur; or</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 Revocation</w:t>
      </w:r>
      <w:r>
        <w:rPr>
          <w:rFonts w:ascii="Times New Roman" w:cs="Times New Roman" w:eastAsia="Times New Roman" w:hAnsi="Times New Roman"/>
          <w:sz w:val="22"/>
          <w:szCs w:val="22"/>
          <w:color w:val="auto"/>
        </w:rPr>
        <w:t>. The Guarantee shall fail to remain in full force or effect (other than in accordance with its terms) or any action shall be taken to discontinue or to assert the invalidity or unenforceability of the Guarantee, or the Company or the Parent shall revoke or deny that it has any further liability under its Guarantee, or shall give notice to such effect, other than in accordance with the terms of such Guarantee;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then, and in every such event (other than an event with respect to the Company described in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of this Section), and at any time thereafter during the continuance of such event, the Administrative Agent may, and at the request of the Required Lenders shall, by notice to the Company, take any or all of the following actions, at the same or different times: (A) terminate the Commitments, and thereupon the Commitments shall terminate immediately, (B)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hereunder, shall become due and payable immediately, and</w:t>
      </w:r>
    </w:p>
    <w:p>
      <w:pPr>
        <w:spacing w:after="0" w:line="2" w:lineRule="exact"/>
        <w:rPr>
          <w:sz w:val="20"/>
          <w:szCs w:val="20"/>
          <w:color w:val="auto"/>
        </w:rPr>
      </w:pPr>
    </w:p>
    <w:p>
      <w:pPr>
        <w:jc w:val="both"/>
        <w:ind w:firstLine="8"/>
        <w:spacing w:after="0" w:line="259" w:lineRule="auto"/>
        <w:tabs>
          <w:tab w:leader="none" w:pos="38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require the deposit of cash collateral in respect of LC Exposure as provided in </w:t>
      </w:r>
      <w:r>
        <w:rPr>
          <w:rFonts w:ascii="Times New Roman" w:cs="Times New Roman" w:eastAsia="Times New Roman" w:hAnsi="Times New Roman"/>
          <w:sz w:val="21"/>
          <w:szCs w:val="21"/>
          <w:u w:val="single" w:color="auto"/>
          <w:color w:val="auto"/>
        </w:rPr>
        <w:t>Section 2.20(m)</w:t>
      </w:r>
      <w:r>
        <w:rPr>
          <w:rFonts w:ascii="Times New Roman" w:cs="Times New Roman" w:eastAsia="Times New Roman" w:hAnsi="Times New Roman"/>
          <w:sz w:val="21"/>
          <w:szCs w:val="21"/>
          <w:color w:val="auto"/>
        </w:rPr>
        <w:t xml:space="preserve">, in each case without presentment, demand, protest or other notice of any kind, all of which are hereby waived by the Company and each Borrowing Subsidiary to the extent permitted by applicable law; and in the case of any event with respect to the Company described in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of this Section, the Commitments shall automatically terminate, the principal of the Loans then outstanding, together with accrued interest thereon and all fees and other obligations of the Borrowers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Company, each Term Loan Borrower and each Borrowing Subsidiary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of the Lenders and the Issuing Banks hereby irrevocably appoints the entity named as Administrative Agent in the heading of this Agreement and its successors to serve as Administrative Agent under this Agreement and the other Loan Documents, and authorizes the Administrative Agent to take such actions and to exercise such powers as are delegated to the Administrative Agent by the terms of the Loan Documents, together with such actions and powers as are reasonably incidental thereto.</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or the Issuing Banks.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Administrative Agent shall not have any duties or obligations except those expressly set forth in the Loan Documents with respect to the Administrative Agent, and the Administrative Agent’s duties hereunder shall be administrative in nature. Without limiting the generality of the foregoing, (a) the Administrative Agent shall not be subject to any fiduciary or other implied duties, regardless of whether a Default has occurred and is continuing (and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and that such term is used as a matter of market custom and is intended to create or reflect only an administrative relationship between contracting parties),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could expose the Administrative Agent to liability or be contrary to any Loan Document or applicable law, including any action that may be in violation of the automatic stay under any applicable bankruptcy, insolvency or other similar law now or hereinafter in effect; or any other similar relief shall be granted under any applicable federal, state, local or foreign law or that may effect a forfeiture, modification or termination of property of a Defaulting Lender in violation of any applicable bankruptcy, insolvency or other similar law now or hereinafter in effect; or any other similar relief shall be granted under any applicable federal, state, local or foreign law, and (c) except as expressly set forth in the Loan Documents, the Administrative Agent shall not have any duty to disclose, and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59" w:lineRule="auto"/>
        <w:rPr>
          <w:sz w:val="20"/>
          <w:szCs w:val="20"/>
          <w:color w:val="auto"/>
        </w:rPr>
      </w:pPr>
      <w:r>
        <w:rPr>
          <w:rFonts w:ascii="Times New Roman" w:cs="Times New Roman" w:eastAsia="Times New Roman" w:hAnsi="Times New Roman"/>
          <w:sz w:val="21"/>
          <w:szCs w:val="21"/>
          <w:color w:val="auto"/>
        </w:rPr>
        <w:t>not be liable for the failure to disclose, any information relating to the Company, any Subsidiary or any other Affiliate thereof that is communicated to or obtained by the Person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Company, any Lender or any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w:t>
      </w:r>
    </w:p>
    <w:p>
      <w:pPr>
        <w:spacing w:after="0" w:line="2" w:lineRule="exact"/>
        <w:rPr>
          <w:sz w:val="20"/>
          <w:szCs w:val="20"/>
          <w:color w:val="auto"/>
        </w:rPr>
      </w:pPr>
    </w:p>
    <w:p>
      <w:pPr>
        <w:jc w:val="both"/>
        <w:ind w:firstLine="8"/>
        <w:spacing w:after="0" w:line="249" w:lineRule="auto"/>
        <w:tabs>
          <w:tab w:leader="none" w:pos="42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amendment, renewal or extension of any Letter of Credit that by its terms must be fulfilled to the satisfaction of a Lender or an Issuing Bank, the Administrative Agent may presume that such condition is satisfactory to such Lender or such Issuing Bank, as applicable, unless the Administrative Agent shall have received notice to the contrary from such Lender or such Issuing Bank, as applicable, prior to the making of such Loan or such event as to such Letter of Credit. The Administrative Agent may consult with legal counsel (who may be counsel for the Company), independent accountants and other experts selected by it with reasonable care,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126" w:name="page127"/>
    <w:bookmarkEnd w:id="126"/>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of its sub-agents except to the extent that a court of competent jurisdiction determines in a final and nonappealable judgment that the Administrative Agent acted with bad faith, gross negligence or willful misconduct in the selection of such sub-agents.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Subject to the terms of this paragraph, the Administrative Agent may resign at any time from its capacity as such. In connection with such resignation, the Administrative Agent shall give notice of its intent to resign to the Lenders, the Issuing Banks and the Company. Upon receipt of any such notice of resignation, the Required Lenders shall have the right, subject to the consent of the Company (not to be unreasonably withheld, conditioned or delayed)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If the Person serving as the Administrative Agent is a Defaulting Lender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Lenders may, to the extent permitted by applicable law, by notice in writing to the Company and such Person remove such Person as the Administrative Agent and, subject to the consent of the Company (not to be unreasonably withheld, conditioned or delayed) appoint a successor. Upon the acceptance of its appointment as the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and under the other Loan Documents. The fees payable by the Company to a successor Administrative Agent shall be the same as those payable to its predecessor unless otherwise agreed by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Loan Documents, and (b) the Required Lenders shall succeed to and become vested with all the rights, powers, privileges and duties of the retiring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all payments required to be made hereunder or under any other Loan Document to the retiring Administrative Agent for the account of any Person other than the retiring Administrative Agent shall be made directly to such Person and (ii) all notices and other communications required or contemplated to be given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made to the retiring Administrative Agent shall also directly be given or made to each Lender and each Issuing Bank. Following the effectiveness of the Administrative Agent’s resignation or removal from its capacity as such, the provisions of this Article and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as well as any exculpatory, reimbursement and indemnification provisions set forth in any other Loan Document, shall continue in effect for the benefit of such retiring or removed Administrative Agent, its sub-agents and their respective Related Parties in respect of any actions taken or omitted to be taken by any of them while it was acting as the Administrative Agent.</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Each Lender and Issuing Bank expressly acknowledges that none of the Administrative Agent nor any Arranger has made any representation or warranty to it, and that no act by the Administrative Agent or the Arrangers hereafter taken, including any consent to, and acceptance of any assignment or review of the affairs of any Loan Party or any Affiliate thereof, shall be deemed to constitute any representation or warranty by the Administrative Agent or any Arranger to any Lender or Issuing Bank as to any matter, including whether the Administrative Agent or any Arranger has disclosed material information in their (or their Related Parties’) possession. Each Lender and Issuing Bank acknowledges that it has, independently and without reliance upon the Administrative Agent, the Arrangers or any other Lender or Issuing Bank, or any of the Related Parties of any of the foregoing, and based on such documents and information as it has deemed appropriate, made its own credit analysis of, appraisal of, and investigation into, the business, prospects, operations, property, financial and other condition and creditworthiness of any Loan Party, and all applicable bank or other regulatory laws relating to the transactions contemplated hereby, and made its own decision to enter into this Agreement and to extend credit to such Loan Party hereunder. Each Lender and Issuing Bank also acknowledges that it will, independently and without reliance upon the Administrative Agent, the Arrangers or any other Lender or Issuing Bank, or any of the Related Parties of any of the foregoing,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any Loan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or delivering its signature page to an Assignment and Assumption or any other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case of the pendency of any proceeding with respect to any Loan Party under any United States (Federal or state) or foreign bankruptcy, insolvency, examinership, rescue process, receivership, winding-up or similar law now or hereafter in effect, the Administrative Agent (irrespective of whether the principal of any Loan shall then be due and payable as herein expressed or by declaration or otherwise and irrespective of whether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2" w:right="339" w:bottom="1440" w:gutter="0" w:footer="0" w:header="0"/>
        </w:sectPr>
      </w:pPr>
    </w:p>
    <w:bookmarkStart w:id="128" w:name="page129"/>
    <w:bookmarkEnd w:id="128"/>
    <w:p>
      <w:pPr>
        <w:ind w:right="20"/>
        <w:spacing w:after="0" w:line="271" w:lineRule="auto"/>
        <w:rPr>
          <w:sz w:val="20"/>
          <w:szCs w:val="20"/>
          <w:color w:val="auto"/>
        </w:rPr>
      </w:pPr>
      <w:r>
        <w:rPr>
          <w:rFonts w:ascii="Times New Roman" w:cs="Times New Roman" w:eastAsia="Times New Roman" w:hAnsi="Times New Roman"/>
          <w:sz w:val="22"/>
          <w:szCs w:val="22"/>
          <w:color w:val="auto"/>
        </w:rPr>
        <w:t>shall have made any demand on any Loan Party) shall be entitled and empowered (but not obligated) by intervention in such proceeding or otherwise:</w:t>
      </w:r>
    </w:p>
    <w:p>
      <w:pPr>
        <w:spacing w:after="0" w:line="158" w:lineRule="exact"/>
        <w:rPr>
          <w:sz w:val="20"/>
          <w:szCs w:val="20"/>
          <w:color w:val="auto"/>
        </w:rPr>
      </w:pPr>
    </w:p>
    <w:p>
      <w:pPr>
        <w:jc w:val="both"/>
        <w:ind w:firstLine="656"/>
        <w:spacing w:after="0" w:line="256" w:lineRule="auto"/>
        <w:tabs>
          <w:tab w:leader="none" w:pos="110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allowed in such judicial proceeding; and</w:t>
      </w:r>
    </w:p>
    <w:p>
      <w:pPr>
        <w:spacing w:after="0" w:line="17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examiner, process adviser,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to or for the benefit of the Company or any other Loan Party, that at least one of the following is and will be true: (i) such Lender is not using “plan assets” (within the meaning of 29 CFR § 2510.3-101, as modified by Section 3(42) of ERISA) or otherwise for the purposes of Title I of ERISA or Section 4975 of the Code of one or more Employee Benefit Plans with respect to such Lender’s entrance into, participation in, administration of and performance of the Loans,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Letters of Credit, the Commitments and this Agreement, (iii) (A) such Lender is an investment fund managed by a “</w:t>
      </w:r>
      <w:r>
        <w:rPr>
          <w:rFonts w:ascii="Times New Roman" w:cs="Times New Roman" w:eastAsia="Times New Roman" w:hAnsi="Times New Roman"/>
          <w:sz w:val="22"/>
          <w:szCs w:val="22"/>
          <w:u w:val="single" w:color="auto"/>
          <w:color w:val="auto"/>
        </w:rPr>
        <w:t>Qualified Professional 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71" w:lineRule="auto"/>
        <w:rPr>
          <w:sz w:val="20"/>
          <w:szCs w:val="20"/>
          <w:color w:val="auto"/>
        </w:rPr>
      </w:pPr>
      <w:r>
        <w:rPr>
          <w:rFonts w:ascii="Times New Roman" w:cs="Times New Roman" w:eastAsia="Times New Roman" w:hAnsi="Times New Roman"/>
          <w:sz w:val="22"/>
          <w:szCs w:val="22"/>
          <w:color w:val="auto"/>
        </w:rPr>
        <w:t>of the Loans, Letters of Credit, the Commitments and this Agreement or (iv) such other representation, warranty and covenant as may be agreed in writing between the Administrative Agent and such Lender.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In addition, unless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the immediately preceding paragraph is true with respect to a Lender or such Lender has not provided another representation, warranty and covenant as provided in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of the immediately preceding paragraph, such Lender further (a) represents and warrants, as of the date such Person became a Lender party hereto, to and (b) covenants, from the date such Person became a Lender party hereto to the date such Person ceases being a Lender party hereto, for the benefit of the Administrative Agent and the Arrangers and their respective Affiliates, and not to or for the benefit of the Company or any other Loan Party, that: (i) none of the Administrative Agent or the Arrangers or any of their respective Affiliates is a fiduciary with respect to the assets of such Lender (including in connection with the reservation or exercise of any rights by the Administrative Agent under this Agreement, any Loan Document or any documents related hereto or thereto), (ii) the Person making the investment decision on behalf of such Lender with respect to the entrance into, participation in, administration of and performance of the Loans, Letters of Credit, the Commitments and this Agreement is independent (within the meaning of 29 CFR</w:t>
      </w:r>
    </w:p>
    <w:p>
      <w:pPr>
        <w:spacing w:after="0" w:line="10" w:lineRule="exact"/>
        <w:rPr>
          <w:sz w:val="20"/>
          <w:szCs w:val="20"/>
          <w:color w:val="auto"/>
        </w:rPr>
      </w:pPr>
    </w:p>
    <w:p>
      <w:pPr>
        <w:jc w:val="both"/>
        <w:ind w:firstLine="8"/>
        <w:spacing w:after="0" w:line="246" w:lineRule="auto"/>
        <w:tabs>
          <w:tab w:leader="none" w:pos="17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2510.3-21) and is a bank, an insurance carrier, an investment adviser, a broker-dealer or other person that holds, or has under management or control, total assets of at least US$50,000,000, in each case as described in 29 CFR § 2510.3-21(c)(1)(i)(A)-(E), (iii) the Person making the investment decision on behalf of such Lender with respect to the entrance into, participation in, administration of and performance of the Loans, Letters of Credit, the Commitments and this Agreement is capable of evaluating investment risks independently, both in general and with regard to particular transactions and investment strategies (including in respect of the Obligations), (iv) the Person making the investment decision on behalf of such Lender with respect to the entrance into, participation in, administration of and performance of the Loans, Letters of Credit, the Commitments and this Agreement is a fiduciary under ERISA or the Code, or both, with respect to the Loans, the Commitments and this Agreement and is responsible for exercising independent judgment in evaluating the transactions hereunder and (v) no fee or other compensation is being paid directly to the Administrative Agent or any Arranger or any of their respective Affiliates for investment advice (as opposed to other services) in connection with the Loans, the Commitments or this Agreement.</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Administrative Agent and the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in that such Person or an Affiliate thereof (a) may receive interest or other payments with respect to the Loans, the Commitments and this Agreement, (b) may recognize a gain if it extended the Loans or the Commitments for an amount less than the amount being paid for an interest in the Loans or the Commitments by such Lender or (c) may receive fees or other payments in connection with the Transactions, the Loan Documents or otherwise, including structuring fees, commitment fees, arrangement fees, facility fees, upfront fees, underwriting fees, agency fees, administrative agent fees, utilization fees, minimum usage fees, fronting fees, deal-away or alternate transaction fees, amendment fees,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2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term out premiums, banker’s acceptance fees, breakage or other early termination fees or fees similar to the foregoing.</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anything herein to the contrary, none of the Arrangers, the Syndication Agents or the Documentation Agents shall have any duties or obligations under this Agreement or any other Loan Document (except in its capacity, as applicable, as the Administrative Agent, a Lender or an Issuing Bank), but all such Persons shall have the benefit of the indemnities, exculpatory and non-reliance provisions provided for hereunder or thereunder.</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provisions of this Article are solely for the benefit of the Administrative Agent and the Lenders and, except solely to the extent of the Company’s express rights to consent pursuant to and subject to the conditions set forth in this Article, none of the Loan Parties shall have any rights as a third party beneficiary of any such provisions.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Guarantee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For valuable consideration, the receipt of which is hereby acknowledged, and to induce the Term Lenders to make Term Loans to each Term Loan Borrower and the Revolving Lenders to make Revolving Loans to each Borrowing Subsidiary and the Issuing Banks to issue, amend, renew or extend any Letters of Credit for the account of any Borrowing Subsidiary (and the Revolving Lenders to participate in such Letters of Credit as set forth herein), each of the Guarantors hereby absolutely and unconditionally guarantees prompt payment when due, whether at stated maturity, upon acceleration or otherwise, and at all times thereafter, of (a) any and all existing and future Obligations of each Borrower and (b) all obligations of each Borrower to any Lender or any Affiliate of a Lender under or with respect to any Hedging Agreement or cash management arrangement or agreement (i) existing on the Effective Date with a Person that is a Lender on the Effective Date (or an Affiliate of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1" w:lineRule="auto"/>
        <w:rPr>
          <w:sz w:val="20"/>
          <w:szCs w:val="20"/>
          <w:color w:val="auto"/>
        </w:rPr>
      </w:pPr>
      <w:r>
        <w:rPr>
          <w:rFonts w:ascii="Times New Roman" w:cs="Times New Roman" w:eastAsia="Times New Roman" w:hAnsi="Times New Roman"/>
          <w:sz w:val="22"/>
          <w:szCs w:val="22"/>
          <w:color w:val="auto"/>
        </w:rPr>
        <w:t>Lender) and that continues to be a Lender (or an Affiliate of a Lender) or (ii) with a Person that was a Lender at the time the applicable Hedging Agreement or cash management arrangement or agreement was entered into (or an Affiliate of such a Lender) and that continues to be a Lender (or an Affiliate of a Lender), whether for principal, interest (including interest accruing after the commencement of any bankruptcy, insolvency, examinership, rescue process or similar proceeding whether or not allowed as a claim in such proceeding), fees, expenses or otherwise (collectively,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and each such Borrower being an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Obligors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Each Guarantor waives, to the extent permitted by applicable law, notice of the acceptance of this Guarantee and of the extension or continuation of the Guaranteed Obligations or any part thereof. Each Guarantor further waives, to the extent permitted by applicable law, presentment, protest, notice of notices delivered or demand made on any Obligor or action or delinquency in respect of the Guaranteed Obligations or any part thereof, including any right to require the Administrative Agent, the Lenders, the Issuing Banks or any other holder of any Guaranteed Obligations to sue any Obligor, any other guarantor or any other Person obligated with respect to the Guaranteed Obligations or any part thereof. The Administrative Agent, the Lenders, the Issuing Banks and the other holders of any Guaranteed Obligations shall have no obligation to disclose or discuss with the Guarantors their assessments of the financial condition of the Obligors.</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Guarantee Absolute</w:t>
      </w:r>
      <w:r>
        <w:rPr>
          <w:rFonts w:ascii="Times New Roman" w:cs="Times New Roman" w:eastAsia="Times New Roman" w:hAnsi="Times New Roman"/>
          <w:sz w:val="21"/>
          <w:szCs w:val="21"/>
          <w:color w:val="auto"/>
        </w:rPr>
        <w:t>. This Guarantee is a continuing guarantee of payment and not of collection, is intended to have the same effect as if the Guarantors were a primary obligor of the Guaranteed Obligations and not merely a surety, and the validity and enforceability of this Guarantee shall be absolute and unconditional irrespective of, and shall not be impaired or affected by any of the following: (a) any extension, modification or renewal of, or indulgence with respect to, or substitutions for, the Guaranteed Obligations or any part thereof or any agreement relating thereto at any time, (b) any failure or omission to enforce any right, power or remedy with respect to the Guaranteed Obligations or any part thereof or any agreement relating thereto, (c) any waiver of any right, power or remedy with respect to the Guaranteed Obligations or any part thereof or any agreement relating thereto, (d) any release, surrender, compromise, settlement, waiver, subordination or modification, with or without consideration, of any other guarantees with respect to the Guaranteed Obligations or any part thereof, or any other obligation of any Person with respect to the Guaranteed Obligations or any part thereof, (e) the enforceability or validity of the Guaranteed Obligations or any part thereof or the genuineness, enforceability or validity of any agreement relating thereto, (f) the application of payments received from any source to the payment of obligations other than the Guaranteed Obligations, any part thereof or amounts which are not covered by this Guarantee even though the Administrative Agent, the Lenders and the Issuing Banks might lawfully have elected to apply such payments to any part or all of the Guaranteed Obligations or to amounts which are not covered by this Guarantee, (g) any change in the ownership of any Obligor or the insolvency, bankruptcy or any other change in the legal status of any Obligor, (h) the change in or the imposition of any law, decree, regulation or other governmental act which does or might impair, delay or in any way affect the validity, enforceability or the payment when due of the Guaranteed Obligations, (i) the failure of the Guarantors or any Obligor to maintain in full force, 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64" w:lineRule="auto"/>
        <w:rPr>
          <w:sz w:val="20"/>
          <w:szCs w:val="20"/>
          <w:color w:val="auto"/>
        </w:rPr>
      </w:pPr>
      <w:r>
        <w:rPr>
          <w:rFonts w:ascii="Times New Roman" w:cs="Times New Roman" w:eastAsia="Times New Roman" w:hAnsi="Times New Roman"/>
          <w:sz w:val="21"/>
          <w:szCs w:val="21"/>
          <w:color w:val="auto"/>
        </w:rPr>
        <w:t>effect or to obtain or renew when required all governmental and other approvals, licenses or consents required in connection with the Guaranteed Obligations or this Guarantee, or to take any other action required in connection with the performance of all obligations pursuant to the Guaranteed Obligations or this Guarantee, (j) the existence of any claim, setoff or other rights which the Guarantors may have at any time against any Obligor, or any other Person in connection herewith or an unrelated transaction,</w:t>
      </w:r>
    </w:p>
    <w:p>
      <w:pPr>
        <w:spacing w:after="0" w:line="1" w:lineRule="exact"/>
        <w:rPr>
          <w:sz w:val="20"/>
          <w:szCs w:val="20"/>
          <w:color w:val="auto"/>
        </w:rPr>
      </w:pPr>
    </w:p>
    <w:p>
      <w:pPr>
        <w:jc w:val="both"/>
        <w:ind w:firstLine="8"/>
        <w:spacing w:after="0" w:line="245" w:lineRule="auto"/>
        <w:tabs>
          <w:tab w:leader="none" w:pos="30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Agent’s, any Lender’s or any Issuing Bank’s election, in any case or proceeding instituted under chapter 11 of the United States Bankruptcy Code, of the application of section 1111(b)(2) of the United States Bankruptcy Code, (l) any borrowing, use of cash collateral, or grant of a security interest by the Guarantors, as debtor in possession, under section 363 or 364 of the United States Bankruptcy Code, (m) the disallowance of all or any portion any Person’s claims for repayment of the Guaranteed Obligations under section 502 or 506 of the United States Bankruptcy Code, or (n) any other circumstances, whether or not similar to any of the foregoing, which could constitute a defense to a guarantor, in each case, whether or not the Guarantors shall have had notice or knowledge of any act or omission referred to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of this Section. It is agreed that each Guarantor’s liability hereunder is several and independent of any other guarantees or other obligations at any time in effect with respect to the Guaranteed Obligations or any part thereof and that the Guarantor’s liability hereunder may be enforced regardless of the existence, validity, enforcement or non-enforcement of any such other guarantees or other obligations or any provision of any applicable law or regulation purporting to prohibit payment by any Obligor of the Guaranteed Obligations in the manner agreed upon between the Obligor and the Administrative Agent, the Lenders, the Issuing Banks and other holders of any Guaranteed Obligations.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Acceleration</w:t>
      </w:r>
      <w:r>
        <w:rPr>
          <w:rFonts w:ascii="Times New Roman" w:cs="Times New Roman" w:eastAsia="Times New Roman" w:hAnsi="Times New Roman"/>
          <w:sz w:val="21"/>
          <w:szCs w:val="21"/>
          <w:color w:val="auto"/>
        </w:rPr>
        <w:t xml:space="preserve">. Each Guarantor agrees that, as between such Guarantor on the one hand and the Lenders, the Issuing Banks, the Administrative Agent and the other holders of Guaranteed Obligations, on the other hand, the obligations of each Obligor guaranteed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may be declared to be forthwith due and payable, or may be deemed automatically to have been accelerated, as provided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notwithstanding any stay, injunction or other prohibition (whether in a bankruptcy proceeding affecting such Obligor or otherwise) preventing such declaration as against such Obligor and that, in the event of such declaration or automatic acceleration, such obligations (whether or not due and payable by such Obligor) shall forthwith become due and payable by the such Guarantor for purposes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Marshaling; Reinstatement</w:t>
      </w:r>
      <w:r>
        <w:rPr>
          <w:rFonts w:ascii="Times New Roman" w:cs="Times New Roman" w:eastAsia="Times New Roman" w:hAnsi="Times New Roman"/>
          <w:sz w:val="22"/>
          <w:szCs w:val="22"/>
          <w:color w:val="auto"/>
        </w:rPr>
        <w:t>. None of the Lenders, the Issuing Banks, the Administrative Agent or any other holder of Guaranteed Obligations, or any Person acting for or on behalf of any of the foregoing, shall have any obligation to marshal any assets in favor of any Guarantor or against or in payment of any or all of the Guaranteed Obligations. If any Guarantor or any Obligor makes a payment or payments to any Lender, any Issuing Bank, the Administrative Agent or any other holder of any Guaranteed Obligation, which payment or payments or any part thereof are subsequently invalidated, declared to be fraudulent or preferential, set aside and/or required to be repaid to any Borrower, any Guarantor or any other Person, or their respective estates, trustees, receivers or any other party, under any bankruptcy law, state or federal law, common law or equitable cause, then, to the extent of such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71" w:lineRule="auto"/>
        <w:rPr>
          <w:sz w:val="20"/>
          <w:szCs w:val="20"/>
          <w:color w:val="auto"/>
        </w:rPr>
      </w:pPr>
      <w:r>
        <w:rPr>
          <w:rFonts w:ascii="Times New Roman" w:cs="Times New Roman" w:eastAsia="Times New Roman" w:hAnsi="Times New Roman"/>
          <w:sz w:val="22"/>
          <w:szCs w:val="22"/>
          <w:color w:val="auto"/>
        </w:rPr>
        <w:t>repayment, the part of the Guaranteed Obligations which has been paid, reduced or satisfied by such amount shall be reinstated and continued in full force and effect as of the time immediately preceding such initial payment, reduction or satisfaction.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Until the irrevocable payment in full of the Obligations (other than (x) obligations in respect of Hedging Agreements or cash management arrangements and (y) other Obligations that are contingent in nature or unliquidated at such time) and termination of all commitments which could give rise to any Guaranteed Obligation, no Guarantor shall exercise any right of subrogation with respect to the Guaranteed Obligations, and hereby waives, to the extent permitted by applicable law, any right to enforce any remedy which the Administrative Agent, the Lenders, the Issuing Banks or any other holder of any Guaranteed Obligations now has or may hereafter have against any Guarantor, any endorser or any other guarantor of all or any part of the Guaranteed Obligations, and each Guarantor hereby waives, to the extent permitted by applicable law, any other liability of any Obligor to the Administrative Agent, the Lenders, the Issuing Banks and/or any other holder of any Guaranteed Obligations.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This Guarantee shall continue in effect until: (a) with respect to each Term Facility, the later of (i) the Term Loan Maturity Date and (ii) the date on which this Agreement has otherwise expired or been terminated in accordance with its terms and all of the Guaranteed Obligations in respect of each Term Facility have been paid in full in cash; and (b) with respect to the Revolving Facility, the later of (i) the Revolving Maturity Date and (ii) the date on which this Agreement has otherwise expired or been terminated in accordance with its terms and all of the Guaranteed Obligations in respect of the Revolving Facility have been paid in full in cash, in each case, other than (x) obligations in respect of Hedging Agreements or cash management arrangements and (y) other obligations that are contingent in nature or unliquidated at such time, it being understood, however, that this Guarantee shall remain in effect as to such obligations if an Event of Default shall have occurred and the other Guaranteed Obligations shall have been discharged through an exercise of remedies); provided that, notwithstanding the foregoing, this Guarantee shall automatically terminate in the circumstances set forth in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Pre-Spin and Post-Spin Guarantors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from the Effective Date until the occurrence of the Spin-Off Effective Date, (a) in respect of each Term Facility, each of the Parent and the Company shall be a Guarantor under this Agreement and the other Loan Documents and (b) in respect of the Revolving Facility, (i) the Parent shall be a Guarantor under this Agreement and the other Loan Documents and (ii) the Company shall be a Guarantor solely in respect of the Obligations of each Borrowing Subsidiary. Upon the occurrence of the Spin-Off Effective Date, the Parent shall automatically be released from all of its obligations as a Guarantor under this Agreement, including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its Guarantee shall be terminated, and (i) in respect of each Term Facility, the Company shall automatically become the sole Guarantor under this Agreement and the other Loan Documents and (ii) in respect of the Revolving Facility, the Company shall automatically become the sole Guarantor under this Agreement, including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solely in respect of the Obligations of each Borrowing Subsidiary. Upon the occurrence of the Spin-Off Effective Date, the Company or the Parent shall deliver to the Administrative Agent a certificate of either the Company or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71" w:lineRule="auto"/>
        <w:rPr>
          <w:sz w:val="20"/>
          <w:szCs w:val="20"/>
          <w:color w:val="auto"/>
        </w:rPr>
      </w:pPr>
      <w:r>
        <w:rPr>
          <w:rFonts w:ascii="Times New Roman" w:cs="Times New Roman" w:eastAsia="Times New Roman" w:hAnsi="Times New Roman"/>
          <w:sz w:val="22"/>
          <w:szCs w:val="22"/>
          <w:color w:val="auto"/>
        </w:rPr>
        <w:t>as applicable, signed by an Authorized Officer of such Person, confirming that the Spin-Off Effective Date has occurred and the Spin-Off has been consummated in accordance with Section 4.04(c).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 Except in the case of notices and other communications expressly permitted to be given by telephone and subject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all notices and other communications provided for herein shall be in writing and shall be delivered by hand or overnight courier service, mailed by certified or registered mail or sent by fax, as follows:</w:t>
      </w:r>
    </w:p>
    <w:p>
      <w:pPr>
        <w:spacing w:after="0" w:line="2" w:lineRule="exact"/>
        <w:rPr>
          <w:sz w:val="20"/>
          <w:szCs w:val="20"/>
          <w:color w:val="auto"/>
        </w:rPr>
      </w:pPr>
    </w:p>
    <w:p>
      <w:pPr>
        <w:ind w:left="1720" w:hanging="416"/>
        <w:spacing w:after="0"/>
        <w:tabs>
          <w:tab w:leader="none" w:pos="17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Borrowers, to it at their respective addresses (or email addresses) specified on </w:t>
      </w:r>
      <w:r>
        <w:rPr>
          <w:rFonts w:ascii="Times New Roman" w:cs="Times New Roman" w:eastAsia="Times New Roman" w:hAnsi="Times New Roman"/>
          <w:sz w:val="22"/>
          <w:szCs w:val="22"/>
          <w:u w:val="single" w:color="auto"/>
          <w:color w:val="auto"/>
        </w:rPr>
        <w:t>Schedule 10.01</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Administrative Agent, to it at its address (or email address) specified on </w:t>
      </w:r>
      <w:r>
        <w:rPr>
          <w:rFonts w:ascii="Times New Roman" w:cs="Times New Roman" w:eastAsia="Times New Roman" w:hAnsi="Times New Roman"/>
          <w:sz w:val="22"/>
          <w:szCs w:val="22"/>
          <w:u w:val="single" w:color="auto"/>
          <w:color w:val="auto"/>
        </w:rPr>
        <w:t>Schedule 10.01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Issuing Bank as of the Closing Date, to it at its address (or email address) specified on </w:t>
      </w:r>
      <w:r>
        <w:rPr>
          <w:rFonts w:ascii="Times New Roman" w:cs="Times New Roman" w:eastAsia="Times New Roman" w:hAnsi="Times New Roman"/>
          <w:sz w:val="22"/>
          <w:szCs w:val="22"/>
          <w:u w:val="single" w:color="auto"/>
          <w:color w:val="auto"/>
        </w:rPr>
        <w:t>Schedule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660" w:firstLine="644"/>
        <w:spacing w:after="0" w:line="256" w:lineRule="auto"/>
        <w:tabs>
          <w:tab w:leader="none" w:pos="188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Issuing Bank, to it at its address (or email address) most recently specified by it in a notice delivered to the Administrative Agent and the Company (or, in the absence of any such notice, to the address (or email address) set forth in the Administrative Questionnaire of the Lender that is serving as such Issuing Bank or is an Affiliate thereof); and</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Lender, to it at its address (or email address) set forth in its Administrative Questionnaire.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Notices sent by hand or overnight courier service, or mailed by certified or registered mail, shall be deemed to have been given when received; notices sent by fax shall be deemed to have been given when sent (but if not given during normal business hours for the recipient, shall be deemed to have been given at the opening of business on the next business day for the recipient); and notices delivered through email or other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shall be effective as provided in such paragraph.</w:t>
      </w:r>
    </w:p>
    <w:p>
      <w:pPr>
        <w:spacing w:after="0" w:line="179" w:lineRule="exact"/>
        <w:rPr>
          <w:sz w:val="20"/>
          <w:szCs w:val="20"/>
          <w:color w:val="auto"/>
        </w:rPr>
      </w:pPr>
    </w:p>
    <w:p>
      <w:pPr>
        <w:jc w:val="both"/>
        <w:ind w:firstLine="656"/>
        <w:spacing w:after="0" w:line="265" w:lineRule="auto"/>
        <w:tabs>
          <w:tab w:leader="none" w:pos="117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Administrative Agent, the Lenders and Issuing Banks hereunder may be delivered or furnished by electronic communications (including email and Internet and intranet websites)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under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to any Lender or Issuing Bank if such Lender or Issuing Bank, as applicable, has notified the Administrative Agent that it is incapable of receiving notices under such Article by electronic communication. Any notices or other communications to the Administrative Agent, the Borrowers or any Borrowing Subsidiary may be delivered or furnished by electronic communications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procedures approved in advance by the recipient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or rescinded by such Person by notice to each other such Person.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0" w:lineRule="exact"/>
        <w:rPr>
          <w:sz w:val="20"/>
          <w:szCs w:val="20"/>
          <w:color w:val="auto"/>
        </w:rPr>
      </w:pPr>
    </w:p>
    <w:p>
      <w:pPr>
        <w:ind w:right="20" w:firstLine="656"/>
        <w:spacing w:after="0" w:line="271" w:lineRule="auto"/>
        <w:tabs>
          <w:tab w:leader="none" w:pos="123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fax number or email address for notices and other communications hereunder by notice to the other parties hereto.</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34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but shall not be obligated to, make any Communication by posting such Communication on Debt Domain, IntraLinks, SyndTrak or a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The Platform is provided “as is” and “as available”. Neither the Administrative Agent nor any of its Related Parties warrants, or shall be deemed to warrant, the adequacy of the Platform, and the Administrative Agent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 In no event shall the Administrative Agent or any of its Related Parties have any liability to any Loan Party, any Lender, any Issuing Bank or any other Person for damages of any kind (whether in tort, contract or otherwise), arising out of any Loan Party’s or the Administrative Agent’s transmission of Communications through the Platform except, in the case of direct damages of any Loan Party (but not any indirect, special, incidental or consequential damages), to the extent arising from the Administrative Agent’s or such Related Party’s gross negligence or willful misconduct, as determined by a court of competent jurisdiction in a final and nonappealable judgment. The Administrative Agent is not responsible for approving or vetting the representatives or contacts of any Lender that are added to the Platform.</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effective unless the same shall be permitted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Section, and then such waiver or consent shall be effective only in the specific instance and for the specific purpose for which given. Without limiting the generality of the foregoing, the execution and delivery of this Agreement and the making of the Loans or issuance of a Letter of Credit shall not be construed as a waiver of any Default, regardless of whether the Administrative Agent, any Lender or any Issuing Bank may have had notice or knowledge of such Default at the time.</w:t>
      </w:r>
    </w:p>
    <w:p>
      <w:pPr>
        <w:spacing w:after="0" w:line="179" w:lineRule="exact"/>
        <w:rPr>
          <w:sz w:val="20"/>
          <w:szCs w:val="20"/>
          <w:color w:val="auto"/>
        </w:rPr>
      </w:pPr>
    </w:p>
    <w:p>
      <w:pPr>
        <w:jc w:val="both"/>
        <w:ind w:firstLine="656"/>
        <w:spacing w:after="0" w:line="246" w:lineRule="auto"/>
        <w:tabs>
          <w:tab w:leader="none" w:pos="122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none of this Agreement, any other Loan Document or any provision hereof or thereof may be waived, amended or modified except, in the case of this Agreement, pursuant to an agreement or agreements in writing entered into by the Company, the Administrative Agent and the Required Lenders and, in the case of any other Loan Document, pursuant to an agreement or agreements in writing entered into by the Administrative Agent and the Loan Parties that are parties thereto (or, in the case of any Borrowing Subsidiary, by the Company on its behalf), in each case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(other than as a result of any change in the definition, or in any components thereof, of the term “</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without the written consent of each Lender directly and adversely affected thereby (other than any waiver of any default interest applicable pursuant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(iii) postpone the scheduled maturity date of any Loan,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directly and adversely affected thereby, (iv) change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2.15(c)</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 (v) change any of the provisions of this paragraph or the percentage set forth in the definition of the term “</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Majority in Interest</w:t>
      </w:r>
      <w:r>
        <w:rPr>
          <w:rFonts w:ascii="Times New Roman" w:cs="Times New Roman" w:eastAsia="Times New Roman" w:hAnsi="Times New Roman"/>
          <w:sz w:val="22"/>
          <w:szCs w:val="22"/>
          <w:color w:val="auto"/>
        </w:rPr>
        <w:t xml:space="preserve">”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change the currency of any Loan of any Lender without the written consent of such Lender, or add any new currency as an Alternative Currency without the written consent of each Revolving Lender or (vii) release (including by limiting liability in respect thereof) the Company or, prior to the release under Section 9.08, the Parent from its obligations under the Guarantee without the written consent of each Lender;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such agreement shall amend, modify, extend or otherwise affect the rights or obligations of the Administrative Agent or any Issuing Bank without the written consent of the Administrative Agent or such Issuing Bank,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no amendment, modification, supplement, extension, termination or waiver shall contain terms that (1) directly and adversely affect the interests of the Lenders of any Class and (2) directly limit the applicability of such terms to one or more Class of Loans and Commitments but not to the other Class of Loans and Commitments, in each case, without the written consent of Lenders representing a Majority in Interest of each Class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1" w:right="339" w:bottom="1440" w:gutter="0" w:footer="0" w:header="0"/>
        </w:sectPr>
      </w:pPr>
    </w:p>
    <w:bookmarkStart w:id="137" w:name="page138"/>
    <w:bookmarkEnd w:id="137"/>
    <w:p>
      <w:pPr>
        <w:ind w:left="464" w:hanging="464"/>
        <w:spacing w:after="0"/>
        <w:tabs>
          <w:tab w:leader="none" w:pos="46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2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or any other Loan Document may be amended by an agreement in writing entered into by the Company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72" w:lineRule="auto"/>
        <w:tabs>
          <w:tab w:leader="none" w:pos="122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consent with respect to any amendment, waiver or other modification of this Agreement or any other Loan Document shall be required of any Defaulting Lender, except with respect to any amendment, waiver or other modification referred to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the first proviso of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then only in the event such Defaulting Lender shall be directly and adversely affected by such amendment, waiver or other modification;</w:t>
      </w:r>
    </w:p>
    <w:p>
      <w:pPr>
        <w:spacing w:after="0" w:line="160" w:lineRule="exact"/>
        <w:rPr>
          <w:rFonts w:ascii="Times New Roman" w:cs="Times New Roman" w:eastAsia="Times New Roman" w:hAnsi="Times New Roman"/>
          <w:sz w:val="21"/>
          <w:szCs w:val="21"/>
          <w:color w:val="auto"/>
        </w:rPr>
      </w:pPr>
    </w:p>
    <w:p>
      <w:pPr>
        <w:jc w:val="both"/>
        <w:ind w:left="4" w:firstLine="644"/>
        <w:spacing w:after="0" w:line="250" w:lineRule="auto"/>
        <w:tabs>
          <w:tab w:leader="none" w:pos="122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amendment, waiver or other modification referred to in the first proviso of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no consent with respect to any amendment, waiver or other modification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spacing w:after="0" w:line="180"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2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waiver of any condition set forth in Section 4.02 or 4.03 shall require the written consent of Revolving Lenders constituting the Majority in Interest of the Revolving Lenders (but not the Required Lenders);</w:t>
      </w:r>
    </w:p>
    <w:p>
      <w:pPr>
        <w:spacing w:after="0" w:line="167" w:lineRule="exact"/>
        <w:rPr>
          <w:rFonts w:ascii="Times New Roman" w:cs="Times New Roman" w:eastAsia="Times New Roman" w:hAnsi="Times New Roman"/>
          <w:sz w:val="22"/>
          <w:szCs w:val="22"/>
          <w:color w:val="auto"/>
        </w:rPr>
      </w:pPr>
    </w:p>
    <w:p>
      <w:pPr>
        <w:ind w:left="4" w:firstLine="644"/>
        <w:spacing w:after="0" w:line="271" w:lineRule="auto"/>
        <w:tabs>
          <w:tab w:leader="none" w:pos="11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and the other Loan Documents may be amended in the manner provided in </w:t>
      </w:r>
      <w:r>
        <w:rPr>
          <w:rFonts w:ascii="Times New Roman" w:cs="Times New Roman" w:eastAsia="Times New Roman" w:hAnsi="Times New Roman"/>
          <w:sz w:val="22"/>
          <w:szCs w:val="22"/>
          <w:u w:val="single" w:color="auto"/>
          <w:color w:val="auto"/>
        </w:rPr>
        <w:t>Sections 2.02(e)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6.02(g)</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1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and the other Loan Documents may be amended in the manner provided in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and, in connection with any Borrowing Subsidiary becoming a party hereto, this Agreement (including the Exhibits hereto) may be amended by an agreement in writing entered into by the Company and the Administrative Agent to provide for such technical modifications as they determine to be necessary or advisable in connection therewith;</w:t>
      </w:r>
    </w:p>
    <w:p>
      <w:pPr>
        <w:spacing w:after="0" w:line="176" w:lineRule="exact"/>
        <w:rPr>
          <w:rFonts w:ascii="Times New Roman" w:cs="Times New Roman" w:eastAsia="Times New Roman" w:hAnsi="Times New Roman"/>
          <w:sz w:val="22"/>
          <w:szCs w:val="22"/>
          <w:color w:val="auto"/>
        </w:rPr>
      </w:pPr>
    </w:p>
    <w:p>
      <w:pPr>
        <w:ind w:left="1244" w:hanging="596"/>
        <w:spacing w:after="0"/>
        <w:tabs>
          <w:tab w:leader="none" w:pos="124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37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addition of any new currency as an Alternative Currency in accordance with the definition of such term (and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this Agreement (including the Exhibits hereto) may be amended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0584"/>
          </w:cols>
          <w:pgMar w:left="976" w:top="1421" w:right="339" w:bottom="1440" w:gutter="0" w:footer="0" w:header="0"/>
        </w:sectPr>
      </w:pPr>
    </w:p>
    <w:bookmarkStart w:id="138" w:name="page139"/>
    <w:bookmarkEnd w:id="138"/>
    <w:p>
      <w:pPr>
        <w:ind w:left="660"/>
        <w:spacing w:after="0" w:line="271" w:lineRule="auto"/>
        <w:rPr>
          <w:sz w:val="20"/>
          <w:szCs w:val="20"/>
          <w:color w:val="auto"/>
        </w:rPr>
      </w:pPr>
      <w:r>
        <w:rPr>
          <w:rFonts w:ascii="Times New Roman" w:cs="Times New Roman" w:eastAsia="Times New Roman" w:hAnsi="Times New Roman"/>
          <w:sz w:val="22"/>
          <w:szCs w:val="22"/>
          <w:color w:val="auto"/>
        </w:rPr>
        <w:t>agreement in writing entered into by the Company and the Administrative Agent to provide for such technical modifications as they determine to be necessary or advisable in connection therewith; and</w:t>
      </w:r>
    </w:p>
    <w:p>
      <w:pPr>
        <w:spacing w:after="0" w:line="158" w:lineRule="exact"/>
        <w:rPr>
          <w:sz w:val="20"/>
          <w:szCs w:val="20"/>
          <w:color w:val="auto"/>
        </w:rPr>
      </w:pPr>
    </w:p>
    <w:p>
      <w:pPr>
        <w:jc w:val="both"/>
        <w:ind w:left="660" w:firstLine="644"/>
        <w:spacing w:after="0" w:line="263" w:lineRule="auto"/>
        <w:tabs>
          <w:tab w:leader="none" w:pos="1867"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amendment to this Agreement contemplated by the last sentence of the second penultimate paragraph of the definition of the term “</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may be made pursuant to an agreement or agreements in writing entered into by the Company, the Administrative Agent and the Required Lenders.</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6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but shall have no obligation to, with the concurrence of any Lender, execute amendments, waivers or other modifications on behalf of such Lender. Any amendment, waiver or other modification effected in accordance with this Section shall be binding upon each Person that is at the time thereof a Lender and each Person that subsequently becomes a Lender.</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 (a) The Company shall pay (i) all reasonable and documented out-of-pocket expenses incurred by the Administrative Agent, the Arrangers and their Affiliates, including the reasonable and documented fees, charges and disbursements of counsel for any of the foregoing (but limited to a single primary counsel and, if reasonably necessary, a single local counsel in each relevant jurisdiction (including each Home Country of any Borrower), in each case, for the Administrative Agent, the Arrangers and their Affiliates taken as a whole (which may be a single local counsel acting in multiple jurisdictions)), in connection with the structuring, arrangement and syndication of the credit facilities provided for herein, including the preparation, execution and delivery of this Agreement,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Arranger, any Issuing Bank or any Lender, including the fees, charges and disbursements of any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9" w:lineRule="exact"/>
        <w:rPr>
          <w:sz w:val="20"/>
          <w:szCs w:val="20"/>
          <w:color w:val="auto"/>
        </w:rPr>
      </w:pPr>
    </w:p>
    <w:p>
      <w:pPr>
        <w:jc w:val="both"/>
        <w:ind w:firstLine="656"/>
        <w:spacing w:after="0" w:line="250" w:lineRule="auto"/>
        <w:tabs>
          <w:tab w:leader="none" w:pos="112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the Administrative Agent (and any sub-agent thereof), the Arrangers, the Syndication Agents, the Documentation Agents, each Lender and each Issuing Bank, and each Related Party of any of the foregoing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penalties, liabilities and related expenses, including the reasonable and documented fees, charges and disbursements of any counsel for any Indemnitee (but limited to a single primary counsel and, if reasonably necessary, a single local counsel in each relevant jurisdiction (including each Home Country of any Borrower), in each case, for the Indemnitees, taken as a whole (which may be a single local counsel acting in multiple jurisdictions) and,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case of an actual or perceived conflict of interest, where the party affected by such conflict informs the Company of such conflict and thereafter retains its own counsel, of one additional firm of primary counsel and, if reasonably necessary, one additional firm of local counsel in each relevant jurisdiction (which may include a single local counsel acting in multiple jurisdictions)), incurred by or asserted against any Indemnitee arising out of, in connection with, or as a result of (i) the structuring, arrangement and syndication of the credit facilities provided for herein, the preparation, execution, delivery and administration of this Agreement, the other Loan Documents or any other agreement or instrument contemplated hereby or thereby, the performance by the parties to this Agreement or the other Loan Documents of their obligations thereunder or the consummation of the Transactions or any other transactions contemplated thereby (including, without limitation, the Company’s reliance on any Communication executed using an Electronic Signature, or in the form of an Electronic Record),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Contaminants on or from any property currently or formerly owned or operated by the Company or any Subsidiary (or Person that was formerly a Subsidiary) or any of them, or any other liability under Environmental Laws related in any way to the Company, any Subsidiary (or Person that was formerly a Subsidiary) or any of them, or (iv) any actual or prospective claim, litigation, investigation or proceeding relating to any of the foregoing,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penalties, liabilities or related expenses (A) are determined by a court of competent jurisdiction by final and nonappealable judgment to have resulted from (1) the gross negligence, bad faith or willful misconduct of such Indemnitee or (2) a breach in bad faith of the funding obligations of such Indemnitee under this Agreement or (B) arise from any dispute among the Indemnitees, other than any claim, litigation, investigation or proceeding against the Administrative Agent, any Arranger, any Syndication Agents, any Documentation Agents, or any other titled person in its capacity or in fulfilling its role as such and other than any claim, litigation, investigation or proceeding arising out of any act or omission on the part of the Borrowers or any of their Affiliates. Each Indemnitee shall be obligated to refund and return promptly any and all amounts actually paid by the Company to such Indemnitee under this paragraph for any losses, claims, damages, penalties, liabilities or expenses to the extent such Indemnitee is subsequently determined, by a court of competent jurisdiction by final and nonappealable judgment, to not be entitled to payment of such amounts in accordance with the terms of this paragraph. This paragraph shall not apply with respect to Taxes other than any Taxes that represent losses, claims or damages arising from any non-Tax claim.</w:t>
      </w:r>
    </w:p>
    <w:p>
      <w:pPr>
        <w:spacing w:after="0" w:line="200" w:lineRule="exact"/>
        <w:rPr>
          <w:sz w:val="20"/>
          <w:szCs w:val="20"/>
          <w:color w:val="auto"/>
        </w:rPr>
      </w:pPr>
    </w:p>
    <w:p>
      <w:pPr>
        <w:spacing w:after="0" w:line="253" w:lineRule="exact"/>
        <w:rPr>
          <w:sz w:val="20"/>
          <w:szCs w:val="20"/>
          <w:color w:val="auto"/>
        </w:rPr>
      </w:pPr>
    </w:p>
    <w:p>
      <w:pPr>
        <w:jc w:val="both"/>
        <w:ind w:firstLine="656"/>
        <w:spacing w:after="0" w:line="256" w:lineRule="auto"/>
        <w:tabs>
          <w:tab w:leader="none" w:pos="11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Company fails indefeasibly to pay any amount required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to the Administrative Agent (or any sub-agent thereof), any Issuing Bank or any Related Party of any of the foregoing (and without limiting its obligation to do so), each Lender severally agrees to pay to the Administrative Agent (or any such sub-agent), such Issuing Bank or such Related Party, as the case may be, such Lender’s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rata share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(or such sub-agent), or such Issuing Bank in its capacity as such, or against any Related Party of any of the foregoing acting for the Administrative Agent (or any such sub-agent) or such Issuing Bank. For purposes of this Section, a Lender’s “pro rata share” shall be determined based upon its share of the sum of the aggregate amount of the Revolving Loans and unused Revolving Commitments at the time outstanding or in effect (or most recently outstanding or in effect, if none of the foregoing shall be outstanding or in effect at such time).</w:t>
      </w:r>
    </w:p>
    <w:p>
      <w:pPr>
        <w:spacing w:after="0" w:line="180" w:lineRule="exact"/>
        <w:rPr>
          <w:sz w:val="20"/>
          <w:szCs w:val="20"/>
          <w:color w:val="auto"/>
        </w:rPr>
      </w:pPr>
    </w:p>
    <w:p>
      <w:pPr>
        <w:jc w:val="both"/>
        <w:ind w:firstLine="656"/>
        <w:spacing w:after="0" w:line="250" w:lineRule="auto"/>
        <w:tabs>
          <w:tab w:leader="none" w:pos="11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no Borrower shall assert, or permit any of its Affiliates or Related Parties to assert, and each Borrower hereby waives, any claim against any Indemnitee (i) for any damages arising from the use by others of information or other materials obtained through telecommunications, electronic or other information transmission systems (including the Internet), except to the extent arising from the bad faith, gross negligence or willful misconduct of such Indemnitee, as determined by a court of competent jurisdiction in a final and nonappealable judgment,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by applicable law, the Administrative Agent, the Arrangers, the Issuing Banks, the Lenders, the Syndication Agents and the Documentation Agents shall not assert, or permit any of their respective Affiliates or Related Parties to assert, and each of them hereby waives, any claim against the Borrowers,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shall limit the Borrowers’ indemnity and reimbursement obligations set forth in this Section or separately agreed.</w:t>
      </w:r>
    </w:p>
    <w:p>
      <w:pPr>
        <w:spacing w:after="0" w:line="180"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 therefor.</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other than as expressly permitted by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the Borrowers may not assign or otherwise transfer any of its rights or obligations hereunder without the prior written consent of the Administrative Agent and each Lender (and any attempted assignment or transfer by any Borrower without such consent shall be null and void) and (ii) no Lender may assign or otherwise transfer its rights or obligations hereunder except in accordance with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Nothing in this Agreement, expressed or implied, shall be construed to confer upon any Person (other than the parties hereto, their respective successors and assigns permitted hereby (including any Affiliate of any Issuing Bank that issues any Letter of Credit), sub-agents of the Administrative Agent, Participants (to the extent provided in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the Arrangers, the Syndication Agents, the Documentation Agents and, to the extent expressly contemplated hereby, the Related Parties of the foregoing) any legal or equitable right, remedy or claim under or by reason of this Agreement.</w:t>
      </w:r>
    </w:p>
    <w:p>
      <w:pPr>
        <w:spacing w:after="0" w:line="2" w:lineRule="exact"/>
        <w:rPr>
          <w:sz w:val="20"/>
          <w:szCs w:val="20"/>
          <w:color w:val="auto"/>
        </w:rPr>
      </w:pPr>
    </w:p>
    <w:p>
      <w:pPr>
        <w:jc w:val="both"/>
        <w:ind w:firstLine="656"/>
        <w:spacing w:after="0" w:line="249" w:lineRule="auto"/>
        <w:tabs>
          <w:tab w:leader="none" w:pos="120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conditions set forth in </w:t>
      </w:r>
      <w:r>
        <w:rPr>
          <w:rFonts w:ascii="Times New Roman" w:cs="Times New Roman" w:eastAsia="Times New Roman" w:hAnsi="Times New Roman"/>
          <w:sz w:val="22"/>
          <w:szCs w:val="22"/>
          <w:u w:val="single" w:color="auto"/>
          <w:color w:val="auto"/>
        </w:rPr>
        <w:t>paragraph (b)(ii)</w:t>
      </w:r>
      <w:r>
        <w:rPr>
          <w:rFonts w:ascii="Times New Roman" w:cs="Times New Roman" w:eastAsia="Times New Roman" w:hAnsi="Times New Roman"/>
          <w:sz w:val="22"/>
          <w:szCs w:val="22"/>
          <w:color w:val="auto"/>
        </w:rPr>
        <w:t xml:space="preserve"> below, any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delayed or conditioned) of:</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82"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Company shall be required, (x) for an assignment to a Lender, an Affiliate of a Lender or an Approved Fund or (y) if an Event of Default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shall have occurred and be continuing;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in each case, that the Company shall be deemed to have consented to any assignment unless it shall object thereto by written notice to the Administrative Agent within 10 Business Days after having received notice thereof;</w:t>
      </w:r>
    </w:p>
    <w:p>
      <w:pPr>
        <w:spacing w:after="0" w:line="194" w:lineRule="exact"/>
        <w:rPr>
          <w:rFonts w:ascii="Times New Roman" w:cs="Times New Roman" w:eastAsia="Times New Roman" w:hAnsi="Times New Roman"/>
          <w:sz w:val="22"/>
          <w:szCs w:val="22"/>
          <w:color w:val="auto"/>
        </w:rPr>
      </w:pPr>
    </w:p>
    <w:p>
      <w:pPr>
        <w:ind w:left="1300" w:firstLine="652"/>
        <w:spacing w:after="0" w:line="271" w:lineRule="auto"/>
        <w:tabs>
          <w:tab w:leader="none" w:pos="2467"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provided that no consent of the Administrative Agent shall be required for an assignment to a Lender, an Affiliate of such Lender or an Approved Fund in respect of such Lender; and</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565"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of all or a portion of any Lender’s Revolving Commitment or, as applicable, LC Exposure or Swingline Exposure, each Issuing Bank and each Swingline Lender.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61" w:lineRule="auto"/>
        <w:tabs>
          <w:tab w:leader="none" w:pos="2489"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(x) US$5,000,000, in the case of any assignment with respect to the Revolving Facility, (y) US$1,000,000, in the case of any assignment with respect to the Dollar Tranche Term Loan Facility or</w:t>
      </w:r>
    </w:p>
    <w:p>
      <w:pPr>
        <w:jc w:val="both"/>
        <w:ind w:left="1300" w:firstLine="4"/>
        <w:spacing w:after="0" w:line="245" w:lineRule="auto"/>
        <w:tabs>
          <w:tab w:leader="none" w:pos="160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€1,000,000 in the case of any assignment with respect to the Euro Tranche Term Loan Facility, unless each of the Company and the Administrative Agent otherwise consents;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no such consent of the Company shall be required if an Event of Default has occurred and is continuing and (2) the Company shall be deemed to have consented to any assignment unless it shall object thereto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21" w:right="339" w:bottom="1440" w:gutter="0" w:footer="0" w:header="0"/>
        </w:sectPr>
      </w:pPr>
    </w:p>
    <w:bookmarkStart w:id="142" w:name="page143"/>
    <w:bookmarkEnd w:id="142"/>
    <w:p>
      <w:pPr>
        <w:ind w:left="180"/>
        <w:spacing w:after="0"/>
        <w:rPr>
          <w:sz w:val="20"/>
          <w:szCs w:val="20"/>
          <w:color w:val="auto"/>
        </w:rPr>
      </w:pPr>
      <w:r>
        <w:rPr>
          <w:rFonts w:ascii="Times New Roman" w:cs="Times New Roman" w:eastAsia="Times New Roman" w:hAnsi="Times New Roman"/>
          <w:sz w:val="22"/>
          <w:szCs w:val="22"/>
          <w:color w:val="auto"/>
        </w:rPr>
        <w:t>Administrative Agent within 10 Business Days after having received notice thereof;</w:t>
      </w:r>
    </w:p>
    <w:p>
      <w:pPr>
        <w:spacing w:after="0" w:line="220" w:lineRule="exact"/>
        <w:rPr>
          <w:sz w:val="20"/>
          <w:szCs w:val="20"/>
          <w:color w:val="auto"/>
        </w:rPr>
      </w:pPr>
    </w:p>
    <w:p>
      <w:pPr>
        <w:ind w:left="180" w:firstLine="652"/>
        <w:spacing w:after="0" w:line="271" w:lineRule="auto"/>
        <w:tabs>
          <w:tab w:leader="none" w:pos="139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71"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7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Assumption (or an agreement incorporating by reference a form of Assignment and Assumption posted on the Platform), together with a processing and recordation fee of US$3,500,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one such processing and recordation fee shall be payable in the event of simultaneous assignments from any Lender or its Approved Funds to one or more other Approved Funds of such Lender; and</w:t>
      </w:r>
    </w:p>
    <w:p>
      <w:pPr>
        <w:spacing w:after="0" w:line="194"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42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if it shall not already be a Lender, shall deliver to the Administrative Agent any tax forms required by </w:t>
      </w:r>
      <w:r>
        <w:rPr>
          <w:rFonts w:ascii="Times New Roman" w:cs="Times New Roman" w:eastAsia="Times New Roman" w:hAnsi="Times New Roman"/>
          <w:sz w:val="22"/>
          <w:szCs w:val="22"/>
          <w:u w:val="single" w:color="auto"/>
          <w:color w:val="auto"/>
        </w:rPr>
        <w:t>Section 2.14(f)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(as applicable) and an Administrative Questionnaire in which the assignee designates one or more credit contacts to whom all syndicate-level information will be made available and who may receive such information in accordance with the assignee’s compliance procedures and applicable law, including United States (Federal or State) and foreign securities laws.</w:t>
      </w:r>
    </w:p>
    <w:p>
      <w:pPr>
        <w:spacing w:after="0" w:line="180"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75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pursuant to </w:t>
      </w:r>
      <w:r>
        <w:rPr>
          <w:rFonts w:ascii="Times New Roman" w:cs="Times New Roman" w:eastAsia="Times New Roman" w:hAnsi="Times New Roman"/>
          <w:sz w:val="22"/>
          <w:szCs w:val="22"/>
          <w:u w:val="single" w:color="auto"/>
          <w:color w:val="auto"/>
        </w:rPr>
        <w:t>paragraph (b)(v)</w:t>
      </w:r>
      <w:r>
        <w:rPr>
          <w:rFonts w:ascii="Times New Roman" w:cs="Times New Roman" w:eastAsia="Times New Roman" w:hAnsi="Times New Roman"/>
          <w:sz w:val="22"/>
          <w:szCs w:val="22"/>
          <w:color w:val="auto"/>
        </w:rPr>
        <w:t xml:space="preserve"> of this Section, from and after the effective date specified in each Assignment and Assumption (or an agreement incorporating by reference a form of Assignment and Assumption posted on the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78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 non-fiduciary agent of the Borrowers, shall maintain at one of its offices a copy of each Assignment and Assumption delivered to it and records of the names and addresses of the Lenders, and the Commitments of, and principal amount (and stated interest) of the Loans and LC Disbursements owing to, each Lender pursuant to the terms hereof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0120"/>
          </w:cols>
          <w:pgMar w:left="1440" w:top="1421" w:right="339" w:bottom="1440" w:gutter="0" w:footer="0" w:header="0"/>
        </w:sectPr>
      </w:pPr>
    </w:p>
    <w:bookmarkStart w:id="143" w:name="page144"/>
    <w:bookmarkEnd w:id="143"/>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and, as to entries pertaining to it, any Issuing Bank or Lender, at any reasonable time and from time to time upon reasonable prior notice.</w:t>
      </w:r>
    </w:p>
    <w:p>
      <w:pPr>
        <w:spacing w:after="0" w:line="179" w:lineRule="exact"/>
        <w:rPr>
          <w:sz w:val="20"/>
          <w:szCs w:val="20"/>
          <w:color w:val="auto"/>
        </w:rPr>
      </w:pPr>
    </w:p>
    <w:p>
      <w:pPr>
        <w:jc w:val="both"/>
        <w:ind w:left="660" w:firstLine="644"/>
        <w:spacing w:after="0" w:line="259" w:lineRule="auto"/>
        <w:tabs>
          <w:tab w:leader="none" w:pos="1785"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by the Administrative Agent of an Assignment and Assumption (or an agreement incorporating by reference a form of Assignment and Assumption posted on the Platform) executed by an assigning Lender and an assignee, the assignee’s completed Administrative Questionnaire and any tax forms required by </w:t>
      </w:r>
      <w:r>
        <w:rPr>
          <w:rFonts w:ascii="Times New Roman" w:cs="Times New Roman" w:eastAsia="Times New Roman" w:hAnsi="Times New Roman"/>
          <w:sz w:val="21"/>
          <w:szCs w:val="21"/>
          <w:u w:val="single" w:color="auto"/>
          <w:color w:val="auto"/>
        </w:rPr>
        <w:t>Section 2.14(f), (g)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(as applicable) (unless the assignee shall already be a Lender hereunder) and the processing and recordation fee referred to in this Section, the Administrative Agent shall accept such Assignment and Assumption and record the information contained therein in the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Section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spacing w:after="0" w:line="183" w:lineRule="exact"/>
        <w:rPr>
          <w:rFonts w:ascii="Times New Roman" w:cs="Times New Roman" w:eastAsia="Times New Roman" w:hAnsi="Times New Roman"/>
          <w:sz w:val="21"/>
          <w:szCs w:val="21"/>
          <w:color w:val="auto"/>
        </w:rPr>
      </w:pPr>
    </w:p>
    <w:p>
      <w:pPr>
        <w:jc w:val="both"/>
        <w:ind w:firstLine="656"/>
        <w:spacing w:after="0" w:line="251" w:lineRule="auto"/>
        <w:tabs>
          <w:tab w:leader="none" w:pos="122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any Borrower, the Administrative Agent or any Issuing Bank, sell participations to one or more Eligible Assignees (“</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Commitments and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color w:val="auto"/>
        </w:rPr>
        <w:t xml:space="preserve"> that affects such Participant or requires the approval of all the Lenders. The Borrowers agree that each Participant shall be entitled to the benefits of </w:t>
      </w:r>
      <w:r>
        <w:rPr>
          <w:rFonts w:ascii="Times New Roman" w:cs="Times New Roman" w:eastAsia="Times New Roman" w:hAnsi="Times New Roman"/>
          <w:sz w:val="21"/>
          <w:szCs w:val="21"/>
          <w:u w:val="single" w:color="auto"/>
          <w:color w:val="auto"/>
        </w:rPr>
        <w:t>Sections 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(subject to the requirements and limitations therein, including the requirements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(as applicable) (it being understood that the documentation required under </w:t>
      </w:r>
      <w:r>
        <w:rPr>
          <w:rFonts w:ascii="Times New Roman" w:cs="Times New Roman" w:eastAsia="Times New Roman" w:hAnsi="Times New Roman"/>
          <w:sz w:val="21"/>
          <w:szCs w:val="21"/>
          <w:u w:val="single" w:color="auto"/>
          <w:color w:val="auto"/>
        </w:rPr>
        <w:t>Section 2.14(f)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(as applicable) shall be delivered to the participating Lender))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for the avoidance of doubt references to a Lender under Section 2.14 and its associated definitions shall be read as references to, or as including, a Participant in each case where the context so requires in order to give effect to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(x) agrees to be subject to the provisions of </w:t>
      </w:r>
      <w:r>
        <w:rPr>
          <w:rFonts w:ascii="Times New Roman" w:cs="Times New Roman" w:eastAsia="Times New Roman" w:hAnsi="Times New Roman"/>
          <w:sz w:val="21"/>
          <w:szCs w:val="21"/>
          <w:u w:val="single" w:color="auto"/>
          <w:color w:val="auto"/>
        </w:rPr>
        <w:t>Sections 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as if it were an assignee under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(y) shall not be entitled to receive any greater payment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xml:space="preserve"> as though it were a Lender.</w:t>
      </w:r>
    </w:p>
    <w:p>
      <w:pPr>
        <w:spacing w:after="0" w:line="192" w:lineRule="exact"/>
        <w:rPr>
          <w:sz w:val="20"/>
          <w:szCs w:val="20"/>
          <w:color w:val="auto"/>
        </w:rPr>
      </w:pPr>
    </w:p>
    <w:p>
      <w:pPr>
        <w:jc w:val="both"/>
        <w:ind w:left="660" w:firstLine="644"/>
        <w:spacing w:after="0" w:line="248" w:lineRule="auto"/>
        <w:tabs>
          <w:tab w:leader="none" w:pos="187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Borrowers, maintain records of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other rights and/or obligations under this Agreement or any other Loan Document) to any Person except to the extent that such disclosure is necessary to establish that any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Administrative Agent (in its capacity as such) shall not have any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21" w:right="339" w:bottom="1440" w:gutter="0" w:footer="0" w:header="0"/>
        </w:sectPr>
      </w:pPr>
    </w:p>
    <w:bookmarkStart w:id="145" w:name="page146"/>
    <w:bookmarkEnd w:id="145"/>
    <w:p>
      <w:pPr>
        <w:jc w:val="both"/>
        <w:ind w:firstLine="656"/>
        <w:spacing w:after="0" w:line="253" w:lineRule="auto"/>
        <w:tabs>
          <w:tab w:leader="none" w:pos="126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grant a security interest in all or any portion of its rights under this Agreement to secure obligations of such Lender, including any pledge or grant to secure obligations to a Federal Reserve Bank or other central bank, and this Section shall not apply to any such pledge or grant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grant of a security interest shall release a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or thereto and shall survive the execution and delivery of the Loan Documents and the making of any Loans and issuance of any Letters of Credit, regardless of any investigation made by any such other party or on its behalf and notwithstanding that any of the Administrative Agent, the Arrangers, the Syndication Agents, the Documentation Agents, the Issuing Banks, the Lenders or any Related Party of any of the foregoing may have had notice or knowledge of any Default or incorrect representation or warranty at the time any Loan Document was executed and delivered or any credit was extended hereunder, and shall continue in full force and effect as long as the principal of or any interest accrued on any Loan or any fee or any other amount payable under this Agreement is outstanding and unpaid (other than contingent obligations for indemnification, expense reimbursement, tax gross-up or yield protection as to which no claim has been made) or any LC Exposure is outstanding and so long as any of the Commitments have not expired or terminated. Notwithstanding the foregoing or anything else to the contrary set forth in this Agreement or any other Loan Document, in the event that, in connection with the refinancing or repayment in full of the Revolving Facility,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outstanding hereunder for all purposes of this Agreement and the other Loan Documents (including for purposes of determining whether the Company is required to comply with </w:t>
      </w:r>
      <w:r>
        <w:rPr>
          <w:rFonts w:ascii="Times New Roman" w:cs="Times New Roman" w:eastAsia="Times New Roman" w:hAnsi="Times New Roman"/>
          <w:sz w:val="22"/>
          <w:szCs w:val="22"/>
          <w:u w:val="single" w:color="auto"/>
          <w:color w:val="auto"/>
        </w:rPr>
        <w:t>Articles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hereof, but excluding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and any expense reimbursement or indemnity provisions set forth in any other Loan Document), and the Revolving Lenders shall be deemed to have no participations in such Letter of Credit, and no obligations with respect thereto, under </w:t>
      </w:r>
      <w:r>
        <w:rPr>
          <w:rFonts w:ascii="Times New Roman" w:cs="Times New Roman" w:eastAsia="Times New Roman" w:hAnsi="Times New Roman"/>
          <w:sz w:val="22"/>
          <w:szCs w:val="22"/>
          <w:u w:val="single" w:color="auto"/>
          <w:color w:val="auto"/>
        </w:rPr>
        <w:t>Section 2.20(d)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2.20(f)</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resignation or replacement of the Administrative Agent or any Issuing Bank or any assignment of rights by, or the replacement of a Lender, the repayment of the Loans and the expiration or termination of the Letters of Credit and the Commitments or the termination of this Agreement or any provision hereof.</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 (a) This Agreement may be executed in counterparts (and by different parties hereto on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including the commitments of the Lenders and, if applicable, their Affiliates under any commitment letters or any commitment advices with respect to the credit facilities established hereby submitted by any Lender (but do not supersede any other provisions thereof or of the Fee Letter that do not by the terms of such documents terminate upon the effectiveness of this Agreement, all of which provisions shall remain in full force and effect).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84" w:lineRule="exact"/>
        <w:rPr>
          <w:sz w:val="20"/>
          <w:szCs w:val="20"/>
          <w:color w:val="auto"/>
        </w:rPr>
      </w:pPr>
    </w:p>
    <w:p>
      <w:pPr>
        <w:jc w:val="both"/>
        <w:ind w:firstLine="656"/>
        <w:spacing w:after="0" w:line="261" w:lineRule="auto"/>
        <w:tabs>
          <w:tab w:leader="none" w:pos="1112"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any Loan Document and any other Communication may be in the form of an Electronic Record and may be executed using Electronic Signatures. Each Loan Party and each of the Administrative Agent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w:t>
      </w:r>
    </w:p>
    <w:p>
      <w:pPr>
        <w:spacing w:after="0" w:line="170" w:lineRule="exact"/>
        <w:rPr>
          <w:rFonts w:ascii="Times New Roman" w:cs="Times New Roman" w:eastAsia="Times New Roman" w:hAnsi="Times New Roman"/>
          <w:sz w:val="21"/>
          <w:szCs w:val="21"/>
          <w:color w:val="auto"/>
        </w:rPr>
      </w:pPr>
    </w:p>
    <w:p>
      <w:pPr>
        <w:jc w:val="both"/>
        <w:ind w:firstLine="656"/>
        <w:spacing w:after="0" w:line="265" w:lineRule="auto"/>
        <w:tabs>
          <w:tab w:leader="none" w:pos="1104"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Administrative Agent nor Lender shall be responsible for or have any duty to ascertain or inquire into the sufficiency, validity, enforceability, effectiveness or genuineness of any Loan Document or any other agreement, instrument or document (including, in connection with the Administrative Agent’s or Lender’s reliance on any Electronic Signature transmitted by telecopy, emailed .pdf or any other electronic means). The Administrative Agent and Lender shall be entitled to rely on, and shall incur no liability under or in respect of this Agreement or any other Loan Document by acting upon, any Communication (which writing may be a fax, any electronic message, Internet or intranet website posting or other distribution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Without limiting the generality of the foregoing, the parties hereto hereby (i) agree that, for all purposes, including in connection with any workout, restructuring, enforcement of remedies, bankruptcy proceedings or litigation among the Administrative Agent, the Lenders, the Issuing Banks and the Loan Parties, electronic images of this Agreement or any other Loan Document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 Notwithstanding anything contained herein to the contrary, neither the Administrative Agent and/or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without limiting the foregoing, (a) to the extent the Administrative Agent and/or Lender has agreed to accept such Electronic Signature, the Administrative Agent and each of the Lender Recipient Parties shall be entitled to rely on any such Electronic Signature purportedly given by or on behalf of any Loan Party and/or any Lender without further verification and (b) upon the request of the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91" w:lineRule="exact"/>
        <w:rPr>
          <w:sz w:val="20"/>
          <w:szCs w:val="20"/>
          <w:color w:val="auto"/>
        </w:rPr>
      </w:pPr>
    </w:p>
    <w:p>
      <w:pPr>
        <w:jc w:val="both"/>
        <w:ind w:firstLine="656"/>
        <w:spacing w:after="0" w:line="250" w:lineRule="auto"/>
        <w:tabs>
          <w:tab w:leader="none" w:pos="12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Lender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and each Lender Recipient Party for any liabilities arising solely from the Administrative Agent’s and/or any Lender Recipient Party’s reliance on or use of Electronic Signatures, including any liabilities arising as a result of the failure of the Borrowers or any Borrowing Subsidiary to use any available security measures in connection with the execution, delivery or transmission of any Electronic Signature.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credit or the account of any Borrower against any of and all the obligations then due of any Borrower now or hereafter existing under this Agreement held by such Lender or Issuing Bank, irrespective of whether or not such Lender or Issuing Bank shall have made any demand under this Agreement and although such obligations of such Borrower or such Borrowing Subsidiary are owed to a branch, office or Affiliate of such Lender or Issuing Bank different from the branch, office or Affiliate holding such deposit or obligated on such indebtedness. The rights of each Lender and Issuing Bank, and each Affiliate of any of the foregoing, under this Section are in addition to other rights and remedies (including other rights of setoff) that such Lender, Issuing Bank or Affiliate may have. Each Lender and Issuing Bank agrees to notify the Company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notice shall not affect the validity of such setoff and application. Notwithstanding anything to the contrary in this Agreement, in no event will any deposits or other amounts at any time held or other obligations at any time owing by any Lender or Issuing Bank or any of their respective Affiliates to or for the account of any Foreign Subsidiary be set off and applied against any obligations under this Agreement of any Domestic Subsidiary.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 (a) This Agreement shall be governed by, and construed in accordance with, the law of the State of New York.</w:t>
      </w:r>
    </w:p>
    <w:p>
      <w:pPr>
        <w:spacing w:after="0" w:line="158" w:lineRule="exact"/>
        <w:rPr>
          <w:sz w:val="20"/>
          <w:szCs w:val="20"/>
          <w:color w:val="auto"/>
        </w:rPr>
      </w:pPr>
    </w:p>
    <w:p>
      <w:pPr>
        <w:jc w:val="both"/>
        <w:ind w:firstLine="656"/>
        <w:spacing w:after="0" w:line="249" w:lineRule="auto"/>
        <w:tabs>
          <w:tab w:leader="none" w:pos="117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jurisdiction of the United States District Court of the Southern District of New York and of the Supreme Court of the State of New York, in each case sitting in New York County, and any appellate court from any thereof, in any suit, action or proceeding (whether in tort, contract, law or equity) arising out of or relating to this Agreement or any other Loan Document, or for recognition or enforcement of any judgment, and each Borrower hereby irrevocably and unconditionally agrees that all claims arising out of or relating to this Agreement or any other Loan Document brought by it or any of its Affiliates shall be brought, and shall be heard and determined, exclusively in such United States District Court or, if that court does not have subject matter jurisdiction, such Supreme Court. Each party hereto agrees that a final judgment in any such suit,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suit, action or proceeding relating to this Agreement or any other Loan Document against any Borrower or any of its properties in the courts of any jurisdiction.</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this Agreement hereby irrevocably and unconditionally waives, to the fullest extent permitted by law, any objection that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law, the defense of an inconvenient forum to the maintenance of such suit,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21" w:right="339" w:bottom="1440" w:gutter="0" w:footer="0" w:header="0"/>
        </w:sectPr>
      </w:pPr>
    </w:p>
    <w:bookmarkStart w:id="149" w:name="page150"/>
    <w:bookmarkEnd w:id="149"/>
    <w:p>
      <w:pPr>
        <w:jc w:val="both"/>
        <w:ind w:firstLine="656"/>
        <w:spacing w:after="0" w:line="257" w:lineRule="auto"/>
        <w:tabs>
          <w:tab w:leader="none" w:pos="124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this Agreement irrevocably consents to service of process in the manner provided for notices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Nothing in this Agreement or any other Loan Document will affect the right of any party to this Agreement to serve process in any other manner permitted by law.</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Subsidiary hereby irrevocably designates, appoints and empowers the Company, and the Company hereby accepts such appointment, as its designee, appointee and agent to receive, accept and acknowledge for and on its behalf, and in respect of its property, service of any and all legal process, summons, notices and documents that may be served in any suit, action or proceeding arising out of or relating to this Agreement or any other Loan Document. Such service may be made by mailing or delivering a copy of such process to any Borrowing Subsidiary in care of the Company at the Company’s address used for purposes of giving notices under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and each Borrowing Subsidiary hereby irrevocably authorizes and directs the Company to accept such service on its behalf.</w:t>
      </w:r>
    </w:p>
    <w:p>
      <w:pPr>
        <w:spacing w:after="0" w:line="180" w:lineRule="exact"/>
        <w:rPr>
          <w:rFonts w:ascii="Times New Roman" w:cs="Times New Roman" w:eastAsia="Times New Roman" w:hAnsi="Times New Roman"/>
          <w:sz w:val="22"/>
          <w:szCs w:val="22"/>
          <w:color w:val="auto"/>
        </w:rPr>
      </w:pPr>
    </w:p>
    <w:p>
      <w:pPr>
        <w:jc w:val="both"/>
        <w:ind w:firstLine="656"/>
        <w:spacing w:after="0" w:line="268" w:lineRule="auto"/>
        <w:tabs>
          <w:tab w:leader="none" w:pos="1164"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Borrowing Subsidiary or any of its assets has or hereafter acquires, in any jurisdiction in which judicial proceedings may at any time be commenced with respect to this Agreement or any other Loan Document, any immunity from jurisdiction, legal proceedings, attachment (whether before or after judgment), execution, judgment or setoff, such Borrowing Subsidiary hereby irrevocably agrees not to claim and hereby irrevocably and unconditionally waives such immunity.</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the Issuing Banks and the Lenders agrees to maintain the confidentiality of the Information (as defined below), except that Information may be disclosed (a) to its Related Parties, including accountants, legal counsel and other agents and advisors, it being understood that the Persons to whom such disclosure is made either are informed of the confidential nature of such Information and instructed to keep such Information 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to the extent required or requested by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64" w:lineRule="auto"/>
        <w:rPr>
          <w:sz w:val="20"/>
          <w:szCs w:val="20"/>
          <w:color w:val="auto"/>
        </w:rPr>
      </w:pPr>
      <w:r>
        <w:rPr>
          <w:rFonts w:ascii="Times New Roman" w:cs="Times New Roman" w:eastAsia="Times New Roman" w:hAnsi="Times New Roman"/>
          <w:sz w:val="21"/>
          <w:szCs w:val="21"/>
          <w:color w:val="auto"/>
        </w:rPr>
        <w:t>Authority purporting to have jurisdiction over such Person or its Related Parties (including any self-regulatory authority, such as the National Association of Insurance Commissioners) (in which case such Person agrees to inform the Company promptly thereof prior to such disclosure to the extent practicable and not prohibited by applicable law (except with respect to any audit or examination conducted by bank accountants or any Governmental Authority exercising examination or regulatory authority)),</w:t>
      </w:r>
    </w:p>
    <w:p>
      <w:pPr>
        <w:spacing w:after="0" w:line="1" w:lineRule="exact"/>
        <w:rPr>
          <w:sz w:val="20"/>
          <w:szCs w:val="20"/>
          <w:color w:val="auto"/>
        </w:rPr>
      </w:pPr>
    </w:p>
    <w:p>
      <w:pPr>
        <w:jc w:val="both"/>
        <w:ind w:firstLine="8"/>
        <w:spacing w:after="0" w:line="257" w:lineRule="auto"/>
        <w:tabs>
          <w:tab w:leader="none" w:pos="31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by applicable law or by any subpoena or similar legal process (in which case such Person agrees to inform the Company promptly thereof prior to such disclosure to the extent practicable and not prohibited by applicable law (except with respect to any audit or examination conducted by bank accountants or any Governmental Authority exercising examination or regulatory authority)), (d) to any other party to this Agreement, (e) in connection with the exercise of any remedies under this Agreement or any other Loan Document or any suit, action or proceeding relating to this Agreement or any other Loan Document, the enforcement of rights hereunder or thereunder or any Transactions, (f) subject to an agreement containing confidentiality undertakings substantially the same as those of this Section (which shall be deemed to include those required to be made in order to obtain access to information posted on IntraLinks, SyndTrak or any other Platform), to (i) any assignee of or Participant in (or its Related Parties), or any prospective assignee of or Participant in (or its Related Parties), any of its rights or obligations under this Agreement or (ii) any actual or prospective counterparty (or its Related Parties) to any swap, derivative or insurance transaction relating to the Company or any Subsidiary and their respective obligations, (g) on a confidential basis to (i) any rating agency in connection with rating the Company or its Subsidiaries or the credit facilities provided for herein or (ii) the CUSIP Service Bureau or any similar agency in connection with the issuance and monitoring of CUSIP numbers with respect to the credit facilities provided for herein, (h) to market data collectors, similar service providers to the lending industry and service providers to the Administrative Agent and the Lenders in connection with the administration and management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information is limited to the information about this Agreement and the other Loan Documents, or (i) to the extent such Information (A) becomes publicly available other than as a result of a breach of this Section or (B) becomes available to the Administrative Agent, any Issuing Bank, any Lender or any Affiliate of any of the foregoing on a nonconfidential basis from a source other than the Company or any Subsidiary that is not known by the Administrative Agent, such Lender, such Issuing Bank or such Affiliate to be prohibited from disclosing such Information to such Persons by a legal, contractual, or fiduciary obligation to the Company or any Subsidiary. 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Company or any Subsidiary relating to the Company or any Subsidiary or its businesses, other than any such information that is available to the Administrative Agent, any Issuing Bank, any Lender or any Affiliate of any of the foregoing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It is agreed that, notwithstanding the restrictions of any prior confidentiality agreement binding on the Administrative Agent or any Arranger, such Persons may disclose Information as provided in this Section. For the avoidance of doubt, nothing herein or in any other Loan Document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71" w:lineRule="auto"/>
        <w:rPr>
          <w:sz w:val="20"/>
          <w:szCs w:val="20"/>
          <w:color w:val="auto"/>
        </w:rPr>
      </w:pPr>
      <w:r>
        <w:rPr>
          <w:rFonts w:ascii="Times New Roman" w:cs="Times New Roman" w:eastAsia="Times New Roman" w:hAnsi="Times New Roman"/>
          <w:sz w:val="22"/>
          <w:szCs w:val="22"/>
          <w:color w:val="auto"/>
        </w:rPr>
        <w:t>prohibit any individual from communicating or disclosing information regarding suspected violations of laws, rules or regulations to a governmental, regulatory or self-regulatory authority without any notification to any person.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u w:val="single" w:color="auto"/>
          <w:color w:val="auto"/>
        </w:rPr>
        <w:t>Interest Rate Limitation</w:t>
      </w:r>
      <w:r>
        <w:rPr>
          <w:rFonts w:ascii="Times New Roman" w:cs="Times New Roman" w:eastAsia="Times New Roman" w:hAnsi="Times New Roman"/>
          <w:sz w:val="21"/>
          <w:szCs w:val="21"/>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xml:space="preserve"> ”),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 and the Beneficial Ownership Regulation.</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No Fiduciary Relationship</w:t>
      </w:r>
      <w:r>
        <w:rPr>
          <w:rFonts w:ascii="Times New Roman" w:cs="Times New Roman" w:eastAsia="Times New Roman" w:hAnsi="Times New Roman"/>
          <w:sz w:val="22"/>
          <w:szCs w:val="22"/>
          <w:color w:val="auto"/>
        </w:rPr>
        <w:t>. Each Borrower, on behalf of itself and its Subsidiaries, agrees that in connection with all aspects of the transactions contemplated hereby and any communications in connection therewith, the Borrowers and their Affiliates, on the one hand, and the Administrative Agent, the Lenders, the Issuing Banks and their Affiliates, on the other hand, will have a business relationship that does not create, by implication or otherwise, any fiduciary duty on the part of the Administrative Agent, the Lenders, the Issuing Banks or their Affiliates, and no such duty will be deemed to have arisen in connection with any such transactions or communications. The Administrative Agent, the Arrangers, the Lenders, the Issuing Banks and their Affiliates may be engaged, for their own accounts or the accounts of customers, in a broad range of transactions that involve interests that differ from those of the Borrowers and their Affiliates, and none of the Administrative Agent, the Arrangers, the Lenders, the Issuing Banks or their Affiliates has any obligation to disclose any of such interests to the Borrowers or any of their Affiliates. To the fullest extent permitted by law, each Borrower hereby waives and releases any claims that it or any of its Affiliates may have against the Administrative Agent, the Arrangers, the Lenders, the Issuing Banks or their Affiliates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Acknowledgment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Conversion of Currencies</w:t>
      </w:r>
      <w:r>
        <w:rPr>
          <w:rFonts w:ascii="Times New Roman" w:cs="Times New Roman" w:eastAsia="Times New Roman" w:hAnsi="Times New Roman"/>
          <w:sz w:val="22"/>
          <w:szCs w:val="22"/>
          <w:color w:val="auto"/>
        </w:rPr>
        <w:t>. (a) If, for the purpose of obtaining judgment in any court, it is necessary to convert a sum owing hereunder in one currency into another currency, each party hereto (including each Borrowing Subsidiary)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9" w:lineRule="exact"/>
        <w:rPr>
          <w:sz w:val="20"/>
          <w:szCs w:val="20"/>
          <w:color w:val="auto"/>
        </w:rPr>
      </w:pPr>
    </w:p>
    <w:p>
      <w:pPr>
        <w:jc w:val="both"/>
        <w:ind w:firstLine="656"/>
        <w:spacing w:after="0" w:line="251" w:lineRule="auto"/>
        <w:tabs>
          <w:tab w:leader="none" w:pos="127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Borrower in respect of any sum due to any other party hereto or any holder of the obligations owing hereunder (the “</w:t>
      </w:r>
      <w:r>
        <w:rPr>
          <w:rFonts w:ascii="Times New Roman" w:cs="Times New Roman" w:eastAsia="Times New Roman" w:hAnsi="Times New Roman"/>
          <w:sz w:val="22"/>
          <w:szCs w:val="22"/>
          <w:u w:val="single" w:color="auto"/>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other than the currency in which such sum is stated to be due hereunder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7" w:lineRule="auto"/>
        <w:rPr>
          <w:sz w:val="20"/>
          <w:szCs w:val="20"/>
          <w:color w:val="auto"/>
        </w:rPr>
      </w:pPr>
      <w:r>
        <w:rPr>
          <w:rFonts w:ascii="Times New Roman" w:cs="Times New Roman" w:eastAsia="Times New Roman" w:hAnsi="Times New Roman"/>
          <w:sz w:val="22"/>
          <w:szCs w:val="22"/>
          <w:color w:val="auto"/>
        </w:rPr>
        <w:t>with the Judgment Currency; if the amount of the Agreement Currency so purchased is less than the sum originally due to the Applicable Creditor in the Agreement Currency, such Borrower agrees, as a separate obligation and notwithstanding any such judgment, to indemnify the Applicable Creditor against such deficiency.</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the parties hereto,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4" w:lineRule="exact"/>
        <w:rPr>
          <w:sz w:val="20"/>
          <w:szCs w:val="20"/>
          <w:color w:val="auto"/>
        </w:rPr>
      </w:pPr>
    </w:p>
    <w:p>
      <w:pPr>
        <w:jc w:val="both"/>
        <w:ind w:firstLine="656"/>
        <w:spacing w:after="0" w:line="257" w:lineRule="auto"/>
        <w:tabs>
          <w:tab w:leader="none" w:pos="12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or Issuing Bank party hereto that is an Affected Financial Institution; and</w:t>
      </w:r>
    </w:p>
    <w:p>
      <w:pPr>
        <w:spacing w:after="0" w:line="17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0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205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22" w:right="339" w:bottom="1440" w:gutter="0" w:footer="0" w:header="0"/>
        </w:sectPr>
      </w:pPr>
    </w:p>
    <w:bookmarkStart w:id="154" w:name="page155"/>
    <w:bookmarkEnd w:id="154"/>
    <w:p>
      <w:pPr>
        <w:spacing w:after="0" w:line="200" w:lineRule="exact"/>
        <w:rPr>
          <w:sz w:val="20"/>
          <w:szCs w:val="20"/>
          <w:color w:val="auto"/>
        </w:rPr>
      </w:pPr>
    </w:p>
    <w:p>
      <w:pPr>
        <w:spacing w:after="0" w:line="21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OCTAVE INTELLIGENCE PLC</w:t>
      </w:r>
    </w:p>
    <w:p>
      <w:pPr>
        <w:spacing w:after="0" w:line="200" w:lineRule="exact"/>
        <w:rPr>
          <w:sz w:val="20"/>
          <w:szCs w:val="20"/>
          <w:color w:val="auto"/>
        </w:rPr>
      </w:pPr>
    </w:p>
    <w:p>
      <w:pPr>
        <w:spacing w:after="0" w:line="249" w:lineRule="exact"/>
        <w:rPr>
          <w:sz w:val="20"/>
          <w:szCs w:val="20"/>
          <w:color w:val="auto"/>
        </w:rPr>
      </w:pPr>
    </w:p>
    <w:p>
      <w:pPr>
        <w:ind w:left="516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Jill D. Smith</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Jill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2417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INTERGRAPH CORPORATION</w:t>
      </w:r>
    </w:p>
    <w:p>
      <w:pPr>
        <w:spacing w:after="0" w:line="200" w:lineRule="exact"/>
        <w:rPr>
          <w:sz w:val="20"/>
          <w:szCs w:val="20"/>
          <w:color w:val="auto"/>
        </w:rPr>
      </w:pPr>
    </w:p>
    <w:p>
      <w:pPr>
        <w:spacing w:after="0" w:line="249" w:lineRule="exact"/>
        <w:rPr>
          <w:sz w:val="20"/>
          <w:szCs w:val="20"/>
          <w:color w:val="auto"/>
        </w:rPr>
      </w:pPr>
    </w:p>
    <w:p>
      <w:pPr>
        <w:ind w:left="516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M. Scott Moore</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M. Scott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2417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OCTAVE INTELLIGENCE FINANCE LTD</w:t>
      </w:r>
    </w:p>
    <w:p>
      <w:pPr>
        <w:spacing w:after="0" w:line="200" w:lineRule="exact"/>
        <w:rPr>
          <w:sz w:val="20"/>
          <w:szCs w:val="20"/>
          <w:color w:val="auto"/>
        </w:rPr>
      </w:pPr>
    </w:p>
    <w:p>
      <w:pPr>
        <w:spacing w:after="0" w:line="249" w:lineRule="exact"/>
        <w:rPr>
          <w:sz w:val="20"/>
          <w:szCs w:val="20"/>
          <w:color w:val="auto"/>
        </w:rPr>
      </w:pPr>
    </w:p>
    <w:p>
      <w:pPr>
        <w:ind w:left="516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Gavin M. Doughty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Gavin M. Doughty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24174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HEXAGON AB (publ)</w:t>
      </w:r>
    </w:p>
    <w:p>
      <w:pPr>
        <w:spacing w:after="0" w:line="200" w:lineRule="exact"/>
        <w:rPr>
          <w:sz w:val="20"/>
          <w:szCs w:val="20"/>
          <w:color w:val="auto"/>
        </w:rPr>
      </w:pPr>
    </w:p>
    <w:p>
      <w:pPr>
        <w:spacing w:after="0" w:line="249" w:lineRule="exact"/>
        <w:rPr>
          <w:sz w:val="20"/>
          <w:szCs w:val="20"/>
          <w:color w:val="auto"/>
        </w:rPr>
      </w:pPr>
    </w:p>
    <w:tbl>
      <w:tblPr>
        <w:tblLayout w:type="fixed"/>
        <w:tblInd w:w="516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Anders H. Svensson</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Anders H. Svensson</w:t>
            </w:r>
          </w:p>
        </w:tc>
      </w:tr>
      <w:tr>
        <w:trPr>
          <w:trHeight w:val="216"/>
        </w:trPr>
        <w:tc>
          <w:tcPr>
            <w:tcW w:w="480" w:type="dxa"/>
            <w:vAlign w:val="bottom"/>
          </w:tcPr>
          <w:p>
            <w:pPr>
              <w:spacing w:after="0"/>
              <w:rPr>
                <w:sz w:val="18"/>
                <w:szCs w:val="18"/>
                <w:color w:val="auto"/>
              </w:rPr>
            </w:pPr>
          </w:p>
        </w:tc>
        <w:tc>
          <w:tcPr>
            <w:tcW w:w="38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Title: President and Chief Executive</w:t>
            </w:r>
          </w:p>
        </w:tc>
      </w:tr>
      <w:tr>
        <w:trPr>
          <w:trHeight w:val="282"/>
        </w:trPr>
        <w:tc>
          <w:tcPr>
            <w:tcW w:w="480" w:type="dxa"/>
            <w:vAlign w:val="bottom"/>
          </w:tcPr>
          <w:p>
            <w:pPr>
              <w:spacing w:after="0"/>
              <w:rPr>
                <w:sz w:val="24"/>
                <w:szCs w:val="24"/>
                <w:color w:val="auto"/>
              </w:rPr>
            </w:pPr>
          </w:p>
        </w:tc>
        <w:tc>
          <w:tcPr>
            <w:tcW w:w="38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Officer</w:t>
            </w:r>
          </w:p>
        </w:tc>
      </w:tr>
      <w:tr>
        <w:trPr>
          <w:trHeight w:val="70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Norbert H. Hanke</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Norbert H. Hanke</w:t>
            </w:r>
          </w:p>
        </w:tc>
      </w:tr>
      <w:tr>
        <w:trPr>
          <w:trHeight w:val="216"/>
        </w:trPr>
        <w:tc>
          <w:tcPr>
            <w:tcW w:w="480" w:type="dxa"/>
            <w:vAlign w:val="bottom"/>
          </w:tcPr>
          <w:p>
            <w:pPr>
              <w:spacing w:after="0"/>
              <w:rPr>
                <w:sz w:val="18"/>
                <w:szCs w:val="18"/>
                <w:color w:val="auto"/>
              </w:rPr>
            </w:pPr>
          </w:p>
        </w:tc>
        <w:tc>
          <w:tcPr>
            <w:tcW w:w="38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Title: Group Executive Vice President and</w:t>
            </w:r>
          </w:p>
        </w:tc>
      </w:tr>
      <w:tr>
        <w:trPr>
          <w:trHeight w:val="282"/>
        </w:trPr>
        <w:tc>
          <w:tcPr>
            <w:tcW w:w="480" w:type="dxa"/>
            <w:vAlign w:val="bottom"/>
          </w:tcPr>
          <w:p>
            <w:pPr>
              <w:spacing w:after="0"/>
              <w:rPr>
                <w:sz w:val="24"/>
                <w:szCs w:val="24"/>
                <w:color w:val="auto"/>
              </w:rPr>
            </w:pPr>
          </w:p>
        </w:tc>
        <w:tc>
          <w:tcPr>
            <w:tcW w:w="38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interim Chief Financial Officer</w:t>
            </w:r>
          </w:p>
        </w:tc>
      </w:tr>
    </w:tbl>
    <w:p>
      <w:pPr>
        <w:sectPr>
          <w:pgSz w:w="11900" w:h="16838" w:orient="portrait"/>
          <w:cols w:equalWidth="0" w:num="1">
            <w:col w:w="11240"/>
          </w:cols>
          <w:pgMar w:left="320" w:top="1440" w:right="339" w:bottom="1440" w:gutter="0" w:footer="0" w:header="0"/>
        </w:sectPr>
      </w:pPr>
    </w:p>
    <w:bookmarkStart w:id="155" w:name="page156"/>
    <w:bookmarkEnd w:id="155"/>
    <w:p>
      <w:pPr>
        <w:spacing w:after="0" w:line="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BANK OF AMERICA, N.A.,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Angela Berry</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Angela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100"/>
          </w:cols>
          <w:pgMar w:left="1440" w:top="1440" w:right="1359" w:bottom="1440" w:gutter="0" w:footer="0" w:header="0"/>
        </w:sectPr>
      </w:pPr>
    </w:p>
    <w:bookmarkStart w:id="156" w:name="page157"/>
    <w:bookmarkEnd w:id="156"/>
    <w:p>
      <w:pPr>
        <w:spacing w:after="0" w:line="36" w:lineRule="exact"/>
        <w:rPr>
          <w:sz w:val="20"/>
          <w:szCs w:val="20"/>
          <w:color w:val="auto"/>
        </w:rPr>
      </w:pPr>
    </w:p>
    <w:p>
      <w:pPr>
        <w:jc w:val="both"/>
        <w:ind w:left="4040"/>
        <w:spacing w:after="0" w:line="295" w:lineRule="auto"/>
        <w:rPr>
          <w:sz w:val="20"/>
          <w:szCs w:val="20"/>
          <w:color w:val="auto"/>
        </w:rPr>
      </w:pPr>
      <w:r>
        <w:rPr>
          <w:rFonts w:ascii="Times New Roman" w:cs="Times New Roman" w:eastAsia="Times New Roman" w:hAnsi="Times New Roman"/>
          <w:sz w:val="21"/>
          <w:szCs w:val="21"/>
          <w:color w:val="auto"/>
        </w:rPr>
        <w:t>BANK OF AMERICA, N.A., as a Dollar Tranche Term Lender, Euro Tranche Term Lender, Swingline Lender and Issuing Bank:</w:t>
      </w:r>
    </w:p>
    <w:p>
      <w:pPr>
        <w:spacing w:after="0" w:line="200" w:lineRule="exact"/>
        <w:rPr>
          <w:sz w:val="20"/>
          <w:szCs w:val="20"/>
          <w:color w:val="auto"/>
        </w:rPr>
      </w:pPr>
    </w:p>
    <w:p>
      <w:pPr>
        <w:spacing w:after="0" w:line="394"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Rutuja A. Madhav</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Rutuja A. Madhav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660"/>
          </w:cols>
          <w:pgMar w:left="1440" w:top="1440" w:right="799" w:bottom="1440" w:gutter="0" w:footer="0" w:header="0"/>
        </w:sectPr>
      </w:pPr>
    </w:p>
    <w:bookmarkStart w:id="157" w:name="page158"/>
    <w:bookmarkEnd w:id="157"/>
    <w:p>
      <w:pPr>
        <w:spacing w:after="0" w:line="36" w:lineRule="exact"/>
        <w:rPr>
          <w:sz w:val="20"/>
          <w:szCs w:val="20"/>
          <w:color w:val="auto"/>
        </w:rPr>
      </w:pPr>
    </w:p>
    <w:p>
      <w:pPr>
        <w:ind w:left="4040"/>
        <w:spacing w:after="0" w:line="271" w:lineRule="auto"/>
        <w:rPr>
          <w:sz w:val="20"/>
          <w:szCs w:val="20"/>
          <w:color w:val="auto"/>
        </w:rPr>
      </w:pPr>
      <w:r>
        <w:rPr>
          <w:rFonts w:ascii="Times New Roman" w:cs="Times New Roman" w:eastAsia="Times New Roman" w:hAnsi="Times New Roman"/>
          <w:sz w:val="22"/>
          <w:szCs w:val="22"/>
          <w:color w:val="auto"/>
        </w:rPr>
        <w:t>BANK OF AMERICA EUROPE DESIGNATED ACTIVITY COMPANY, as a Revolving Lender: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Faisal Rehman</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Faisal Rehman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400"/>
          </w:cols>
          <w:pgMar w:left="1440" w:top="1440" w:right="1059" w:bottom="1440" w:gutter="0" w:footer="0" w:header="0"/>
        </w:sectPr>
      </w:pPr>
    </w:p>
    <w:bookmarkStart w:id="158" w:name="page159"/>
    <w:bookmarkEnd w:id="158"/>
    <w:p>
      <w:pPr>
        <w:spacing w:after="0" w:line="279" w:lineRule="exact"/>
        <w:rPr>
          <w:sz w:val="20"/>
          <w:szCs w:val="20"/>
          <w:color w:val="auto"/>
        </w:rPr>
      </w:pPr>
    </w:p>
    <w:p>
      <w:pPr>
        <w:ind w:left="4040"/>
        <w:spacing w:after="0" w:line="271" w:lineRule="auto"/>
        <w:rPr>
          <w:sz w:val="20"/>
          <w:szCs w:val="20"/>
          <w:color w:val="auto"/>
        </w:rPr>
      </w:pPr>
      <w:r>
        <w:rPr>
          <w:rFonts w:ascii="Times New Roman" w:cs="Times New Roman" w:eastAsia="Times New Roman" w:hAnsi="Times New Roman"/>
          <w:sz w:val="22"/>
          <w:szCs w:val="22"/>
          <w:color w:val="auto"/>
        </w:rPr>
        <w:t>BNP PARIBAS, as a Dollar Tranche Term Lender, Euro Tranche Term Lender, Revolving Lender and Issuing Bank: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4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Nicolas Doche</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Nicolas Doche</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Director</w:t>
            </w:r>
          </w:p>
        </w:tc>
      </w:tr>
      <w:tr>
        <w:trPr>
          <w:trHeight w:val="54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Valentin Detry</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Valentin Detry</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w:t>
            </w:r>
          </w:p>
        </w:tc>
      </w:tr>
    </w:tbl>
    <w:p>
      <w:pPr>
        <w:sectPr>
          <w:pgSz w:w="11900" w:h="16838" w:orient="portrait"/>
          <w:cols w:equalWidth="0" w:num="1">
            <w:col w:w="9660"/>
          </w:cols>
          <w:pgMar w:left="1440" w:top="1440" w:right="799" w:bottom="1440" w:gutter="0" w:footer="0" w:header="0"/>
        </w:sectPr>
      </w:pPr>
    </w:p>
    <w:bookmarkStart w:id="159" w:name="page160"/>
    <w:bookmarkEnd w:id="159"/>
    <w:p>
      <w:pPr>
        <w:spacing w:after="0" w:line="36" w:lineRule="exact"/>
        <w:rPr>
          <w:sz w:val="20"/>
          <w:szCs w:val="20"/>
          <w:color w:val="auto"/>
        </w:rPr>
      </w:pPr>
    </w:p>
    <w:p>
      <w:pPr>
        <w:ind w:left="4040"/>
        <w:spacing w:after="0" w:line="295" w:lineRule="auto"/>
        <w:rPr>
          <w:sz w:val="20"/>
          <w:szCs w:val="20"/>
          <w:color w:val="auto"/>
        </w:rPr>
      </w:pPr>
      <w:r>
        <w:rPr>
          <w:rFonts w:ascii="Times New Roman" w:cs="Times New Roman" w:eastAsia="Times New Roman" w:hAnsi="Times New Roman"/>
          <w:sz w:val="21"/>
          <w:szCs w:val="21"/>
          <w:color w:val="auto"/>
        </w:rPr>
        <w:t>Deutsche Bank Luxembourg S.A., as a Dollar Tranche Term Lender, an Euro Tranche Term Lender and Revolving Lender:</w:t>
      </w:r>
    </w:p>
    <w:p>
      <w:pPr>
        <w:spacing w:after="0" w:line="200" w:lineRule="exact"/>
        <w:rPr>
          <w:sz w:val="20"/>
          <w:szCs w:val="20"/>
          <w:color w:val="auto"/>
        </w:rPr>
      </w:pPr>
    </w:p>
    <w:p>
      <w:pPr>
        <w:spacing w:after="0" w:line="394" w:lineRule="exact"/>
        <w:rPr>
          <w:sz w:val="20"/>
          <w:szCs w:val="20"/>
          <w:color w:val="auto"/>
        </w:rPr>
      </w:pPr>
    </w:p>
    <w:tbl>
      <w:tblPr>
        <w:tblLayout w:type="fixed"/>
        <w:tblInd w:w="404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Sven Walther</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Sven Walther</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VP</w:t>
            </w:r>
          </w:p>
        </w:tc>
      </w:tr>
      <w:tr>
        <w:trPr>
          <w:trHeight w:val="54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Gentrit Prekazi</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Gentrit Prekazi</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AS</w:t>
            </w:r>
          </w:p>
        </w:tc>
      </w:tr>
    </w:tbl>
    <w:p>
      <w:pPr>
        <w:sectPr>
          <w:pgSz w:w="11900" w:h="16838" w:orient="portrait"/>
          <w:cols w:equalWidth="0" w:num="1">
            <w:col w:w="9420"/>
          </w:cols>
          <w:pgMar w:left="1440" w:top="1440" w:right="1039" w:bottom="1440" w:gutter="0" w:footer="0" w:header="0"/>
        </w:sectPr>
      </w:pPr>
    </w:p>
    <w:bookmarkStart w:id="160" w:name="page161"/>
    <w:bookmarkEnd w:id="160"/>
    <w:p>
      <w:pPr>
        <w:spacing w:after="0" w:line="36" w:lineRule="exact"/>
        <w:rPr>
          <w:sz w:val="20"/>
          <w:szCs w:val="20"/>
          <w:color w:val="auto"/>
        </w:rPr>
      </w:pPr>
    </w:p>
    <w:p>
      <w:pPr>
        <w:ind w:left="4040"/>
        <w:spacing w:after="0" w:line="295" w:lineRule="auto"/>
        <w:rPr>
          <w:sz w:val="20"/>
          <w:szCs w:val="20"/>
          <w:color w:val="auto"/>
        </w:rPr>
      </w:pPr>
      <w:r>
        <w:rPr>
          <w:rFonts w:ascii="Times New Roman" w:cs="Times New Roman" w:eastAsia="Times New Roman" w:hAnsi="Times New Roman"/>
          <w:sz w:val="21"/>
          <w:szCs w:val="21"/>
          <w:color w:val="auto"/>
        </w:rPr>
        <w:t>Nordea Bank Abp, filial i Sverige, as a Dollar Tranche Term Lender, an Euro Tranche Term Lender and Revolving Lender:</w:t>
      </w:r>
    </w:p>
    <w:p>
      <w:pPr>
        <w:spacing w:after="0" w:line="200" w:lineRule="exact"/>
        <w:rPr>
          <w:sz w:val="20"/>
          <w:szCs w:val="20"/>
          <w:color w:val="auto"/>
        </w:rPr>
      </w:pPr>
    </w:p>
    <w:p>
      <w:pPr>
        <w:spacing w:after="0" w:line="394" w:lineRule="exact"/>
        <w:rPr>
          <w:sz w:val="20"/>
          <w:szCs w:val="20"/>
          <w:color w:val="auto"/>
        </w:rPr>
      </w:pPr>
    </w:p>
    <w:tbl>
      <w:tblPr>
        <w:tblLayout w:type="fixed"/>
        <w:tblInd w:w="404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Gustav Melén</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Gustav Melén</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r>
        <w:trPr>
          <w:trHeight w:val="54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Gustav Bonta</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Gustav Bonta</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Senior Legal Counsel</w:t>
            </w:r>
          </w:p>
        </w:tc>
      </w:tr>
    </w:tbl>
    <w:p>
      <w:pPr>
        <w:sectPr>
          <w:pgSz w:w="11900" w:h="16838" w:orient="portrait"/>
          <w:cols w:equalWidth="0" w:num="1">
            <w:col w:w="9420"/>
          </w:cols>
          <w:pgMar w:left="1440" w:top="1440" w:right="1039" w:bottom="1440" w:gutter="0" w:footer="0" w:header="0"/>
        </w:sectPr>
      </w:pPr>
    </w:p>
    <w:bookmarkStart w:id="161" w:name="page162"/>
    <w:bookmarkEnd w:id="161"/>
    <w:p>
      <w:pPr>
        <w:spacing w:after="0" w:line="36" w:lineRule="exact"/>
        <w:rPr>
          <w:sz w:val="20"/>
          <w:szCs w:val="20"/>
          <w:color w:val="auto"/>
        </w:rPr>
      </w:pPr>
    </w:p>
    <w:p>
      <w:pPr>
        <w:ind w:left="4040"/>
        <w:spacing w:after="0" w:line="295" w:lineRule="auto"/>
        <w:rPr>
          <w:sz w:val="20"/>
          <w:szCs w:val="20"/>
          <w:color w:val="auto"/>
        </w:rPr>
      </w:pPr>
      <w:r>
        <w:rPr>
          <w:rFonts w:ascii="Times New Roman" w:cs="Times New Roman" w:eastAsia="Times New Roman" w:hAnsi="Times New Roman"/>
          <w:sz w:val="21"/>
          <w:szCs w:val="21"/>
          <w:color w:val="auto"/>
        </w:rPr>
        <w:t>Skandivaciska Enskilda Banken AB (publ), as a Dollar Tranche Term Lender, Euro Tranche Term Lender and Revolving Lender:</w:t>
      </w:r>
    </w:p>
    <w:p>
      <w:pPr>
        <w:spacing w:after="0" w:line="200" w:lineRule="exact"/>
        <w:rPr>
          <w:sz w:val="20"/>
          <w:szCs w:val="20"/>
          <w:color w:val="auto"/>
        </w:rPr>
      </w:pPr>
    </w:p>
    <w:p>
      <w:pPr>
        <w:spacing w:after="0" w:line="394" w:lineRule="exact"/>
        <w:rPr>
          <w:sz w:val="20"/>
          <w:szCs w:val="20"/>
          <w:color w:val="auto"/>
        </w:rPr>
      </w:pPr>
    </w:p>
    <w:tbl>
      <w:tblPr>
        <w:tblLayout w:type="fixed"/>
        <w:tblInd w:w="404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Andrew Moore</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Andrew Moore</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Authorised Signatory</w:t>
            </w:r>
          </w:p>
        </w:tc>
      </w:tr>
      <w:tr>
        <w:trPr>
          <w:trHeight w:val="54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Erika Butler</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Erika Butler</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Authorised Signatory</w:t>
            </w:r>
          </w:p>
        </w:tc>
      </w:tr>
    </w:tbl>
    <w:p>
      <w:pPr>
        <w:sectPr>
          <w:pgSz w:w="11900" w:h="16838" w:orient="portrait"/>
          <w:cols w:equalWidth="0" w:num="1">
            <w:col w:w="9660"/>
          </w:cols>
          <w:pgMar w:left="1440" w:top="1440" w:right="799" w:bottom="1440" w:gutter="0" w:footer="0" w:header="0"/>
        </w:sectPr>
      </w:pPr>
    </w:p>
    <w:bookmarkStart w:id="162" w:name="page163"/>
    <w:bookmarkEnd w:id="162"/>
    <w:p>
      <w:pPr>
        <w:spacing w:after="0" w:line="36" w:lineRule="exact"/>
        <w:rPr>
          <w:sz w:val="20"/>
          <w:szCs w:val="20"/>
          <w:color w:val="auto"/>
        </w:rPr>
      </w:pPr>
    </w:p>
    <w:p>
      <w:pPr>
        <w:ind w:left="4040"/>
        <w:spacing w:after="0" w:line="295" w:lineRule="auto"/>
        <w:rPr>
          <w:sz w:val="20"/>
          <w:szCs w:val="20"/>
          <w:color w:val="auto"/>
        </w:rPr>
      </w:pPr>
      <w:r>
        <w:rPr>
          <w:rFonts w:ascii="Times New Roman" w:cs="Times New Roman" w:eastAsia="Times New Roman" w:hAnsi="Times New Roman"/>
          <w:sz w:val="21"/>
          <w:szCs w:val="21"/>
          <w:color w:val="auto"/>
        </w:rPr>
        <w:t>Danske Bank A/S, Danmark, Sverige Filial, as a Dollar Tranche Term Lender, an Euro Tranche Term Lender and Revolving Lender:</w:t>
      </w:r>
    </w:p>
    <w:p>
      <w:pPr>
        <w:spacing w:after="0" w:line="200" w:lineRule="exact"/>
        <w:rPr>
          <w:sz w:val="20"/>
          <w:szCs w:val="20"/>
          <w:color w:val="auto"/>
        </w:rPr>
      </w:pPr>
    </w:p>
    <w:p>
      <w:pPr>
        <w:spacing w:after="0" w:line="394" w:lineRule="exact"/>
        <w:rPr>
          <w:sz w:val="20"/>
          <w:szCs w:val="20"/>
          <w:color w:val="auto"/>
        </w:rPr>
      </w:pPr>
    </w:p>
    <w:tbl>
      <w:tblPr>
        <w:tblLayout w:type="fixed"/>
        <w:tblInd w:w="404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Mikael Friberg</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Mikael Friberg</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Senior Banker</w:t>
            </w:r>
          </w:p>
        </w:tc>
      </w:tr>
      <w:tr>
        <w:trPr>
          <w:trHeight w:val="54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Anna Broms</w:t>
            </w:r>
          </w:p>
        </w:tc>
      </w:tr>
      <w:tr>
        <w:trPr>
          <w:trHeight w:val="250"/>
        </w:trPr>
        <w:tc>
          <w:tcPr>
            <w:tcW w:w="480" w:type="dxa"/>
            <w:vAlign w:val="bottom"/>
          </w:tcPr>
          <w:p>
            <w:pPr>
              <w:spacing w:after="0"/>
              <w:rPr>
                <w:sz w:val="21"/>
                <w:szCs w:val="21"/>
                <w:color w:val="auto"/>
              </w:rPr>
            </w:pPr>
          </w:p>
        </w:tc>
        <w:tc>
          <w:tcPr>
            <w:tcW w:w="38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Anna Broms</w:t>
            </w:r>
          </w:p>
        </w:tc>
      </w:tr>
      <w:tr>
        <w:trPr>
          <w:trHeight w:val="282"/>
        </w:trPr>
        <w:tc>
          <w:tcPr>
            <w:tcW w:w="4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Senior Banker</w:t>
            </w:r>
          </w:p>
        </w:tc>
      </w:tr>
    </w:tbl>
    <w:p>
      <w:pPr>
        <w:sectPr>
          <w:pgSz w:w="11900" w:h="16838" w:orient="portrait"/>
          <w:cols w:equalWidth="0" w:num="1">
            <w:col w:w="9920"/>
          </w:cols>
          <w:pgMar w:left="1440" w:top="1440" w:right="539" w:bottom="1440" w:gutter="0" w:footer="0" w:header="0"/>
        </w:sectPr>
      </w:pPr>
    </w:p>
    <w:bookmarkStart w:id="163" w:name="page164"/>
    <w:bookmarkEnd w:id="163"/>
    <w:p>
      <w:pPr>
        <w:spacing w:after="0" w:line="36" w:lineRule="exact"/>
        <w:rPr>
          <w:sz w:val="20"/>
          <w:szCs w:val="20"/>
          <w:color w:val="auto"/>
        </w:rPr>
      </w:pPr>
    </w:p>
    <w:p>
      <w:pPr>
        <w:ind w:left="4040"/>
        <w:spacing w:after="0" w:line="271" w:lineRule="auto"/>
        <w:rPr>
          <w:sz w:val="20"/>
          <w:szCs w:val="20"/>
          <w:color w:val="auto"/>
        </w:rPr>
      </w:pPr>
      <w:r>
        <w:rPr>
          <w:rFonts w:ascii="Times New Roman" w:cs="Times New Roman" w:eastAsia="Times New Roman" w:hAnsi="Times New Roman"/>
          <w:sz w:val="22"/>
          <w:szCs w:val="22"/>
          <w:color w:val="auto"/>
        </w:rPr>
        <w:t>PNC Bank, National Association, as a Dollar Tranche Term Lender, an Euro Tranche Term Lender, and Revolving Lender: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Ryan Anthony</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Ryan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9920"/>
          </w:cols>
          <w:pgMar w:left="1440" w:top="1440" w:right="539" w:bottom="1440" w:gutter="0" w:footer="0" w:header="0"/>
        </w:sectPr>
      </w:pPr>
    </w:p>
    <w:bookmarkStart w:id="164" w:name="page165"/>
    <w:bookmarkEnd w:id="164"/>
    <w:p>
      <w:pPr>
        <w:spacing w:after="0" w:line="36" w:lineRule="exact"/>
        <w:rPr>
          <w:sz w:val="20"/>
          <w:szCs w:val="20"/>
          <w:color w:val="auto"/>
        </w:rPr>
      </w:pPr>
    </w:p>
    <w:p>
      <w:pPr>
        <w:ind w:left="4040"/>
        <w:spacing w:after="0" w:line="271" w:lineRule="auto"/>
        <w:rPr>
          <w:sz w:val="20"/>
          <w:szCs w:val="20"/>
          <w:color w:val="auto"/>
        </w:rPr>
      </w:pPr>
      <w:r>
        <w:rPr>
          <w:rFonts w:ascii="Times New Roman" w:cs="Times New Roman" w:eastAsia="Times New Roman" w:hAnsi="Times New Roman"/>
          <w:sz w:val="22"/>
          <w:szCs w:val="22"/>
          <w:color w:val="auto"/>
        </w:rPr>
        <w:t>ROYAL BANK OF CANADA, as a Dollar Tranche Term Lender, Euro Tranche Term Lender, Revolving Lender: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Theodore Brown</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Theodore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760"/>
          </w:cols>
          <w:pgMar w:left="1440" w:top="1440" w:right="699" w:bottom="1440" w:gutter="0" w:footer="0" w:header="0"/>
        </w:sectPr>
      </w:pPr>
    </w:p>
    <w:bookmarkStart w:id="165" w:name="page166"/>
    <w:bookmarkEnd w:id="165"/>
    <w:p>
      <w:pPr>
        <w:spacing w:after="0" w:line="36" w:lineRule="exact"/>
        <w:rPr>
          <w:sz w:val="20"/>
          <w:szCs w:val="20"/>
          <w:color w:val="auto"/>
        </w:rPr>
      </w:pPr>
    </w:p>
    <w:p>
      <w:pPr>
        <w:ind w:left="4040"/>
        <w:spacing w:after="0" w:line="295" w:lineRule="auto"/>
        <w:rPr>
          <w:sz w:val="20"/>
          <w:szCs w:val="20"/>
          <w:color w:val="auto"/>
        </w:rPr>
      </w:pPr>
      <w:r>
        <w:rPr>
          <w:rFonts w:ascii="Times New Roman" w:cs="Times New Roman" w:eastAsia="Times New Roman" w:hAnsi="Times New Roman"/>
          <w:sz w:val="21"/>
          <w:szCs w:val="21"/>
          <w:color w:val="auto"/>
        </w:rPr>
        <w:t>Wells Fargo Bank, National Association, as a Dollar Tranche Term Lender, an Euro Tranche Term Lender and Revolving Lender:</w:t>
      </w:r>
    </w:p>
    <w:p>
      <w:pPr>
        <w:spacing w:after="0" w:line="200" w:lineRule="exact"/>
        <w:rPr>
          <w:sz w:val="20"/>
          <w:szCs w:val="20"/>
          <w:color w:val="auto"/>
        </w:rPr>
      </w:pPr>
    </w:p>
    <w:p>
      <w:pPr>
        <w:spacing w:after="0" w:line="394"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James Travagline</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9820"/>
          </w:cols>
          <w:pgMar w:left="1440" w:top="1440" w:right="639" w:bottom="1440" w:gutter="0" w:footer="0" w:header="0"/>
        </w:sectPr>
      </w:pPr>
    </w:p>
    <w:bookmarkStart w:id="166" w:name="page167"/>
    <w:bookmarkEnd w:id="166"/>
    <w:p>
      <w:pPr>
        <w:spacing w:after="0" w:line="36" w:lineRule="exact"/>
        <w:rPr>
          <w:sz w:val="20"/>
          <w:szCs w:val="20"/>
          <w:color w:val="auto"/>
        </w:rPr>
      </w:pPr>
    </w:p>
    <w:p>
      <w:pPr>
        <w:jc w:val="both"/>
        <w:ind w:left="4040"/>
        <w:spacing w:after="0" w:line="295" w:lineRule="auto"/>
        <w:rPr>
          <w:sz w:val="20"/>
          <w:szCs w:val="20"/>
          <w:color w:val="auto"/>
        </w:rPr>
      </w:pPr>
      <w:r>
        <w:rPr>
          <w:rFonts w:ascii="Times New Roman" w:cs="Times New Roman" w:eastAsia="Times New Roman" w:hAnsi="Times New Roman"/>
          <w:sz w:val="21"/>
          <w:szCs w:val="21"/>
          <w:color w:val="auto"/>
        </w:rPr>
        <w:t>MORGAN STANLEY BANK, N.A., as a Dollar Tranche Term Lender, an Euro Tranche Term Lender, and Revolving Lender:</w:t>
      </w:r>
    </w:p>
    <w:p>
      <w:pPr>
        <w:spacing w:after="0" w:line="200" w:lineRule="exact"/>
        <w:rPr>
          <w:sz w:val="20"/>
          <w:szCs w:val="20"/>
          <w:color w:val="auto"/>
        </w:rPr>
      </w:pPr>
    </w:p>
    <w:p>
      <w:pPr>
        <w:spacing w:after="0" w:line="394" w:lineRule="exact"/>
        <w:rPr>
          <w:sz w:val="20"/>
          <w:szCs w:val="20"/>
          <w:color w:val="auto"/>
        </w:rPr>
      </w:pPr>
    </w:p>
    <w:p>
      <w:pPr>
        <w:ind w:left="4040"/>
        <w:spacing w:after="0"/>
        <w:tabs>
          <w:tab w:leader="none" w:pos="4520" w:val="left"/>
        </w:tabs>
        <w:rPr>
          <w:sz w:val="20"/>
          <w:szCs w:val="20"/>
          <w:color w:val="auto"/>
        </w:rPr>
      </w:pPr>
      <w:r>
        <w:rPr>
          <w:rFonts w:ascii="Times New Roman" w:cs="Times New Roman" w:eastAsia="Times New Roman" w:hAnsi="Times New Roman"/>
          <w:sz w:val="22"/>
          <w:szCs w:val="22"/>
          <w:color w:val="auto"/>
        </w:rPr>
        <w:t>By</w:t>
        <w:tab/>
        <w:t>/s/ Michael King</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24174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520"/>
          </w:cols>
          <w:pgMar w:left="1440" w:top="1440" w:right="9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Company Name</w:t>
            </w:r>
          </w:p>
        </w:tc>
        <w:tc>
          <w:tcPr>
            <w:tcW w:w="49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200" w:type="dxa"/>
            <w:vAlign w:val="bottom"/>
          </w:tcPr>
          <w:p>
            <w:pPr>
              <w:spacing w:after="0"/>
              <w:rPr>
                <w:sz w:val="17"/>
                <w:szCs w:val="17"/>
                <w:color w:val="auto"/>
              </w:rPr>
            </w:pPr>
          </w:p>
        </w:tc>
      </w:tr>
      <w:tr>
        <w:trPr>
          <w:trHeight w:val="46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Corporation</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USA</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Hexagon Intergraph AB</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Sweden</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Hexagon Technology Center GmbH</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Hexagon US Federal, Inc.</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USA</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UK Limited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UK</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España S.A.</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Spain</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Korea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Korea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Canada ULC</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Canada</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Holding Deutschland GmbH</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Germany</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HxGN Safety &amp; Infrastructure GmbH</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Germany</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PP&amp;M Deutschland GmbH</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Germany</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France SAS</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France</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Public Safety Pty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Australia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PP&amp;M Australia Pty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Australia</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Corporation Pty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Australia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Erdas Pty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Australia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iConstruct (Aus) Pty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Australia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Japan K.K.</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Japan</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Hexagon Capability Center India Private Limited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India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(Qingdao) Co.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China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Hexagon PPM Middle East FZ-LLC</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UAE</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Intergraph Engineering Environment Services SpA</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Italy</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Qognify, Inc.</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USA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Systemates, Inc.</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USA</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Sisgraph Ltda</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Brazil</w:t>
            </w:r>
          </w:p>
        </w:tc>
      </w:tr>
      <w:tr>
        <w:trPr>
          <w:trHeight w:val="4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Luciad NV</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Belgium</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BricSys NV</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Belgium</w:t>
            </w:r>
          </w:p>
        </w:tc>
      </w:tr>
      <w:tr>
        <w:trPr>
          <w:trHeight w:val="44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Octave Intelligence Finance Ltd</w:t>
            </w:r>
          </w:p>
        </w:tc>
        <w:tc>
          <w:tcPr>
            <w:tcW w:w="340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UK</w:t>
            </w:r>
          </w:p>
        </w:tc>
      </w:tr>
    </w:tbl>
    <w:p>
      <w:pPr>
        <w:sectPr>
          <w:pgSz w:w="11900" w:h="16838" w:orient="portrait"/>
          <w:cols w:equalWidth="0" w:num="1">
            <w:col w:w="11120"/>
          </w:cols>
          <w:pgMar w:left="44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499745</wp:posOffset>
            </wp:positionV>
            <wp:extent cx="151701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Hexagon Shareholders: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2026, the general meeting of shareholders of Hexagon AB (“Hexagon”) approved the spin-off into a separate publicly traded company named Octave Intelligence plc (“Octave”) of Hexagon’s Asset Lifecycle Intelligence business, Safety, Infrastructure &amp; Geospatial business, ETQ business and Bricsys business.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separation will be effected by a pro rata distribution wherein each Hexagon shareholder of record on May 22, 2026, which will be the record date, will be entitled to one (1) Octave Class A Ordinary Share for every ten (10) Hexagon Class A Shares and one (1) Octave Class B Ordinary Share for every ten</w:t>
      </w:r>
    </w:p>
    <w:p>
      <w:pPr>
        <w:jc w:val="both"/>
        <w:ind w:firstLine="8"/>
        <w:spacing w:after="0" w:line="253" w:lineRule="auto"/>
        <w:tabs>
          <w:tab w:leader="none" w:pos="37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Octave Class B Ordinary Shares will be delivered to holders of Hexagon Class B Shares, other than 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expected that the Octave Class B Ordinary Shares will be listed on the Nasdaq Stock Market in New York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 shares, please contact the transfer and distribution agent, Computershare Trust Company, N.A. at (866) 644 4127. If you have any questions regarding the distribution of the Octave SDRs, please contact your bank or broker. If needed, you can also contact Skandinaviska Enskilda Banken AB, as custodian and issuer of the Octave SDRs, via email: seb.sdr@seb.se.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working on your behalf to continue to build long-term shareholder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 Svensson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Hexagon AB</w:t>
      </w:r>
    </w:p>
    <w:p>
      <w:pPr>
        <w:sectPr>
          <w:pgSz w:w="11900" w:h="16838" w:orient="portrait"/>
          <w:cols w:equalWidth="0" w:num="1">
            <w:col w:w="11240"/>
          </w:cols>
          <w:pgMar w:left="320" w:top="117" w:right="33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706120</wp:posOffset>
            </wp:positionV>
            <wp:extent cx="164592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Octave Shareholder,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Octave Intelligence plc</w:t>
      </w:r>
    </w:p>
    <w:p>
      <w:pPr>
        <w:sectPr>
          <w:pgSz w:w="11900" w:h="16838" w:orient="portrait"/>
          <w:cols w:equalWidth="0" w:num="1">
            <w:col w:w="11240"/>
          </w:cols>
          <w:pgMar w:left="320" w:top="1440" w:right="339" w:bottom="1440" w:gutter="0" w:footer="0" w:header="0"/>
        </w:sectPr>
      </w:pPr>
    </w:p>
    <w:bookmarkStart w:id="170" w:name="page171"/>
    <w:bookmarkEnd w:id="170"/>
    <w:p>
      <w:pPr>
        <w:jc w:val="center"/>
        <w:spacing w:after="0" w:line="286" w:lineRule="auto"/>
        <w:rPr>
          <w:sz w:val="20"/>
          <w:szCs w:val="20"/>
          <w:color w:val="auto"/>
        </w:rPr>
      </w:pPr>
      <w:r>
        <w:rPr>
          <w:rFonts w:ascii="Times New Roman" w:cs="Times New Roman" w:eastAsia="Times New Roman" w:hAnsi="Times New Roman"/>
          <w:sz w:val="18"/>
          <w:szCs w:val="18"/>
          <w:b w:val="1"/>
          <w:bCs w:val="1"/>
          <w:color w:val="DE1A1E"/>
        </w:rPr>
        <w:t>Information contained herein is subject to completion or amendment. A Registration Statement on Form 10 relating to these securities has been filed with the U.S. Securities and Exchange Commission.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PRELIMINARY INFORMATION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APRIL 27, 2026</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91440</wp:posOffset>
            </wp:positionV>
            <wp:extent cx="1191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Octave Shares will be distributed to holders of record of Hexagon Shares as of May 22, 2026, which will be the record date for the Distribution. Each such holder will receive one (1) Octave Class A Ordinary Share for every ten (10) Hexagon Class A Shares and one (1) Octave Class B Ordinary Share for every ten (10) Hexagon Class B Shares held on the record date. The Distribution will be effective on May 22, 2026. The Octave Shares will be delivered to holders of record, other than holders of Octave Class A Ordinary Shares and affiliates of Hexagon, in the form of Swedish Depository Receipts (“Octave SDRs”).</w:t>
      </w:r>
    </w:p>
    <w:p>
      <w:pPr>
        <w:spacing w:after="0" w:line="1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Octave SDRs will be delivered to holders through Euroclear Sweden AB (“Euroclear Sweden”) two Swedish business days following the record date. No action is 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There is currently no trading market for Octave Shares, although a “when-issued” market in Octave Class B Ordinary Shares may develop as soon as one New York business day prior to the record date for the Distribution.</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applied to list the Octave Class B Ordinary Shares on the Nasdaq Stock Market Market in New York (“Nasdaq New York”) under the symbol “OCTV.” We have applied to temporarily trade the Octave SDRs that each represent one Octave Class B Ordinary Share on Nasdaq Stockholm AB (“Nasdaq Stockholm”) under the symbol “OCTV SDB.”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57150</wp:posOffset>
            </wp:positionV>
            <wp:extent cx="11912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22</w:t>
      </w:r>
      <w:r>
        <w:rPr>
          <w:rFonts w:ascii="Times New Roman" w:cs="Times New Roman" w:eastAsia="Times New Roman" w:hAnsi="Times New Roman"/>
          <w:sz w:val="16"/>
          <w:szCs w:val="16"/>
          <w:b w:val="1"/>
          <w:bCs w:val="1"/>
          <w:color w:val="auto"/>
        </w:rPr>
        <w:t>.</w:t>
      </w:r>
    </w:p>
    <w:p>
      <w:pPr>
        <w:spacing w:after="0" w:line="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THIS INFORMATION STATEMENT DOES NOT CONSTITUTE AN OFFER TO SELL OR THE SOLICITATION OF AN OFFER TO BUY ANY SECURITIES.</w:t>
      </w:r>
    </w:p>
    <w:p>
      <w:pPr>
        <w:spacing w:after="0" w:line="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Shareholders of Hexagon with inquiries related to the Distribution of Octave Shares should contact Octave’s transfer and distribution agent, Computershare Trust Company, N.A., at (866) 644 4127 and, with inquiries related to the Distribution of Octave SDRs, Skandinaviska Enskilda Banken AB, via email: seb.sdr@seb.se.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104775</wp:posOffset>
            </wp:positionV>
            <wp:extent cx="119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This information statement was first made available to Hexagon shareholders on or about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63" w:lineRule="exact"/>
        <w:rPr>
          <w:sz w:val="20"/>
          <w:szCs w:val="20"/>
          <w:color w:val="auto"/>
        </w:rPr>
      </w:pPr>
    </w:p>
    <w:p>
      <w:pPr>
        <w:sectPr>
          <w:pgSz w:w="11900" w:h="16838" w:orient="portrait"/>
          <w:cols w:equalWidth="0" w:num="2">
            <w:col w:w="8100" w:space="720"/>
            <w:col w:w="2420"/>
          </w:cols>
          <w:pgMar w:left="320" w:top="846" w:right="3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14"/>
          <w:szCs w:val="14"/>
          <w:b w:val="1"/>
          <w:bCs w:val="1"/>
          <w:color w:val="auto"/>
        </w:rPr>
        <w:t>The date of this information statement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ectPr>
          <w:pgSz w:w="11900" w:h="16838" w:orient="portrait"/>
          <w:cols w:equalWidth="0" w:num="2">
            <w:col w:w="6600" w:space="720"/>
            <w:col w:w="3920"/>
          </w:cols>
          <w:pgMar w:left="320" w:top="846" w:right="339" w:bottom="1440" w:gutter="0" w:footer="0" w:header="0"/>
          <w:type w:val="continuous"/>
        </w:sectPr>
      </w:pPr>
    </w:p>
    <w:bookmarkStart w:id="171" w:name="page172"/>
    <w:bookmarkEnd w:id="17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Information</w:t>
            </w:r>
          </w:p>
        </w:tc>
        <w:tc>
          <w:tcPr>
            <w:tcW w:w="8360" w:type="dxa"/>
            <w:vAlign w:val="bottom"/>
            <w:gridSpan w:val="1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00" w:type="dxa"/>
            <w:vAlign w:val="bottom"/>
            <w:gridSpan w:val="8"/>
            <w:vMerge w:val="continue"/>
          </w:tcPr>
          <w:p>
            <w:pPr>
              <w:spacing w:after="0"/>
              <w:rPr>
                <w:sz w:val="15"/>
                <w:szCs w:val="15"/>
                <w:color w:val="auto"/>
              </w:rPr>
            </w:pPr>
          </w:p>
        </w:tc>
        <w:tc>
          <w:tcPr>
            <w:tcW w:w="8360" w:type="dxa"/>
            <w:vAlign w:val="bottom"/>
            <w:gridSpan w:val="17"/>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Regarding the Trademarks/Market and Industry Data</w:t>
            </w: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9"/>
              </w:rPr>
              <w:t>iii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61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Distribution</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Summary</w:t>
            </w:r>
          </w:p>
        </w:tc>
        <w:tc>
          <w:tcPr>
            <w:tcW w:w="69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440" w:type="dxa"/>
            <w:vAlign w:val="bottom"/>
            <w:gridSpan w:val="2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The Separation and the Distribution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560" w:type="dxa"/>
            <w:vAlign w:val="bottom"/>
            <w:tcBorders>
              <w:top w:val="single" w:sz="8" w:color="0000FF"/>
            </w:tcBorders>
            <w:gridSpan w:val="7"/>
          </w:tcPr>
          <w:p>
            <w:pPr>
              <w:spacing w:after="0"/>
              <w:rPr>
                <w:sz w:val="18"/>
                <w:szCs w:val="18"/>
                <w:color w:val="auto"/>
              </w:rPr>
            </w:pPr>
          </w:p>
        </w:tc>
        <w:tc>
          <w:tcPr>
            <w:tcW w:w="778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Combined Financial Information</w:t>
            </w:r>
          </w:p>
        </w:tc>
        <w:tc>
          <w:tcPr>
            <w:tcW w:w="638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Business of Octave</w:t>
            </w:r>
          </w:p>
        </w:tc>
        <w:tc>
          <w:tcPr>
            <w:tcW w:w="8960" w:type="dxa"/>
            <w:vAlign w:val="bottom"/>
            <w:gridSpan w:val="21"/>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Corporate Governance and Management</w:t>
            </w:r>
          </w:p>
        </w:tc>
        <w:tc>
          <w:tcPr>
            <w:tcW w:w="390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Pr>
          <w:p>
            <w:pPr>
              <w:spacing w:after="0"/>
              <w:rPr>
                <w:sz w:val="18"/>
                <w:szCs w:val="18"/>
                <w:color w:val="auto"/>
              </w:rPr>
            </w:pPr>
          </w:p>
        </w:tc>
        <w:tc>
          <w:tcPr>
            <w:tcW w:w="74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50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560" w:type="dxa"/>
            <w:vAlign w:val="bottom"/>
            <w:gridSpan w:val="1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137</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tcPr>
          <w:p>
            <w:pPr>
              <w:spacing w:after="0"/>
              <w:rPr>
                <w:sz w:val="18"/>
                <w:szCs w:val="18"/>
                <w:color w:val="auto"/>
              </w:rPr>
            </w:pPr>
          </w:p>
        </w:tc>
        <w:tc>
          <w:tcPr>
            <w:tcW w:w="65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Material Irish Tax Consequences</w:t>
            </w:r>
          </w:p>
        </w:tc>
        <w:tc>
          <w:tcPr>
            <w:tcW w:w="1160" w:type="dxa"/>
            <w:vAlign w:val="bottom"/>
            <w:gridSpan w:val="9"/>
          </w:tcPr>
          <w:p>
            <w:pPr>
              <w:spacing w:after="0"/>
              <w:rPr>
                <w:sz w:val="18"/>
                <w:szCs w:val="18"/>
                <w:color w:val="auto"/>
              </w:rPr>
            </w:pPr>
          </w:p>
        </w:tc>
        <w:tc>
          <w:tcPr>
            <w:tcW w:w="68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Material Swedish Tax Consequences</w:t>
            </w:r>
          </w:p>
        </w:tc>
        <w:tc>
          <w:tcPr>
            <w:tcW w:w="770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Our Share Capital</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Swedish Depository Receipts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178</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182</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183</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120" w:type="dxa"/>
            <w:vAlign w:val="bottom"/>
          </w:tcPr>
          <w:p>
            <w:pPr>
              <w:spacing w:after="0"/>
              <w:rPr>
                <w:sz w:val="18"/>
                <w:szCs w:val="18"/>
                <w:color w:val="auto"/>
              </w:rPr>
            </w:pPr>
          </w:p>
        </w:tc>
        <w:tc>
          <w:tcPr>
            <w:tcW w:w="736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184</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Index To Combined Financial Statements</w:t>
            </w:r>
          </w:p>
        </w:tc>
        <w:tc>
          <w:tcPr>
            <w:tcW w:w="7360" w:type="dxa"/>
            <w:vAlign w:val="bottom"/>
            <w:gridSpan w:val="10"/>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1"/>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172" w:name="page173"/>
    <w:bookmarkEnd w:id="17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all references to “we,” “us,” “our,” “Octave,” or the “Company” refer to Octave Intelligence plc, together with its direct and indirect subsidiaries.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was established as a shelf company on July 5, 2017, as a private company limited by shares and was recently de-shelved to hold the Octave Business (as defined below) of Hexagon AB, a Swedish corporation (“Hexagon”). On February 26, 2026, Octave re-registered from a private company limited by shares to a public limited company. Octave has had no significant operations or activity other than its initial issuance of shares for nominal consideration, an additional share issuance to bring the share capital of Octave up to €25,000 (being the minimum capital requirements for a public limited company under Irish law)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w:t>
      </w:r>
    </w:p>
    <w:p>
      <w:pPr>
        <w:spacing w:after="0" w:line="1" w:lineRule="exact"/>
        <w:rPr>
          <w:sz w:val="20"/>
          <w:szCs w:val="20"/>
          <w:color w:val="auto"/>
        </w:rPr>
      </w:pPr>
    </w:p>
    <w:p>
      <w:pPr>
        <w:ind w:firstLine="8"/>
        <w:spacing w:after="0" w:line="260" w:lineRule="auto"/>
        <w:tabs>
          <w:tab w:leader="none" w:pos="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of which this information statement forms a part, you are urged to read the full text of such contract, agreement, or document for a more complete understanding of the document or matter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information statement is accurate as of any date other than the date set forth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THE TRADEMARKS/MARKET AND INDUSTRY DATA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w:t>
      </w:r>
    </w:p>
    <w:p>
      <w:pPr>
        <w:ind w:firstLine="8"/>
        <w:spacing w:after="0" w:line="260" w:lineRule="auto"/>
        <w:tabs>
          <w:tab w:leader="none" w:pos="18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do not constitute a waiver of any rights that might be associated with the respective trademarks, service marks, trade names, and copyrights included or referred to in this information statement.</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many cases, we have based certain statements contained in this information statement regarding our industry and our position in the industry on certain beliefs and assumptions concerning our customers and competitors. These beliefs and assumptions are based on our experience in the industry and our own investigation of market conditions. While Octave’s management believes these beliefs and assumptions are reasonable, we cannot assure you as to the accuracy of any such beliefs and assumptions, and such beliefs and assumptions may change. Certain terms should be construed specific to the context provided and may vary from how other industry participants may use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Octave at December 31, 2025 and 2024, and for each of the three years in the period ended December 31, 2025, appearing in this registration statement have been audited by PricewaterhouseCoopers AB (“PwC”), an independent registered public accounting firm, as set forth in their report thereon appearing elsewhere herein.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spacing w:after="0" w:line="126" w:lineRule="exact"/>
        <w:rPr>
          <w:sz w:val="20"/>
          <w:szCs w:val="20"/>
          <w:color w:val="auto"/>
        </w:rPr>
      </w:pPr>
    </w:p>
    <w:p>
      <w:pPr>
        <w:ind w:left="660" w:right="20" w:hanging="328"/>
        <w:spacing w:after="0" w:line="28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2024 to December 2024, a member firm of PricewaterhouseCoopers International Limited (“PwC Member Firm”) performed employee type activities in connection with the provision of a non-audit service.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2023 to February 2024, a business relationship existed between a PwC Member Firm and an affiliate of Octave whereby the two parties participated in joint webinars.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December 31, 2025 and 2024 and for each of the three years in the period ended December 31, 2025, and (ii) that no reasonable investor would conclude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Distribution. Please see “The Separation and the Distribution” for a more detailed description of the matters described below.</w:t>
      </w:r>
    </w:p>
    <w:p>
      <w:pPr>
        <w:spacing w:after="0" w:line="104"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Octave, and why is Hexagon separating the Octave Business and distributing Octave Shares?</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was established as a shelf company in Ireland as a private company limited by shares and was de-shelved, renamed and re-registered as a public limited company to hold the Octave Business in connection with the separation. Prior to the Distribution, the Octave Business will continue to be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spacing w:after="0" w:line="129"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information statement because you are a holder of shares of Hexagon capital stock. If you remain a holder of Hexagon Class A Shares and/or Hexagon Class B Shares as of the record date for the Distribution, you will be entitled to receive one (1) Octave Class A Ordinary Share for every ten (10) Hexagon Class A Shares and one (1) Octave Class B Ordinary Share for every ten (10) Hexagon Class B Shares held as of the record date. This information statement is intended to help you understand how the Distribution will affect your investment in Hexagon and your investment in Octave after the Distribution.</w:t>
      </w:r>
    </w:p>
    <w:p>
      <w:pPr>
        <w:spacing w:after="0" w:line="1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spacing w:after="0" w:line="1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distributed in the Distribution?</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spacing w:after="0" w:line="131"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business and assets will transfer to Octave and which business and assets will remain with Hexagon?</w:t>
      </w:r>
    </w:p>
    <w:p>
      <w:pPr>
        <w:spacing w:after="0" w:line="189" w:lineRule="exact"/>
        <w:rPr>
          <w:sz w:val="20"/>
          <w:szCs w:val="20"/>
          <w:color w:val="auto"/>
        </w:rPr>
      </w:pPr>
    </w:p>
    <w:p>
      <w:pPr>
        <w:ind w:left="660" w:right="60" w:hanging="652"/>
        <w:spacing w:after="0" w:line="236" w:lineRule="auto"/>
        <w:tabs>
          <w:tab w:leader="none" w:pos="65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40" w:right="339" w:bottom="1440" w:gutter="0" w:footer="0" w:header="0"/>
        </w:sectPr>
      </w:pPr>
    </w:p>
    <w:bookmarkStart w:id="176" w:name="page177"/>
    <w:bookmarkEnd w:id="176"/>
    <w:p>
      <w:pPr>
        <w:ind w:left="660" w:right="520"/>
        <w:spacing w:after="0" w:line="266" w:lineRule="auto"/>
        <w:rPr>
          <w:sz w:val="20"/>
          <w:szCs w:val="20"/>
          <w:color w:val="auto"/>
        </w:rPr>
      </w:pPr>
      <w:r>
        <w:rPr>
          <w:rFonts w:ascii="Times New Roman" w:cs="Times New Roman" w:eastAsia="Times New Roman" w:hAnsi="Times New Roman"/>
          <w:sz w:val="18"/>
          <w:szCs w:val="18"/>
          <w:color w:val="auto"/>
        </w:rPr>
        <w:t>audits and other workflows into a single governed system of record; and (iv) Hexagon’s Bricsys business unit, which focuses on developing computer-aided design software for complex 3D modeling, engineering analysis and construction solutions.</w:t>
      </w:r>
    </w:p>
    <w:p>
      <w:pPr>
        <w:spacing w:after="0" w:line="12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Distribution, Hexagon will continue to hold, among other assets, those related to measurement technologies, with a comprehensive suite of metrology, reality capture, and positioning solutions.</w:t>
      </w:r>
    </w:p>
    <w:p>
      <w:pPr>
        <w:spacing w:after="0" w:line="104"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Distribution?</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spacing w:after="0" w:line="129"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Hexagon distribute Octave Shares to me?</w:t>
      </w:r>
    </w:p>
    <w:p>
      <w:pPr>
        <w:spacing w:after="0" w:line="175" w:lineRule="exact"/>
        <w:rPr>
          <w:sz w:val="20"/>
          <w:szCs w:val="20"/>
          <w:color w:val="auto"/>
        </w:rPr>
      </w:pPr>
    </w:p>
    <w:p>
      <w:pPr>
        <w:jc w:val="both"/>
        <w:ind w:left="660" w:hanging="652"/>
        <w:spacing w:after="0" w:line="254" w:lineRule="auto"/>
        <w:tabs>
          <w:tab w:leader="none" w:pos="6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spacing w:after="0" w:line="134"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Distribution?</w:t>
      </w:r>
    </w:p>
    <w:p>
      <w:pPr>
        <w:spacing w:after="0" w:line="175" w:lineRule="exact"/>
        <w:rPr>
          <w:sz w:val="20"/>
          <w:szCs w:val="20"/>
          <w:color w:val="auto"/>
        </w:rPr>
      </w:pPr>
    </w:p>
    <w:p>
      <w:pPr>
        <w:ind w:left="660" w:right="20" w:hanging="652"/>
        <w:spacing w:after="0" w:line="282" w:lineRule="auto"/>
        <w:tabs>
          <w:tab w:leader="none" w:pos="6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ownership will be determined as of May 22, 2026, which we refer to as the “record date.” The person in whose name Hexagon Shares are registered as of the record date is the person who is entitled to Octave Shares in the Distribution.</w:t>
      </w:r>
    </w:p>
    <w:p>
      <w:pPr>
        <w:spacing w:after="0" w:line="104"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Distribution occur?</w:t>
      </w:r>
    </w:p>
    <w:p>
      <w:pPr>
        <w:spacing w:after="0" w:line="175" w:lineRule="exact"/>
        <w:rPr>
          <w:sz w:val="20"/>
          <w:szCs w:val="20"/>
          <w:color w:val="auto"/>
        </w:rPr>
      </w:pPr>
    </w:p>
    <w:p>
      <w:pPr>
        <w:jc w:val="both"/>
        <w:ind w:left="660" w:hanging="652"/>
        <w:spacing w:after="0" w:line="261" w:lineRule="auto"/>
        <w:tabs>
          <w:tab w:leader="none" w:pos="6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ownership will be determined as of the record date on May 22, 2026, the Distribution is expected to be completed at 1:30pm, Stockholm time, on May 22, 2026, and the Octave SDRs are expected to be delivered to the non-affiliate holders of Hexagon Class B Shares on May 26, 2026.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22"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Hexagon decide to cancel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shareholders of Hexagon resolved at the general meeting on April 24, 2026, to approve the Distribution, among other related matters. As a result, while Hexagon retains discretion as to the timing of the Distribution, which must be completed before the annual general meeting following the general meeting at which Hexagon shareholders approved the Distribution, Hexagon may not cancel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404" w:right="339" w:bottom="1440" w:gutter="0" w:footer="0" w:header="0"/>
        </w:sectPr>
      </w:pPr>
    </w:p>
    <w:bookmarkStart w:id="177" w:name="page178"/>
    <w:bookmarkEnd w:id="177"/>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relationship between Hexagon and Octave be following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w:t>
      </w:r>
    </w:p>
    <w:p>
      <w:pPr>
        <w:spacing w:after="0" w:line="1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spacing w:after="0" w:line="129"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have to do to participate in the Distribution?</w:t>
      </w:r>
    </w:p>
    <w:p>
      <w:pPr>
        <w:spacing w:after="0" w:line="175" w:lineRule="exact"/>
        <w:rPr>
          <w:sz w:val="20"/>
          <w:szCs w:val="20"/>
          <w:color w:val="auto"/>
        </w:rPr>
      </w:pPr>
    </w:p>
    <w:p>
      <w:pPr>
        <w:jc w:val="both"/>
        <w:ind w:left="660" w:hanging="652"/>
        <w:spacing w:after="0" w:line="261" w:lineRule="auto"/>
        <w:tabs>
          <w:tab w:leader="none" w:pos="6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w:t>
      </w:r>
    </w:p>
    <w:p>
      <w:pPr>
        <w:spacing w:after="0" w:line="122" w:lineRule="exact"/>
        <w:rPr>
          <w:sz w:val="20"/>
          <w:szCs w:val="20"/>
          <w:color w:val="auto"/>
        </w:rPr>
      </w:pPr>
    </w:p>
    <w:p>
      <w:pPr>
        <w:ind w:left="660" w:hanging="652"/>
        <w:spacing w:after="0" w:line="286" w:lineRule="auto"/>
        <w:tabs>
          <w:tab w:leader="none" w:pos="657"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sell Hexagon Shares on or after the record date but on or before the Distribution Date, am I still entitled to receive Octave Shares distributable with respect to the Hexagon Shares I sold?</w:t>
      </w:r>
    </w:p>
    <w:p>
      <w:pPr>
        <w:spacing w:after="0" w:line="105" w:lineRule="exact"/>
        <w:rPr>
          <w:sz w:val="20"/>
          <w:szCs w:val="20"/>
          <w:color w:val="auto"/>
        </w:rPr>
      </w:pPr>
    </w:p>
    <w:p>
      <w:pPr>
        <w:jc w:val="both"/>
        <w:ind w:left="660" w:hanging="652"/>
        <w:spacing w:after="0" w:line="256" w:lineRule="auto"/>
        <w:tabs>
          <w:tab w:leader="none" w:pos="6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receipt of Octave Shares is May 22, 2026. Since trades on Nasdaq Stockholm settle on a T+2 basis, the last day of trading in Hexagon Shares on Nasdaq Stockholm including the right to the distribution of Octave Shares will be May 20, 2026, the second trading day before the record date. Hexagon Shares will thus be traded excluding the right to the distribution of Octave Shares on and after May 21, 2026, the last trading day before the record date. If a record holder of Hexagon Shares sells those shares on or after May 21, 2026, the last trading day before the record date, but on or prior to the Distribution Date, the seller will still be entitled to receive the relevant Octave Shares delivered in the Distribution.</w:t>
      </w:r>
    </w:p>
    <w:p>
      <w:pPr>
        <w:spacing w:after="0" w:line="129"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and fractional Swedish Depository Receipts (“SDRs”) be treated in the Distribution?</w:t>
      </w:r>
    </w:p>
    <w:p>
      <w:pPr>
        <w:spacing w:after="0" w:line="175" w:lineRule="exact"/>
        <w:rPr>
          <w:sz w:val="20"/>
          <w:szCs w:val="20"/>
          <w:color w:val="auto"/>
        </w:rPr>
      </w:pPr>
    </w:p>
    <w:p>
      <w:pPr>
        <w:jc w:val="both"/>
        <w:ind w:left="660" w:hanging="652"/>
        <w:spacing w:after="0" w:line="254" w:lineRule="auto"/>
        <w:tabs>
          <w:tab w:leader="none" w:pos="65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SDRs will be distributed. Instead, Computershare, in its capacity as transfer and distribution agent, will aggregate fractional shares into whole shares and then sell the whole shares on Nasdaq New York, while SEB, in its capacity as custodian and issuer of the Octave SDRs, will aggregate fractional SDRs into whole SDRs and then sell the whole SDRs on Nasdaq Stockholm. In each case, the whole shares and whole SDRs will be sold at prevailing rates and Computershare and SEB, as applicable, will distribute the net cash proceeds pro rata to each holder who would 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spacing w:after="0" w:line="134"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Swedish Depository Receipt, and can I directly hold the underlying Octave Shares?</w:t>
      </w:r>
    </w:p>
    <w:p>
      <w:pPr>
        <w:spacing w:after="0" w:line="175" w:lineRule="exact"/>
        <w:rPr>
          <w:sz w:val="20"/>
          <w:szCs w:val="20"/>
          <w:color w:val="auto"/>
        </w:rPr>
      </w:pPr>
    </w:p>
    <w:p>
      <w:pPr>
        <w:ind w:left="660" w:hanging="652"/>
        <w:spacing w:after="0" w:line="282" w:lineRule="auto"/>
        <w:tabs>
          <w:tab w:leader="none" w:pos="65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SDR is a financial instrument issued by a Swedish bank representing shares in a non-Swedish company. In connection with the Distribution, Octave Class B Ordinary Shares will be deposited via the facilities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13" w:right="339" w:bottom="1440" w:gutter="0" w:footer="0" w:header="0"/>
        </w:sectPr>
      </w:pPr>
    </w:p>
    <w:bookmarkStart w:id="178" w:name="page179"/>
    <w:bookmarkEnd w:id="178"/>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Octave SDRs be listed, and how long will that listing be maintained?</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the Octave Class B Ordinary Shares through an SDR program that will be listed on Nasdaq Stockholm substantially concurrently with listing the Octave Class B Ordinary Shares on Nasdaq New York, as described above (the “Octave SDR Program”). Octave intends to maintain the Octave SDR Program until further notice, which Octave expects to be for about two years following the Distribution Date, however Octave intends to evaluate the Octave SDR Program over time in light of liquidity and relative trading volume on Nasdaq Stockholm and Nasdaq New York.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13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listing of the Octave SDRs, Octave has also made available a Swedish prospectus.</w:t>
      </w:r>
    </w:p>
    <w:p>
      <w:pPr>
        <w:spacing w:after="0" w:line="167" w:lineRule="exact"/>
        <w:rPr>
          <w:sz w:val="20"/>
          <w:szCs w:val="20"/>
          <w:color w:val="auto"/>
        </w:rPr>
      </w:pPr>
    </w:p>
    <w:p>
      <w:pPr>
        <w:ind w:left="380" w:hanging="372"/>
        <w:spacing w:after="0"/>
        <w:tabs>
          <w:tab w:leader="none" w:pos="38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cancel my Octave SDRs and receive Octave Class B Ordinary Shares?</w:t>
      </w:r>
    </w:p>
    <w:p>
      <w:pPr>
        <w:spacing w:after="0" w:line="175" w:lineRule="exact"/>
        <w:rPr>
          <w:sz w:val="20"/>
          <w:szCs w:val="20"/>
          <w:color w:val="auto"/>
        </w:rPr>
      </w:pPr>
    </w:p>
    <w:p>
      <w:pPr>
        <w:ind w:left="660" w:hanging="652"/>
        <w:spacing w:after="0" w:line="266" w:lineRule="auto"/>
        <w:tabs>
          <w:tab w:leader="none" w:pos="41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Octave SDRs may cancel their Octave SDRs and receive the underlying Octave Class B Ordinary Shares (a “conversion”). Holders may request a conversion as early as May 25, 2026, in which case such holders would be expected to receive the underlying Octave Class B Ordinary Shares on May 28, 2026.</w:t>
      </w:r>
    </w:p>
    <w:p>
      <w:pPr>
        <w:spacing w:after="0" w:line="12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Conversion is effected through the Octave SDR Program and the Euroclear Sweden and DTC settlement systems and must be initiated by the bank, broker or other nominee through which the applicable Octave SDRs are held.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that wish to hold the underlying Octave Class B Ordinary Shares instead of the Octave SDRs must:</w:t>
      </w:r>
    </w:p>
    <w:p>
      <w:pPr>
        <w:spacing w:after="0" w:line="171" w:lineRule="exact"/>
        <w:rPr>
          <w:sz w:val="20"/>
          <w:szCs w:val="20"/>
          <w:color w:val="auto"/>
        </w:rPr>
      </w:pPr>
    </w:p>
    <w:p>
      <w:pPr>
        <w:ind w:left="660" w:hanging="328"/>
        <w:spacing w:after="0"/>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Octave SDRs through a bank, broker or other nominee connected to Euroclear Sweden;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conversion order to their bank, broker or other nominee in accordance with its procedures.</w:t>
      </w:r>
    </w:p>
    <w:p>
      <w:pPr>
        <w:spacing w:after="0" w:line="17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bank, broker or other nominee will be responsible for transmitting the relevant instructions to the SDR Depositary and arranging for delivery of the Octave SDRs for cancellation in accordance with applicable clearing and settlement procedures.</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valid conversion instruction: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Octave SDRs will be cancelled in the Octave SDR Program;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Octave Class B Ordinary Shares will be delivered to the holder’s designated account.</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should contact their bank, broker or other nominee for detailed instructions and timing applicable to their account.</w:t>
      </w:r>
    </w:p>
    <w:p>
      <w:pPr>
        <w:spacing w:after="0" w:line="1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need to take any action to receive my Octave SDRs or to convert them?</w:t>
      </w:r>
    </w:p>
    <w:p>
      <w:pPr>
        <w:spacing w:after="0" w:line="17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No action is required to receive Octave SDRs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17" w:right="339" w:bottom="1440" w:gutter="0" w:footer="0" w:header="0"/>
        </w:sectPr>
      </w:pPr>
    </w:p>
    <w:bookmarkStart w:id="179" w:name="page180"/>
    <w:bookmarkEnd w:id="179"/>
    <w:p>
      <w:pPr>
        <w:ind w:left="660"/>
        <w:spacing w:after="0" w:line="282" w:lineRule="auto"/>
        <w:rPr>
          <w:sz w:val="20"/>
          <w:szCs w:val="20"/>
          <w:color w:val="auto"/>
        </w:rPr>
      </w:pPr>
      <w:r>
        <w:rPr>
          <w:rFonts w:ascii="Times New Roman" w:cs="Times New Roman" w:eastAsia="Times New Roman" w:hAnsi="Times New Roman"/>
          <w:sz w:val="18"/>
          <w:szCs w:val="18"/>
          <w:color w:val="auto"/>
        </w:rPr>
        <w:t>However, holders that wish to hold the underlying Octave Class B Ordinary Shares instead of the Octave SDRs must take the steps described above through their bank, broker or other nominee.</w:t>
      </w:r>
    </w:p>
    <w:p>
      <w:pPr>
        <w:spacing w:after="0" w:line="1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fees associated with cancelling Octave SDRs?</w:t>
      </w:r>
    </w:p>
    <w:p>
      <w:pPr>
        <w:spacing w:after="0" w:line="175" w:lineRule="exact"/>
        <w:rPr>
          <w:sz w:val="20"/>
          <w:szCs w:val="20"/>
          <w:color w:val="auto"/>
        </w:rPr>
      </w:pPr>
    </w:p>
    <w:p>
      <w:pPr>
        <w:ind w:left="660" w:hanging="652"/>
        <w:spacing w:after="0" w:line="261" w:lineRule="auto"/>
        <w:tabs>
          <w:tab w:leader="none" w:pos="38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agreed to pay any fees for holders who wish to cancel their Octave SDRs and receive the underlying Octave Class B Ordinary Shares in a U.S. brokerage account, a custody account, an investment savings account (Sw. investeringssparkonto), or an endowment insurance (Sw. kapitalförsäkring) for the six (6) months from and including the first day of trading in the Octave SDRs on Nasdaq Stockholm. After such period, such fees will be borne by the holder.</w:t>
      </w:r>
    </w:p>
    <w:p>
      <w:pPr>
        <w:spacing w:after="0" w:line="122"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reason for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considered by Hexagon’s board of directors in making the determination to consummate the Distribution included the following:</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Independent Strategic Needs. </w:t>
      </w:r>
      <w:r>
        <w:rPr>
          <w:rFonts w:ascii="Times New Roman" w:cs="Times New Roman" w:eastAsia="Times New Roman" w:hAnsi="Times New Roman"/>
          <w:sz w:val="18"/>
          <w:szCs w:val="18"/>
          <w:color w:val="auto"/>
        </w:rPr>
        <w:t>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Autonomy. </w:t>
      </w:r>
      <w:r>
        <w:rPr>
          <w:rFonts w:ascii="Times New Roman" w:cs="Times New Roman" w:eastAsia="Times New Roman" w:hAnsi="Times New Roman"/>
          <w:sz w:val="18"/>
          <w:szCs w:val="18"/>
          <w:color w:val="auto"/>
        </w:rPr>
        <w:t>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Resources. </w:t>
      </w:r>
      <w:r>
        <w:rPr>
          <w:rFonts w:ascii="Times New Roman" w:cs="Times New Roman" w:eastAsia="Times New Roman" w:hAnsi="Times New Roman"/>
          <w:sz w:val="18"/>
          <w:szCs w:val="18"/>
          <w:color w:val="auto"/>
        </w:rPr>
        <w:t>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and Retention of Talent. </w:t>
      </w:r>
      <w:r>
        <w:rPr>
          <w:rFonts w:ascii="Times New Roman" w:cs="Times New Roman" w:eastAsia="Times New Roman" w:hAnsi="Times New Roman"/>
          <w:sz w:val="18"/>
          <w:szCs w:val="18"/>
          <w:color w:val="auto"/>
        </w:rPr>
        <w:t>The businesses that Hexagon and Octave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Incentives. </w:t>
      </w:r>
      <w:r>
        <w:rPr>
          <w:rFonts w:ascii="Times New Roman" w:cs="Times New Roman" w:eastAsia="Times New Roman" w:hAnsi="Times New Roman"/>
          <w:sz w:val="18"/>
          <w:szCs w:val="18"/>
          <w:color w:val="auto"/>
        </w:rPr>
        <w:t>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Strategic Alignment. </w:t>
      </w:r>
      <w:r>
        <w:rPr>
          <w:rFonts w:ascii="Times New Roman" w:cs="Times New Roman" w:eastAsia="Times New Roman" w:hAnsi="Times New Roman"/>
          <w:sz w:val="18"/>
          <w:szCs w:val="18"/>
          <w:color w:val="auto"/>
        </w:rPr>
        <w:t>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Increased Share Value. </w:t>
      </w:r>
      <w:r>
        <w:rPr>
          <w:rFonts w:ascii="Times New Roman" w:cs="Times New Roman" w:eastAsia="Times New Roman" w:hAnsi="Times New Roman"/>
          <w:sz w:val="18"/>
          <w:szCs w:val="18"/>
          <w:color w:val="auto"/>
        </w:rPr>
        <w:t>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40"/>
          </w:cols>
          <w:pgMar w:left="320" w:top="1417" w:right="339" w:bottom="1440" w:gutter="0" w:footer="0" w:header="0"/>
        </w:sectPr>
      </w:pPr>
    </w:p>
    <w:bookmarkStart w:id="180" w:name="page181"/>
    <w:bookmarkEnd w:id="180"/>
    <w:p>
      <w:pPr>
        <w:ind w:left="660"/>
        <w:spacing w:after="0" w:line="282" w:lineRule="auto"/>
        <w:rPr>
          <w:sz w:val="20"/>
          <w:szCs w:val="20"/>
          <w:color w:val="auto"/>
        </w:rPr>
      </w:pPr>
      <w:r>
        <w:rPr>
          <w:rFonts w:ascii="Times New Roman" w:cs="Times New Roman" w:eastAsia="Times New Roman" w:hAnsi="Times New Roman"/>
          <w:sz w:val="18"/>
          <w:szCs w:val="18"/>
          <w:color w:val="auto"/>
        </w:rPr>
        <w:t>opportunities provided to investors by two separate companies. Should this occur, each company would be in a better position to utilize its stock or shares (as applicable) as currency for acquisitions and to incentivize its employees.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or may be impacted by no longer forming part of a larger business enterprise,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“Unaudited Pro Forma Combined Financial Information” section for further details. You are also urged to carefully read the information set forth in the section of this information statement entitled “Risk Factors.”</w:t>
      </w:r>
    </w:p>
    <w:p>
      <w:pPr>
        <w:spacing w:after="0" w:line="104"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Octave after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Octave (the “Board of Directors”) will consist of six directors. Brett Watson will serve as an independent director and Chairman of the Board of Directors. Mattias Stenberg will serve as a director, and Jill Smith, David Hollister, Magnus Ahlqvist and Meerah Rajavel will serve as independent directors.</w:t>
      </w:r>
    </w:p>
    <w:p>
      <w:pPr>
        <w:spacing w:after="0" w:line="12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Octave will be Mattias Stenberg, who will be responsible for the strategic direction of Octave, including its overall operations and performance. The Chief Financial Officer of Octave will be Benjamin Maslen. Other individuals that will serve as our executive officers following the completion of the Distribution are set forth below in “Corporate Governance and Management—Directors and Executive Officers.”</w:t>
      </w:r>
    </w:p>
    <w:p>
      <w:pPr>
        <w:spacing w:after="0" w:line="122"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Hexagon shareholders be subject to taxation on Octave Shares received in the Distribution?</w:t>
      </w:r>
    </w:p>
    <w:p>
      <w:pPr>
        <w:spacing w:after="0" w:line="162" w:lineRule="exact"/>
        <w:rPr>
          <w:sz w:val="20"/>
          <w:szCs w:val="20"/>
          <w:color w:val="auto"/>
        </w:rPr>
      </w:pPr>
    </w:p>
    <w:p>
      <w:pPr>
        <w:jc w:val="both"/>
        <w:ind w:left="660" w:hanging="652"/>
        <w:spacing w:after="0" w:line="236" w:lineRule="auto"/>
        <w:tabs>
          <w:tab w:leader="none" w:pos="65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40"/>
          </w:cols>
          <w:pgMar w:left="320" w:top="1417" w:right="339" w:bottom="1440" w:gutter="0" w:footer="0" w:header="0"/>
        </w:sectPr>
      </w:pPr>
    </w:p>
    <w:bookmarkStart w:id="181" w:name="page182"/>
    <w:bookmarkEnd w:id="18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Irish tax law, holders of Hexagon Shares who are not tax resident in Ireland and who do not have a branch or agency in Ireland through which a trade is carried on to which the holding of such shares is attributable will not be subject to Irish tax as a result of the Distribution. For a further discussion, see “Material Irish Tax Consequences.”</w:t>
      </w:r>
    </w:p>
    <w:p>
      <w:pPr>
        <w:spacing w:after="0" w:line="12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Swedish tax law, Hexagon has received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consequences of the Distribution to each holder of Hexagon Shares may depend on such holder’s particular facts and circumstances.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Hexagon Shares are urged to consult their own tax advisors to understand fully the tax consequences to them of the Distribution.</w:t>
      </w:r>
    </w:p>
    <w:p>
      <w:pPr>
        <w:spacing w:after="0" w:line="149"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Octave intend to pay cash dividends?</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currently anticipates that it will retain future earnings for the development, operation, and expansion of the Octave Business, and does not anticipate declaring or paying cash dividends in the near future. The payment of any dividends in the future, and the timing and amount thereof, is within the discretion of the Board of Directors. See “The Separation and the Distribution—Dividend Policy.”</w:t>
      </w:r>
    </w:p>
    <w:p>
      <w:pPr>
        <w:spacing w:after="0" w:line="118"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Irish withholding tax on future dividends, if any, by Octave?</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tax resident solely in Ireland. As long as Octave is resident for tax purposes in Ireland, any dividends paid by Octave will be subject to Irish withholding tax. The relevant shareholder may be entitled to an exemption from Irish withholding tax provided that such shareholder has complied with necessary procedural formalities. See “Material Irish Tax Consequences.”</w:t>
      </w:r>
    </w:p>
    <w:p>
      <w:pPr>
        <w:spacing w:after="0" w:line="118"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 Irish stamp tax liability on the transfer or sale of Octave Shares by Octave shareholders after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taxes are expected to be payable in Ireland on transfers of Octave Shares within DTC or transfer of Octave SDRs within Euroclear Sweden. For further discussion, see “Material Irish Tax Consequences.”</w:t>
      </w:r>
    </w:p>
    <w:p>
      <w:pPr>
        <w:spacing w:after="0" w:line="104"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Shares trade?</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there is no public market for Octave Shares, although a “when-issued” market in Octave Class B Ordinary Shares may develop as soon as one New York business day prior to the record date for the Distribution. We have applied for the Octave Class B Ordinary Shares to be listed on Nasdaq New York under the symbol “OCTV.” Assuming that such listing application is approved, it is anticipated that trading will commence three (3) New York business days following the Distribution Date. No assurance can be given that Octave’s listing application will be approved. Octave cannot predict the trading prices for Octave Shares on or after the Distribution Date. Please also refer to “How will Hexagon distribute Octave Shares to me?”</w:t>
      </w:r>
    </w:p>
    <w:p>
      <w:pPr>
        <w:spacing w:after="0" w:line="129"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SDRs trade?</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17" w:right="339" w:bottom="1440" w:gutter="0" w:footer="0" w:header="0"/>
        </w:sectPr>
      </w:pPr>
    </w:p>
    <w:bookmarkStart w:id="182" w:name="page183"/>
    <w:bookmarkEnd w:id="182"/>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Distribution affect the trading price of my Hexagon Class B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spacing w:after="0" w:line="131"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number of Hexagon Shares I own change as a result of the Distribution?</w:t>
      </w:r>
    </w:p>
    <w:p>
      <w:pPr>
        <w:spacing w:after="0" w:line="175" w:lineRule="exact"/>
        <w:rPr>
          <w:sz w:val="20"/>
          <w:szCs w:val="20"/>
          <w:color w:val="auto"/>
        </w:rPr>
      </w:pPr>
    </w:p>
    <w:p>
      <w:pPr>
        <w:ind w:left="640" w:hanging="632"/>
        <w:spacing w:after="0"/>
        <w:tabs>
          <w:tab w:leader="none" w:pos="6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number of Hexagon Shares you own will not change as a result of the Distribution.</w:t>
      </w:r>
    </w:p>
    <w:p>
      <w:pPr>
        <w:spacing w:after="0" w:line="167"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owning Octave Shares and Octave SDRs?</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w:t>
      </w:r>
    </w:p>
    <w:p>
      <w:pPr>
        <w:spacing w:after="0" w:line="122"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Octave have any indebtedness?</w:t>
      </w:r>
    </w:p>
    <w:p>
      <w:pPr>
        <w:spacing w:after="0" w:line="202" w:lineRule="exact"/>
        <w:rPr>
          <w:sz w:val="20"/>
          <w:szCs w:val="20"/>
          <w:color w:val="auto"/>
        </w:rPr>
      </w:pPr>
    </w:p>
    <w:p>
      <w:pPr>
        <w:ind w:left="660" w:right="20" w:hanging="652"/>
        <w:spacing w:after="0" w:line="231" w:lineRule="auto"/>
        <w:tabs>
          <w:tab w:leader="none" w:pos="6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Yes. In connection with the Distribution, Octave entered into a credit agreement providing for a senior unsecured credit facility consisting of (a) a five-year senior unsecured multi-currency revolving credit facility in an aggregate principal amount of up to $500 million (the “Revolving Credit Facility”) and (b) a four-year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 Octave expects that, upon completion of the Distribution, the Term Loan Facility will be fully drawn, with the proceeds used to fund a cash payment to Hexagon substantially concurrently with the Distribution. Proceeds of the Credit Facilities may also be used for working capital and general corporate purposes of Octave. In addition, under the Credit Agreement, Octave is permitted to incur up to $250 million of additional incremental commitments, subject to customary conditions and lender participation. For more information, see “Description of Material Indebtedness.”</w:t>
      </w:r>
    </w:p>
    <w:p>
      <w:pPr>
        <w:spacing w:after="0" w:line="143"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distribution agent, transfer agent, and registrar for Octave Shares?</w:t>
      </w:r>
    </w:p>
    <w:p>
      <w:pPr>
        <w:spacing w:after="0" w:line="175" w:lineRule="exact"/>
        <w:rPr>
          <w:sz w:val="20"/>
          <w:szCs w:val="20"/>
          <w:color w:val="auto"/>
        </w:rPr>
      </w:pPr>
    </w:p>
    <w:p>
      <w:pPr>
        <w:ind w:left="660" w:right="260" w:hanging="652"/>
        <w:spacing w:after="0" w:line="261" w:lineRule="auto"/>
        <w:tabs>
          <w:tab w:leader="none" w:pos="6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agent, transfer agent, and registrar for Octave Shares will be Computershare Trust Company, N.A. For questions relating to the transfer or mechanics of the Distribution, you should contact Computershare Trust Company, N.A. at (866) 644 4127 (within the United States, U.S. territories, and Canada) or at +1 (781) 575 2906 (outside the United States, U.S. territories, and Canada) or by web.queries@computershare.com.</w:t>
      </w:r>
    </w:p>
    <w:p>
      <w:pPr>
        <w:spacing w:after="0" w:line="122"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custodian bank for the Octave SDRs?</w:t>
      </w:r>
    </w:p>
    <w:p>
      <w:pPr>
        <w:spacing w:after="0" w:line="175" w:lineRule="exact"/>
        <w:rPr>
          <w:sz w:val="20"/>
          <w:szCs w:val="20"/>
          <w:color w:val="auto"/>
        </w:rPr>
      </w:pPr>
    </w:p>
    <w:p>
      <w:pPr>
        <w:ind w:left="640" w:hanging="632"/>
        <w:spacing w:after="0"/>
        <w:tabs>
          <w:tab w:leader="none" w:pos="6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bank for the Octave SDRs will be:</w:t>
      </w:r>
    </w:p>
    <w:p>
      <w:pPr>
        <w:spacing w:after="0" w:line="171" w:lineRule="exact"/>
        <w:rPr>
          <w:rFonts w:ascii="Times New Roman" w:cs="Times New Roman" w:eastAsia="Times New Roman" w:hAnsi="Times New Roman"/>
          <w:sz w:val="18"/>
          <w:szCs w:val="18"/>
          <w:color w:val="auto"/>
        </w:rPr>
      </w:pPr>
    </w:p>
    <w:p>
      <w:pPr>
        <w:ind w:left="660" w:right="7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Skandinaviska Enskilda Banken AB (publ) Kungsträdgårdsgatan 8</w:t>
      </w:r>
    </w:p>
    <w:p>
      <w:pPr>
        <w:ind w:left="660" w:right="90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SE-106 40 Stockholm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13" w:right="339" w:bottom="1440" w:gutter="0" w:footer="0" w:header="0"/>
        </w:sectPr>
      </w:pPr>
    </w:p>
    <w:bookmarkStart w:id="183" w:name="page184"/>
    <w:bookmarkEnd w:id="183"/>
    <w:p>
      <w:pPr>
        <w:ind w:left="652"/>
        <w:spacing w:after="0"/>
        <w:rPr>
          <w:sz w:val="20"/>
          <w:szCs w:val="20"/>
          <w:color w:val="auto"/>
        </w:rPr>
      </w:pPr>
      <w:r>
        <w:rPr>
          <w:rFonts w:ascii="Times New Roman" w:cs="Times New Roman" w:eastAsia="Times New Roman" w:hAnsi="Times New Roman"/>
          <w:sz w:val="18"/>
          <w:szCs w:val="18"/>
          <w:color w:val="auto"/>
        </w:rPr>
        <w:t>Email: seb.sdr@seb.se</w:t>
      </w:r>
    </w:p>
    <w:p>
      <w:pPr>
        <w:spacing w:after="0" w:line="171"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For questions relating to the transfer or mechanics of the Octave SDRs in connection with the Distribution, you should contact Computershare Trust Company, N.A. at (866) 644 4127 (within the United States, U.S. territories, and Canada), at +1 (781) 575 2906 (outside the United States, U.S. territories, and Canada) or by email at web.queries@computershare.com.</w:t>
      </w:r>
    </w:p>
    <w:p>
      <w:pPr>
        <w:spacing w:after="0" w:line="118" w:lineRule="exact"/>
        <w:rPr>
          <w:sz w:val="20"/>
          <w:szCs w:val="20"/>
          <w:color w:val="auto"/>
        </w:rPr>
      </w:pPr>
    </w:p>
    <w:p>
      <w:pPr>
        <w:ind w:left="652" w:hanging="652"/>
        <w:spacing w:after="0"/>
        <w:tabs>
          <w:tab w:leader="none" w:pos="652"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get more information?</w:t>
      </w:r>
    </w:p>
    <w:p>
      <w:pPr>
        <w:spacing w:after="0" w:line="175" w:lineRule="exact"/>
        <w:rPr>
          <w:sz w:val="20"/>
          <w:szCs w:val="20"/>
          <w:color w:val="auto"/>
        </w:rPr>
      </w:pPr>
    </w:p>
    <w:p>
      <w:pPr>
        <w:ind w:left="652" w:hanging="652"/>
        <w:spacing w:after="0" w:line="282" w:lineRule="auto"/>
        <w:tabs>
          <w:tab w:leader="none" w:pos="64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Octave Shares, you should contact the distribution agent, transfer agent, and registrar of Octave.</w:t>
      </w:r>
    </w:p>
    <w:p>
      <w:pPr>
        <w:spacing w:after="0" w:line="10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 question relating to the mechanics of the Octave SDRs, you should contact SEB.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232"/>
          </w:cols>
          <w:pgMar w:left="328" w:top="1404"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Gross Retention Rate (“GRR”) was 97% and GRR for Large Customers was 99%. Further, as of December 31, 2025 and 2024, Net Retention Rate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25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8" w:lineRule="exact"/>
        <w:rPr>
          <w:sz w:val="20"/>
          <w:szCs w:val="20"/>
          <w:color w:val="auto"/>
        </w:rPr>
      </w:pPr>
    </w:p>
    <w:p>
      <w:pPr>
        <w:jc w:val="both"/>
        <w:ind w:left="640" w:hanging="322"/>
        <w:spacing w:after="0" w:line="266" w:lineRule="auto"/>
        <w:tabs>
          <w:tab w:leader="none" w:pos="63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Supports 3D modeling, engineering analysis, simulation, and geospatial intelligence. This helps teams create information-rich digital representations that serve as the basis for downstream activities. The Design workflow environment represents approximately 40%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Connects engineering, procurement, fabrication, construction, and commissioning workflows. This helps teams coordinate materials, track progress, manage changes, and improve cost and schedule predictability. The Build workflow environment represents approximately 10%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1" w:lineRule="auto"/>
        <w:tabs>
          <w:tab w:leader="none" w:pos="63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Unifies operational data, historical information, maintenance activities, quality systems, and worker tools. This enables real-time insight, predictive intelligence, operational technology cyber security, and improved asset and system performance. The Operate workflow environment represents approximately 30% of the revenue of the Octave Business for the year ended December 31, 2025.</w:t>
      </w:r>
    </w:p>
    <w:p>
      <w:pPr>
        <w:spacing w:after="0" w:line="125"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Supports public safety and physical security workflows. This includes incident response, emergency management, situational awareness, digital security, and regulatory compliance. The Protect workflow environment represents approximately 20% of the revenue of the Octave Business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07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left="6" w:right="20"/>
        <w:spacing w:after="0" w:line="256"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9" w:lineRule="exact"/>
        <w:rPr>
          <w:sz w:val="20"/>
          <w:szCs w:val="20"/>
          <w:color w:val="auto"/>
        </w:rPr>
      </w:pPr>
    </w:p>
    <w:tbl>
      <w:tblPr>
        <w:tblLayout w:type="fixed"/>
        <w:tblInd w:w="456" w:type="dxa"/>
        <w:tblCellMar>
          <w:top w:w="0" w:type="dxa"/>
          <w:left w:w="0" w:type="dxa"/>
          <w:bottom w:w="0" w:type="dxa"/>
          <w:right w:w="0" w:type="dxa"/>
        </w:tblCellMar>
      </w:tblPr>
      <w:tr>
        <w:trPr>
          <w:trHeight w:val="243"/>
        </w:trPr>
        <w:tc>
          <w:tcPr>
            <w:tcW w:w="1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1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Operate</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w:t>
            </w: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$8.7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6"/>
          </w:cols>
          <w:pgMar w:left="994" w:top="1440" w:right="999" w:bottom="1440" w:gutter="0" w:footer="0" w:header="0"/>
          <w:type w:val="continuous"/>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56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6"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06"/>
          </w:cols>
          <w:pgMar w:left="994" w:top="1440" w:right="99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6"/>
          </w:cols>
          <w:pgMar w:left="994" w:top="1440" w:right="999" w:bottom="1440" w:gutter="0" w:footer="0" w:header="0"/>
          <w:type w:val="continuous"/>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   Light process industries (e.g. pharmaceuticals &amp; life sciences, pulp &amp; paper manufacturing, food &amp; beverage manufacturing)</w:t>
      </w:r>
    </w:p>
    <w:p>
      <w:pPr>
        <w:spacing w:after="0" w:line="171" w:lineRule="exact"/>
        <w:rPr>
          <w:sz w:val="20"/>
          <w:szCs w:val="20"/>
          <w:color w:val="auto"/>
        </w:rPr>
      </w:pPr>
    </w:p>
    <w:p>
      <w:pPr>
        <w:ind w:left="326" w:hanging="326"/>
        <w:spacing w:after="0"/>
        <w:tabs>
          <w:tab w:leader="none" w:pos="32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ind w:left="6" w:right="20"/>
        <w:spacing w:after="0" w:line="281" w:lineRule="auto"/>
        <w:rPr>
          <w:sz w:val="20"/>
          <w:szCs w:val="20"/>
          <w:color w:val="auto"/>
        </w:rPr>
      </w:pPr>
      <w:r>
        <w:rPr>
          <w:rFonts w:ascii="Times New Roman" w:cs="Times New Roman" w:eastAsia="Times New Roman" w:hAnsi="Times New Roman"/>
          <w:sz w:val="17"/>
          <w:szCs w:val="17"/>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6"/>
          </w:cols>
          <w:pgMar w:left="994" w:top="1440" w:right="999" w:bottom="1440" w:gutter="0" w:footer="0" w:header="0"/>
          <w:type w:val="continuous"/>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ind w:left="6"/>
        <w:spacing w:after="0" w:line="219"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75" w:lineRule="exact"/>
        <w:rPr>
          <w:sz w:val="20"/>
          <w:szCs w:val="20"/>
          <w:color w:val="auto"/>
        </w:rPr>
      </w:pPr>
    </w:p>
    <w:p>
      <w:pPr>
        <w:jc w:val="both"/>
        <w:ind w:left="6" w:right="20"/>
        <w:spacing w:after="0" w:line="266"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On April 24, 2026, Hexagon’s shareholders at a general meeting of Hexagon approved the Distribution.</w:t>
      </w:r>
    </w:p>
    <w:p>
      <w:pPr>
        <w:spacing w:after="0" w:line="122"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To complete the Distribution, Hexagon will distribute to its shareholders all of the issued share capital of Octave. Octave Shares will be distributed on the Distribution Date to holders of record of Hexagon Shares on the record date. Each such holder will receive one</w:t>
      </w:r>
    </w:p>
    <w:p>
      <w:pPr>
        <w:ind w:left="266" w:hanging="266"/>
        <w:spacing w:after="0"/>
        <w:tabs>
          <w:tab w:leader="none" w:pos="26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Class A Ordinary Share for every ten (10) Hexagon Class A Shares and one (1) Octave Class B Ordinary Share for every ten</w:t>
      </w:r>
    </w:p>
    <w:p>
      <w:pPr>
        <w:spacing w:after="0" w:line="9" w:lineRule="exact"/>
        <w:rPr>
          <w:rFonts w:ascii="Times New Roman" w:cs="Times New Roman" w:eastAsia="Times New Roman" w:hAnsi="Times New Roman"/>
          <w:sz w:val="18"/>
          <w:szCs w:val="18"/>
          <w:color w:val="auto"/>
        </w:rPr>
      </w:pPr>
    </w:p>
    <w:p>
      <w:pPr>
        <w:jc w:val="both"/>
        <w:ind w:left="6" w:right="20" w:hanging="6"/>
        <w:spacing w:after="0" w:line="253" w:lineRule="auto"/>
        <w:tabs>
          <w:tab w:leader="none" w:pos="35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as of the record date. The Octave Class B Ordinary Shares will be delivered to 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6"/>
          </w:cols>
          <w:pgMar w:left="994" w:top="1440" w:right="99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04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6130" cy="72047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Estimated Unaudited Financial Results for the Three Months Ended March 31, 2026</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for the three months ended March 31, 2026 and 2025. The financial information for the three months ended March 31, 2026 represents preliminary estimated financial results and the financial information for the three months ended March 31, 2025 represents actual financial results. The Company is presenting preliminary estimated financial results for the three months ended March 31, 2026 to provide incremental useful information to investors regarding our results of operations.</w:t>
      </w:r>
    </w:p>
    <w:p>
      <w:pPr>
        <w:spacing w:after="0" w:line="1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preliminary estimated financial results have been derived from Hexagon’s accounting records and are prepared on the same basis as the annual Combined Financial Statements included elsewhere in this information statement. Additionally, management has presented a range of financial results for the three months ended March 31, 2026 because the Company’s closing procedures are not yet complete and the preliminary estimates of the financial results are based solely on information available as of the date hereof in reliance on the accounting systems and processes in place. These preliminary estimated financial results remain subject to the completion of management’s final review and other closing procedures and are therefore inherently uncertain and subject to change. Actual results are not expected to differ materially from that reflected in the preliminary results. Further, these preliminary estimates are not a comprehensive statement of financial results and should not be viewed as a substitute for full financial statements prepared in accordance with U.S. GAAP.</w:t>
      </w:r>
    </w:p>
    <w:p>
      <w:pPr>
        <w:spacing w:after="0" w:line="13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preliminary estimated financial results included in this information statement have been prepared by, and are the responsibility of, Octave’s management. PricewaterhouseCoopers AB has not audited, reviewed, examined, compiled, nor applied agreed-upon procedures with respect to the preliminary financial results. Accordingly, PricewaterhouseCoopers AB does not express an opinion or any other form of assurance with respect thereto.</w:t>
      </w:r>
    </w:p>
    <w:p>
      <w:pPr>
        <w:spacing w:after="0" w:line="12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preliminary estimated financial results constitute forward-looking statements within the meaning of the federal securities laws and are subject to risks and uncertainties, including possible adjustments. See “Cautionary Note Regarding Forward-Looking Statements” for further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16"/>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4"/>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licenses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73,800</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r>
      <w:tr>
        <w:trPr>
          <w:trHeight w:val="22"/>
        </w:trPr>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SaaS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r>
      <w:tr>
        <w:trPr>
          <w:trHeight w:val="234"/>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116,948</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273,600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258,832</w:t>
            </w:r>
          </w:p>
        </w:tc>
      </w:tr>
      <w:tr>
        <w:trPr>
          <w:trHeight w:val="23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5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r>
      <w:tr>
        <w:trPr>
          <w:trHeight w:val="229"/>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r>
      <w:tr>
        <w:trPr>
          <w:trHeight w:val="248"/>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consistent to small increase in Revenue for the three months ended March 31, 2026 as compared to the three months ended March 31, 2025. The Company estimates Revenue to range from $378.8 million to $394.2 million for the three months ended March 31, 2026, as compared to $382.8 million for the three months ended March 31, 2025.</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920"/>
          </w:cols>
          <w:pgMar w:left="980" w:top="1440" w:right="999" w:bottom="1440" w:gutter="0" w:footer="0" w:header="0"/>
          <w:type w:val="continuous"/>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10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Subscriptions revenue growth remains the primary driver for the overall portfolio led by SaaS sales which reflected strong market demand, followed by Maintenance subscription growth which was primarily driven by currency translation effects, and a slight decline in Subscription licenses. Licenses sales slowed due to a customer shift to SaaS, and Subscription licenses and Services and other revenues declined due to the divestiture of non-core businesses in the second half of last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29"/>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w:t>
            </w: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29"/>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decrease in Income from operations for the three months ended March 31, 2026 as compared to the three months ended March 31, 2025. The Company estimates Income from operations to range from $63.8 million to $66.3 million for the three months ended March 31, 2026, as compared to $73.9 million for the three months ended March 31, 2025.</w:t>
      </w:r>
    </w:p>
    <w:p>
      <w:pPr>
        <w:spacing w:after="0" w:line="12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decrease in Income from operations is driven by a combination of incremental costs incurred in preparation for operating as a standalone public company, incremental marketing costs, ongoing wage inflation, and increased amortization of developed technologies as the Company continues new releases of developed product solutions for sale, which was partly offset by cost savings from restructuring actions taken in the second half of last year.</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Adjusted income from operations</w:t>
      </w:r>
    </w:p>
    <w:p>
      <w:pPr>
        <w:spacing w:after="0" w:line="17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decrease in Adjusted income from operations for the three months ended March 31, 2026 as compared to the three months ended March 31, 2025. The Company estimates Adjusted income from operations to range from $112.2 million to $116.7 million for the three months ended March 31, 2026, as compared to $116.9 million for the three months ended March 31, 2025.</w:t>
      </w:r>
    </w:p>
    <w:p>
      <w:pPr>
        <w:spacing w:after="0" w:line="12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decrease in Adjusted income from operations is driven by a combination of incremental costs incurred in preparation for operating as a standalone public company, incremental marketing costs and ongoing wage inflation, which was partly offset by cost savings from restructuring actions taken in the second half of last year.</w:t>
      </w:r>
    </w:p>
    <w:p>
      <w:pPr>
        <w:spacing w:after="0" w:line="12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Adjusted income from operations is a non-GAAP measure that should not be considered in isolation or as a substitute for Income from operations calculated in accordance with U.S. GAAP. Adjusted income from operations excludes items that management believes are not indicative of Octave’s core operating performance, including amortization of acquired intangibles, amortization of developed technologies, stock-based compensation expense, impairment charges, acquisition costs and charges, restructuring charges, and stand-up costs. Management uses Adjusted income from operations as a supplemental measure to evaluate operating performance and to facilitate period-to-period comparisons. For more information about Adjusted Income from operations and Octave’s other non-GAAP financial measures, see “Management’s Discussion and Analysis of Financial Condition and Results of Operations—Non-GAAP Financial Measures.”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20"/>
          </w:cols>
          <w:pgMar w:left="980" w:top="1440" w:right="999" w:bottom="1440" w:gutter="0" w:footer="0" w:header="0"/>
          <w:type w:val="continuous"/>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auto"/>
        </w:rPr>
        <w:t xml:space="preserve"> for a description of the principal risks that Octave faces. Some of the more significant challenges and risks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5" w:lineRule="exact"/>
        <w:rPr>
          <w:sz w:val="20"/>
          <w:szCs w:val="20"/>
          <w:color w:val="auto"/>
        </w:rPr>
      </w:pPr>
    </w:p>
    <w:p>
      <w:pPr>
        <w:ind w:left="640" w:hanging="322"/>
        <w:spacing w:after="0" w:line="282"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no operating history as an independent, publicly-traded company, and Octave’s historical combined financial information may not be a reliable indicator of Octave’s future results.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Hexagon Class B Shares and Octave Class B Ordinary Shares may not equal or exceed the pre-Distribution value of Hexagon Class B Shares.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does not qualify as a transaction that is generally tax-free for U.S. federal income tax purposes, U.S. Holders could be subject to significant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Business</w:t>
      </w:r>
    </w:p>
    <w:p>
      <w:pPr>
        <w:spacing w:after="0" w:line="175" w:lineRule="exact"/>
        <w:rPr>
          <w:sz w:val="20"/>
          <w:szCs w:val="20"/>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operates in highly competitive markets and may not be able to remain commercially competitive.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its transition to a Software-as-a-Service business model.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protect and enhance Octave’s brand could have an adverse effect on its ability to grow.</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trade secret protection for certain of its core technologies, which may not adequately protect Octave’s intellectual property.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certain risks with respect to its counterparties on contracts, and improper conduct by Octave’s employees or business partners or third-party vendors could adversely affect Octave’s business.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strategic transactions, including those related to integration of new acquisitions, indemnifications under acquisition agreements, and contingent liabilities of divested businesses.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access capital, credit, and foreign exchange markets on favorable terms or at all.</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attract and retain the personnel it depends on to innovate and grow, particularly in AI and other advanced technologies.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implementation timelines, delays, or performance issues for our software solutions could expose Octave to potential liability or reputational harm.</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operations expose Octave to geopolitical, regulatory, and economic risks.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could face penalties and loss of contract eligibility if Octave’s government contracting subsidiary does not comply with applicable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Technology</w:t>
      </w:r>
    </w:p>
    <w:p>
      <w:pPr>
        <w:spacing w:after="0" w:line="175" w:lineRule="exact"/>
        <w:rPr>
          <w:sz w:val="20"/>
          <w:szCs w:val="20"/>
          <w:color w:val="auto"/>
        </w:rPr>
      </w:pPr>
    </w:p>
    <w:p>
      <w:pPr>
        <w:ind w:left="640" w:right="20" w:hanging="322"/>
        <w:spacing w:after="0" w:line="282" w:lineRule="auto"/>
        <w:tabs>
          <w:tab w:leader="none" w:pos="6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certain technologies that it does not own or control, including third-party commercially licensed and open-source software.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of Octave’s cloud-based platform or cybersecurity breaches could severely disrupt operations, and cybersecurity threats could result in costly breaches, liability, and rising cybersecurity insurance premiums.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00"/>
          </w:cols>
          <w:pgMar w:left="1000" w:top="1440" w:right="999" w:bottom="1440" w:gutter="0" w:footer="0" w:header="0"/>
          <w:type w:val="continuous"/>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122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 w:hanging="322"/>
        <w:spacing w:after="0" w:line="282" w:lineRule="auto"/>
        <w:tabs>
          <w:tab w:leader="none" w:pos="63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software development approach may lead to inconsistent oversight and quality control, and Octave’s software may contain unknown vulnerabilities, defects, or otherwise fail to perform as expected.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could reduce demand for Octave’s products.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business is dependent upon substantial investment in information technology.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use of unsupported legacy products exposes Octave to potential liability and reputational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5" w:lineRule="exact"/>
        <w:rPr>
          <w:sz w:val="20"/>
          <w:szCs w:val="20"/>
          <w:color w:val="auto"/>
        </w:rPr>
      </w:pPr>
    </w:p>
    <w:p>
      <w:pPr>
        <w:jc w:val="both"/>
        <w:ind w:left="640" w:right="20" w:hanging="322"/>
        <w:spacing w:after="0" w:line="266" w:lineRule="auto"/>
        <w:tabs>
          <w:tab w:leader="none" w:pos="63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spacing w:after="0" w:line="12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become involved in litigation, including securities litigation, arbitration, governmental proceedings, and stemming from third-party conduct beyond Octave’s control.</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software products could be subject to unauthorized access, misuse, or diversion, which may result in serious legal, regulatory, and reputational consequences.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Octave Class B Ordinary Shares and Octave SDRs</w:t>
      </w:r>
    </w:p>
    <w:p>
      <w:pPr>
        <w:spacing w:after="0" w:line="175" w:lineRule="exact"/>
        <w:rPr>
          <w:sz w:val="20"/>
          <w:szCs w:val="20"/>
          <w:color w:val="auto"/>
        </w:rPr>
      </w:pPr>
    </w:p>
    <w:p>
      <w:pPr>
        <w:ind w:left="640" w:right="20" w:hanging="322"/>
        <w:spacing w:after="0" w:line="282"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Octave will be a “foreign private issuer,” which could make the Octave Class B Ordinary Shares less attractive to investors.</w:t>
      </w:r>
    </w:p>
    <w:p>
      <w:pPr>
        <w:spacing w:after="0" w:line="107"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the Octave Class B Ordinary Shares or Octave SDRs do not now exist and may not develop.</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or the possibility of such sales by existing shareholders of Hexagon shares, including our significant shareholder, Melker Schörling AB (“MSAB”), could cause Octave’s share price to decline.</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66"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MSAB.</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intend to pay dividends on the Octave Shares in the near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of the Octave Class B Ordinary Shares may be diluted in the future.</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implement effective internal controls over financial reporting, and Octave’s disclosure controls and procedures may not prevent or detect all errors or acts of fraud.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not publish research or reports or may publish unfavorable research about Octave’s business, and may downgrade Octave Class B Ordinary Shares or our sector.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Jurisdiction of Incorporation in Ireland</w:t>
      </w:r>
    </w:p>
    <w:p>
      <w:pPr>
        <w:spacing w:after="0" w:line="175" w:lineRule="exact"/>
        <w:rPr>
          <w:sz w:val="20"/>
          <w:szCs w:val="20"/>
          <w:color w:val="auto"/>
        </w:rPr>
      </w:pPr>
    </w:p>
    <w:p>
      <w:pPr>
        <w:jc w:val="both"/>
        <w:ind w:left="640" w:right="20" w:hanging="322"/>
        <w:spacing w:after="0" w:line="261" w:lineRule="auto"/>
        <w:tabs>
          <w:tab w:leader="none" w:pos="63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imposes restrictions on certain aspects of capital management and payment of dividends.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Octave’s shares may be subject to Irish stamp duty or Irish capital acquisitions tax.</w:t>
      </w:r>
    </w:p>
    <w:p>
      <w:pPr>
        <w:sectPr>
          <w:pgSz w:w="11900" w:h="16838" w:orient="portrait"/>
          <w:cols w:equalWidth="0" w:num="1">
            <w:col w:w="9900"/>
          </w:cols>
          <w:pgMar w:left="1000" w:top="1440" w:right="99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00"/>
          </w:cols>
          <w:pgMar w:left="1000" w:top="1440" w:right="999" w:bottom="947" w:gutter="0" w:footer="0" w:header="0"/>
          <w:type w:val="continuous"/>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76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SUMMARY OF THE SEPARATION AND THE DISTRIBUTION</w:t>
            </w:r>
          </w:p>
        </w:tc>
        <w:tc>
          <w:tcPr>
            <w:tcW w:w="0" w:type="dxa"/>
            <w:vAlign w:val="bottom"/>
          </w:tcPr>
          <w:p>
            <w:pPr>
              <w:spacing w:after="0"/>
              <w:rPr>
                <w:sz w:val="1"/>
                <w:szCs w:val="1"/>
                <w:color w:val="auto"/>
              </w:rPr>
            </w:pPr>
          </w:p>
        </w:tc>
      </w:tr>
      <w:tr>
        <w:trPr>
          <w:trHeight w:val="378"/>
        </w:trPr>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Please see “The Separation and the Distribution” for a more detailed description of the matters described below.</w:t>
            </w:r>
          </w:p>
        </w:tc>
        <w:tc>
          <w:tcPr>
            <w:tcW w:w="0" w:type="dxa"/>
            <w:vAlign w:val="bottom"/>
          </w:tcPr>
          <w:p>
            <w:pPr>
              <w:spacing w:after="0"/>
              <w:rPr>
                <w:sz w:val="1"/>
                <w:szCs w:val="1"/>
                <w:color w:val="auto"/>
              </w:rPr>
            </w:pPr>
          </w:p>
        </w:tc>
      </w:tr>
      <w:tr>
        <w:trPr>
          <w:trHeight w:val="37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Distributing Company</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Hexagon AB is a Swedish corporation (</w:t>
            </w:r>
            <w:r>
              <w:rPr>
                <w:rFonts w:ascii="Times New Roman" w:cs="Times New Roman" w:eastAsia="Times New Roman" w:hAnsi="Times New Roman"/>
                <w:sz w:val="18"/>
                <w:szCs w:val="18"/>
                <w:i w:val="1"/>
                <w:iCs w:val="1"/>
                <w:color w:val="auto"/>
              </w:rPr>
              <w:t>Aktiebolag</w:t>
            </w:r>
            <w:r>
              <w:rPr>
                <w:rFonts w:ascii="Times New Roman" w:cs="Times New Roman" w:eastAsia="Times New Roman" w:hAnsi="Times New Roman"/>
                <w:sz w:val="18"/>
                <w:szCs w:val="18"/>
                <w:color w:val="auto"/>
              </w:rPr>
              <w:t>) and, prior to the</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Distribution, is engaged principally in the development of technologies</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that focus on connecting and automating production and people-centered</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ecosystems,  across  a  range  of  applications,  including  industrial</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manufacturing, infrastructure development, public sector management,</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and mobility solutions. Following the Distribution, Hexagon will focus on</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its core mission: helping industrial customers address labor shortages and</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embrace  sustainability  via  its  advanced  capabilities  in  precision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measurement, reality capture, positioning and autonomy technologies, and</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robotic solutions.</w:t>
            </w:r>
          </w:p>
        </w:tc>
        <w:tc>
          <w:tcPr>
            <w:tcW w:w="0" w:type="dxa"/>
            <w:vAlign w:val="bottom"/>
          </w:tcPr>
          <w:p>
            <w:pPr>
              <w:spacing w:after="0"/>
              <w:rPr>
                <w:sz w:val="1"/>
                <w:szCs w:val="1"/>
                <w:color w:val="auto"/>
              </w:rPr>
            </w:pPr>
          </w:p>
        </w:tc>
      </w:tr>
      <w:tr>
        <w:trPr>
          <w:trHeight w:val="23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Company</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is an Irish public limited company and, prior to the Distribution, a</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wholly owned subsidiary of Hexagon. Following the Distribution, Octave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will be an independent publicly-traded company and will own and operate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Octave Business, focusing on being a global provider of software for</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enterprises, organizations, and governments to design, build, operate,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protect critical industrial and infrastructure assets. Please see the sections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of this information statement entitled “</w:t>
            </w:r>
            <w:r>
              <w:rPr>
                <w:rFonts w:ascii="Times New Roman" w:cs="Times New Roman" w:eastAsia="Times New Roman" w:hAnsi="Times New Roman"/>
                <w:sz w:val="18"/>
                <w:szCs w:val="18"/>
                <w:color w:val="0000FF"/>
              </w:rPr>
              <w:t>Business of Octave</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Management’s Discussion and Analysis of Financial Condition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Results of Operations</w:t>
            </w:r>
            <w:r>
              <w:rPr>
                <w:rFonts w:ascii="Times New Roman" w:cs="Times New Roman" w:eastAsia="Times New Roman" w:hAnsi="Times New Roman"/>
                <w:sz w:val="18"/>
                <w:szCs w:val="18"/>
                <w:color w:val="000000"/>
              </w:rPr>
              <w:t>” for information concerning the Octave Business.</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Ratio</w:t>
            </w:r>
          </w:p>
        </w:tc>
        <w:tc>
          <w:tcPr>
            <w:tcW w:w="2260" w:type="dxa"/>
            <w:vAlign w:val="bottom"/>
          </w:tcPr>
          <w:p>
            <w:pPr>
              <w:spacing w:after="0"/>
              <w:rPr>
                <w:sz w:val="22"/>
                <w:szCs w:val="22"/>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holder of Hexagon Class A Shares and/or Hexagon Class B Shares</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as of the record date will receive a distribution of one (1) Octave Class A</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Ordinary Share for every ten (10) Hexagon Class A Shares and one (1)</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Octave Class B Ordinary Share for every ten (10) Hexagon Class B Shares</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held as of the record date.</w:t>
            </w:r>
          </w:p>
        </w:tc>
        <w:tc>
          <w:tcPr>
            <w:tcW w:w="0" w:type="dxa"/>
            <w:vAlign w:val="bottom"/>
          </w:tcPr>
          <w:p>
            <w:pPr>
              <w:spacing w:after="0"/>
              <w:rPr>
                <w:sz w:val="1"/>
                <w:szCs w:val="1"/>
                <w:color w:val="auto"/>
              </w:rPr>
            </w:pPr>
          </w:p>
        </w:tc>
      </w:tr>
      <w:tr>
        <w:trPr>
          <w:trHeight w:val="28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to be Distributed</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Class A Ordinary Shares and Octave Class B Ordinary Shares.</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Non-affiliate holders of Hexagon Class B Shares will receive Octave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Class B Ordinary Shares by way of SEB issuing Octave SDRs that each</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represent one underlying Octave Class B Ordinary Share into such</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holders’ Euroclear Sweden accounts. Octave intends to maintain the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Octave SDR Program until further notice, which Octave expects to be for</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about two years following the Distribution; however, Octave intends to</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evaluate the Octave SDR Program over time in light of liquidity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relative trading volume on Nasdaq Stockholm and Nasdaq New York.</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There can be no assurance that the Octave SDR Program will be</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maintained for this period.</w:t>
            </w:r>
          </w:p>
        </w:tc>
        <w:tc>
          <w:tcPr>
            <w:tcW w:w="0" w:type="dxa"/>
            <w:vAlign w:val="bottom"/>
          </w:tcPr>
          <w:p>
            <w:pPr>
              <w:spacing w:after="0"/>
              <w:rPr>
                <w:sz w:val="1"/>
                <w:szCs w:val="1"/>
                <w:color w:val="auto"/>
              </w:rPr>
            </w:pP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Fractional Shares and SDRs</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Fractional  Octave  Shares  and  fractional  Octave  SDRs  will  not  be</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distributed.  Instead,  Computershare,  in  its  capacity  as  transfer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distribution agent, will aggregate fractional Octave Shares into whole</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shares and then sell the whole shares on Nasdaq New York, while SEB, in</w:t>
            </w:r>
          </w:p>
        </w:tc>
        <w:tc>
          <w:tcPr>
            <w:tcW w:w="0" w:type="dxa"/>
            <w:vAlign w:val="bottom"/>
          </w:tcPr>
          <w:p>
            <w:pPr>
              <w:spacing w:after="0"/>
              <w:rPr>
                <w:sz w:val="1"/>
                <w:szCs w:val="1"/>
                <w:color w:val="auto"/>
              </w:rPr>
            </w:pPr>
          </w:p>
        </w:tc>
      </w:tr>
    </w:tbl>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its capacity as custodian and issuer of the Octave SDRs, will aggregate fractional Octave SDRs into whole Octave SDRs and sell the whole Octave SDRs on Nasdaq Stockholm. In each case, the whole shares and</w:t>
      </w:r>
    </w:p>
    <w:p>
      <w:pPr>
        <w:spacing w:after="0" w:line="2" w:lineRule="exact"/>
        <w:rPr>
          <w:sz w:val="20"/>
          <w:szCs w:val="20"/>
          <w:color w:val="auto"/>
        </w:rPr>
      </w:pPr>
    </w:p>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whole Octave SDRs will be sold at prevailing rates and Computershare and SEB, as applicable, will distribute the net cash proceeds pro rata to each holder who would otherwise have been entitled to fractional shares or</w:t>
      </w:r>
    </w:p>
    <w:p>
      <w:pPr>
        <w:spacing w:after="0" w:line="2" w:lineRule="exact"/>
        <w:rPr>
          <w:sz w:val="20"/>
          <w:szCs w:val="20"/>
          <w:color w:val="auto"/>
        </w:rPr>
      </w:pPr>
    </w:p>
    <w:p>
      <w:pPr>
        <w:jc w:val="both"/>
        <w:ind w:left="4480" w:right="20"/>
        <w:spacing w:after="0" w:line="218" w:lineRule="auto"/>
        <w:rPr>
          <w:sz w:val="20"/>
          <w:szCs w:val="20"/>
          <w:color w:val="auto"/>
        </w:rPr>
      </w:pPr>
      <w:r>
        <w:rPr>
          <w:rFonts w:ascii="Times New Roman" w:cs="Times New Roman" w:eastAsia="Times New Roman" w:hAnsi="Times New Roman"/>
          <w:sz w:val="18"/>
          <w:szCs w:val="18"/>
          <w:color w:val="auto"/>
        </w:rPr>
        <w:t>fractional SDRs in the Distribution. These cash proceeds in respect of fractional shares or fractional SDRs generally will be taxable to those shareholders.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80"/>
          </w:cols>
          <w:pgMar w:left="1000" w:top="1440" w:right="1019" w:bottom="1440" w:gutter="0" w:footer="0" w:header="0"/>
          <w:type w:val="continuous"/>
        </w:sectPr>
      </w:pPr>
    </w:p>
    <w:bookmarkStart w:id="196" w:name="page197"/>
    <w:bookmarkEnd w:id="196"/>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Agent, Transfer Agent, and Registrar for the</w:t>
            </w: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r>
      <w:tr>
        <w:trPr>
          <w:trHeight w:val="234"/>
        </w:trPr>
        <w:tc>
          <w:tcPr>
            <w:tcW w:w="516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284"/>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Record Date</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record date is May 22, 2026.</w:t>
            </w:r>
          </w:p>
        </w:tc>
      </w:tr>
      <w:tr>
        <w:trPr>
          <w:trHeight w:val="238"/>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Date</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Distribution Date is expected to be 1:30 p.m., Stockholm time (the</w:t>
            </w:r>
          </w:p>
        </w:tc>
      </w:tr>
      <w:tr>
        <w:trPr>
          <w:trHeight w:val="234"/>
        </w:trPr>
        <w:tc>
          <w:tcPr>
            <w:tcW w:w="5160" w:type="dxa"/>
            <w:vAlign w:val="bottom"/>
            <w:tcBorders>
              <w:left w:val="single" w:sz="8" w:color="auto"/>
            </w:tcBorders>
          </w:tcPr>
          <w:p>
            <w:pPr>
              <w:spacing w:after="0"/>
              <w:rPr>
                <w:sz w:val="20"/>
                <w:szCs w:val="20"/>
                <w:color w:val="auto"/>
              </w:rPr>
            </w:pP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“Distribution Time”), on May 22, 2026.</w:t>
            </w:r>
          </w:p>
        </w:tc>
      </w:tr>
      <w:tr>
        <w:trPr>
          <w:trHeight w:val="238"/>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U.S.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tax-free for U.S. federal income tax purposes under Section 355 of the</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Code. Accordingly, it is expected that, except with respect to cash</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received in lieu of fractional Octave Shares or fractional Octave SDRs, no</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gain or loss should be recognized by you, and no amount should be</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included in your income, upon the receipt of Octave Shares or Octave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SDRs in the Distribution for U.S. federal income tax purposes. U.S.</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Holders (as defined in “Material U.S. Federal Income Tax Consequences”)</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will, however, recognize gain or loss for U.S. federal income tax purposes</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with respect to cash received in lieu of fractional Octave Shares or</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fractional Octave SDRs. You should consult your own tax advisor as to</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the particular consequences of the Distribution to you, including the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applicability and effect of any U.S. federal, state and local tax laws. For</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more information regarding the material U.S. federal income tax</w:t>
            </w: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U.S. Federal Income Tax</w:t>
            </w:r>
          </w:p>
        </w:tc>
      </w:tr>
      <w:tr>
        <w:trPr>
          <w:trHeight w:val="156"/>
        </w:trPr>
        <w:tc>
          <w:tcPr>
            <w:tcW w:w="5160" w:type="dxa"/>
            <w:vAlign w:val="bottom"/>
            <w:tcBorders>
              <w:left w:val="single" w:sz="8" w:color="auto"/>
            </w:tcBorders>
          </w:tcPr>
          <w:p>
            <w:pPr>
              <w:spacing w:after="0"/>
              <w:rPr>
                <w:sz w:val="13"/>
                <w:szCs w:val="13"/>
                <w:color w:val="auto"/>
              </w:rPr>
            </w:pPr>
          </w:p>
        </w:tc>
        <w:tc>
          <w:tcPr>
            <w:tcW w:w="280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Consequences</w:t>
            </w:r>
            <w:r>
              <w:rPr>
                <w:rFonts w:ascii="Times New Roman" w:cs="Times New Roman" w:eastAsia="Times New Roman" w:hAnsi="Times New Roman"/>
                <w:sz w:val="18"/>
                <w:szCs w:val="18"/>
                <w:color w:val="000000"/>
              </w:rPr>
              <w:t>.”</w:t>
            </w:r>
          </w:p>
        </w:tc>
        <w:tc>
          <w:tcPr>
            <w:tcW w:w="2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Irish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Under Irish tax law, holders of Hexagon Shares who are not tax resident in</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Ireland and who are entitled to an exemption from dividends withholding</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tax generally should not be subject to Irish tax as a result of the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Distribution, provided they do not have a branch or agency in Ireland</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through which a trade is carried on to which the holding of such shares.</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You should consult your own tax advisor as to the particular consequences</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of the Distribution to you, including the applicability and effect of Irish</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tax law. For more information regarding the material Irish tax</w:t>
            </w: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Irish Tax Consequences</w:t>
            </w:r>
            <w:r>
              <w:rPr>
                <w:rFonts w:ascii="Times New Roman" w:cs="Times New Roman" w:eastAsia="Times New Roman" w:hAnsi="Times New Roman"/>
                <w:sz w:val="18"/>
                <w:szCs w:val="18"/>
                <w:color w:val="auto"/>
              </w:rPr>
              <w:t>.”</w:t>
            </w: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Swedish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Hexagon has received a written confirmation from the Swedish Tax</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Agency that the Distribution, together with certain related transactions,</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qualifies as a transaction that is generally tax exempt for Swedish tax</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purposes under the Lex-ASEA rule. You should consult your own tax</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advisor as to the particular consequences of the Distribution to you,</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including the applicability and effect of Swedish tax law. For more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information regarding the material Swedish tax consequences, see</w:t>
            </w:r>
          </w:p>
        </w:tc>
      </w:tr>
      <w:tr>
        <w:trPr>
          <w:trHeight w:val="19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Material Swedish Tax Consequences</w:t>
            </w:r>
            <w:r>
              <w:rPr>
                <w:rFonts w:ascii="Times New Roman" w:cs="Times New Roman" w:eastAsia="Times New Roman" w:hAnsi="Times New Roman"/>
                <w:sz w:val="18"/>
                <w:szCs w:val="18"/>
                <w:color w:val="auto"/>
              </w:rPr>
              <w:t>.”</w:t>
            </w: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auto"/>
            </w:tcBorders>
            <w:gridSpan w:val="5"/>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 Stock Exchange Listing of Octave Class B Shares</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Shares. A “when-issued”</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market in Octave Class B Ordinary Shares may develop as soon as one</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New York business day prior to the record date for the Distribution.</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Octave has applied for the Class B Ordinary Shares to be listed on Nasdaq</w:t>
            </w:r>
          </w:p>
        </w:tc>
      </w:tr>
      <w:tr>
        <w:trPr>
          <w:trHeight w:val="234"/>
        </w:trPr>
        <w:tc>
          <w:tcPr>
            <w:tcW w:w="5160" w:type="dxa"/>
            <w:vAlign w:val="bottom"/>
            <w:tcBorders>
              <w:left w:val="single" w:sz="8" w:color="auto"/>
            </w:tcBorders>
          </w:tcPr>
          <w:p>
            <w:pPr>
              <w:spacing w:after="0"/>
              <w:rPr>
                <w:sz w:val="20"/>
                <w:szCs w:val="20"/>
                <w:color w:val="auto"/>
              </w:rPr>
            </w:pP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New York under the symbol “OCTV.”</w:t>
            </w:r>
          </w:p>
        </w:tc>
      </w:tr>
      <w:tr>
        <w:trPr>
          <w:trHeight w:val="631"/>
        </w:trPr>
        <w:tc>
          <w:tcPr>
            <w:tcW w:w="51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Stockholm Stock Exchange Listing of Octave SDRs</w:t>
            </w:r>
          </w:p>
        </w:tc>
        <w:tc>
          <w:tcPr>
            <w:tcW w:w="608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SDRs and Octave cannot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guarantee that one will develop. Octave intends to distribute interests in</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Octave Class B Ordinary Shares through an SDR program, with Octave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intending such Octave SDRs to be listed on Nasdaq Stockholm</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substantially concurrently with an intended listing of Octave Class B</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Ordinary Shares on Nasdaq New York. No assurance can be given that</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Octave’s listing applications will be approved. Octave intends to maintain</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the Octave SDR Program until further notice, which Octave expects to be</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for about two years. See “</w:t>
            </w:r>
            <w:r>
              <w:rPr>
                <w:rFonts w:ascii="Times New Roman" w:cs="Times New Roman" w:eastAsia="Times New Roman" w:hAnsi="Times New Roman"/>
                <w:sz w:val="18"/>
                <w:szCs w:val="18"/>
                <w:color w:val="0000FF"/>
              </w:rPr>
              <w:t>Description of Swedish Depository Receipts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Relationship  Between  Hexagon  and  Octave  After  the</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Following the Distribution, Octave and Hexagon will be separate public</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ind w:left="860"/>
              <w:spacing w:after="0" w:line="181" w:lineRule="exact"/>
              <w:rPr>
                <w:sz w:val="20"/>
                <w:szCs w:val="20"/>
                <w:color w:val="auto"/>
              </w:rPr>
            </w:pPr>
            <w:r>
              <w:rPr>
                <w:rFonts w:ascii="Times New Roman" w:cs="Times New Roman" w:eastAsia="Times New Roman" w:hAnsi="Times New Roman"/>
                <w:sz w:val="18"/>
                <w:szCs w:val="18"/>
                <w:color w:val="auto"/>
              </w:rPr>
              <w:t>Distribution</w:t>
            </w: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companies. Octave and Hexagon will enter into the Distribution</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Agreement and ancillary agreements for the purpose of accomplishing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separation and the distribution of our ordinary shares to Hexagon’s</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shareholders. These ancillary agreements will include the Tax</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Disaffiliation Agreement, the Employee Matters Agreement,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Transition Services Agreement, and a number of ongoing commercial</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relationships. These agreements will generally govern Octave’s</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relationship with Hexagon subsequent to the Distribution and will provide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for the allocation of employee benefit, tax, and some other liabilities and</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obligations attributable to periods prior to, at, and after the Distribution.</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The Distribution Agreement includes an agreement that Octave and</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Hexagon will provide each other with appropriate indemnities with respect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to liabilities arising out of the business being transferred to Octave by</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Hexagon. Octave will be party to other arrangements with Hexagon and</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its subsidiaries. See “</w:t>
            </w:r>
            <w:r>
              <w:rPr>
                <w:rFonts w:ascii="Times New Roman" w:cs="Times New Roman" w:eastAsia="Times New Roman" w:hAnsi="Times New Roman"/>
                <w:sz w:val="18"/>
                <w:szCs w:val="18"/>
                <w:color w:val="0000FF"/>
              </w:rPr>
              <w:t>Certain Relationships and Related Party Transactions</w:t>
            </w: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Borders>
              <w:left w:val="single" w:sz="8" w:color="auto"/>
            </w:tcBorders>
          </w:tcPr>
          <w:p>
            <w:pPr>
              <w:spacing w:after="0"/>
              <w:rPr>
                <w:sz w:val="14"/>
                <w:szCs w:val="14"/>
                <w:color w:val="auto"/>
              </w:rPr>
            </w:pPr>
          </w:p>
        </w:tc>
        <w:tc>
          <w:tcPr>
            <w:tcW w:w="538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—Relationship Between Hexagon and Octave After the Distribution</w:t>
            </w:r>
            <w:r>
              <w:rPr>
                <w:rFonts w:ascii="Times New Roman" w:cs="Times New Roman" w:eastAsia="Times New Roman" w:hAnsi="Times New Roman"/>
                <w:sz w:val="18"/>
                <w:szCs w:val="18"/>
                <w:color w:val="000000"/>
              </w:rPr>
              <w:t>.”</w:t>
            </w:r>
          </w:p>
        </w:tc>
        <w:tc>
          <w:tcPr>
            <w:tcW w:w="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Octave Dividend Policy</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Octave does not expect to pay a regular cash dividend in the near future.</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The payment of any dividends in the future, and the timing and amount</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thereof, is within the discretion of the Board of Directors. See “</w:t>
            </w:r>
            <w:r>
              <w:rPr>
                <w:rFonts w:ascii="Times New Roman" w:cs="Times New Roman" w:eastAsia="Times New Roman" w:hAnsi="Times New Roman"/>
                <w:sz w:val="18"/>
                <w:szCs w:val="18"/>
                <w:color w:val="0000FF"/>
              </w:rPr>
              <w:t>The</w:t>
            </w: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tcBorders>
          </w:tcPr>
          <w:p>
            <w:pPr>
              <w:spacing w:after="0"/>
              <w:rPr>
                <w:sz w:val="13"/>
                <w:szCs w:val="13"/>
                <w:color w:val="auto"/>
              </w:rPr>
            </w:pPr>
          </w:p>
        </w:tc>
        <w:tc>
          <w:tcPr>
            <w:tcW w:w="458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Separation and the Distribution—Dividend Policy</w:t>
            </w:r>
            <w:r>
              <w:rPr>
                <w:rFonts w:ascii="Times New Roman" w:cs="Times New Roman" w:eastAsia="Times New Roman" w:hAnsi="Times New Roman"/>
                <w:sz w:val="18"/>
                <w:szCs w:val="18"/>
                <w:color w:val="000000"/>
              </w:rPr>
              <w:t>.”</w:t>
            </w:r>
          </w:p>
        </w:tc>
        <w:tc>
          <w:tcPr>
            <w:tcW w:w="340" w:type="dxa"/>
            <w:vAlign w:val="bottom"/>
            <w:tcBorders>
              <w:top w:val="single" w:sz="8" w:color="0000FF"/>
            </w:tcBorders>
          </w:tcPr>
          <w:p>
            <w:pPr>
              <w:spacing w:after="0"/>
              <w:rPr>
                <w:sz w:val="13"/>
                <w:szCs w:val="13"/>
                <w:color w:val="auto"/>
              </w:rPr>
            </w:pPr>
          </w:p>
        </w:tc>
        <w:tc>
          <w:tcPr>
            <w:tcW w:w="116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Hexagon shareholders should carefully consider the matters discussed</w:t>
            </w: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98"/>
        </w:trPr>
        <w:tc>
          <w:tcPr>
            <w:tcW w:w="51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top w:val="single" w:sz="8" w:color="0000FF"/>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as of December 31, 2025 and December 31, 2024 and for the years ended December 31, 2025, 2024, and 2023. The selected historical combined financial information is based on the audited Combined Financial Statements of the Octave Business included elsewhere in this information statement, which is derived from the consolidated historical financial statements of Hexagon.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selected historical combined financial information presented below should be read in conjunction with Octave’s “Management’s Discussion and Analysis of Financial Condition and Results of Operations” and the audited Combined Financial Statements and accompanying Notes included elsewhere in this information statement. For each of the periods presented, the Octave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the Octave business on a stand-alone basis. Further, the historical combined financial information includes allocations of certain Hexagon corporate expenses.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Combined Financial Information, see “Cautionary Statement Concerning Forward-Looking Statements” and “Risk Factors” included elsewhere in this information statement.</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also present certain Unaudited Pro Forma Combined Financial Information of Octave as of December 31, 2025 and for the year ended December 31, 2025. The Unaudited Pro Forma Combined Financial Information is derived from Octave’s audited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Combined Financial Statements should be read in conjunction with Octave’s “Management’s Discussion and Analysis of Financial Condition and Results of Operations” and the audited Combined Financial Statements and accompanying Notes included elsewhere in this information statement. The Unaudited Pro Forma Combined Balance Sheet gives effect to the Pro Forma Transactions as if they had occurred on December 31, 2025, Octave’s latest balance sheet date. The Unaudited Pro Forma Combined Statement of Operations gives effect to the Pro Forma Transactions as if they had occurred on January 1, 2025, the first day of Octave’s fiscal year 2025. Refer to the “Unaudited Pro Forma Combined Financial Information” for further information.</w:t>
      </w:r>
    </w:p>
    <w:p>
      <w:pPr>
        <w:spacing w:after="0" w:line="13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selected historical unaudited combined quarterly financial information should be read in conjunction with the audited Combined Financial Statements and accompanying Notes included elsewhere in this information statement. The selected historical unaudited combined quarterly financial information has been prepared on the same basis as the annual Combined Financial Statements and, in the opinion of management, reflect all adjustments, which include only normal recurring adjustments, necessary for a fair statement of the results of operations for the periods presented. Quarterly historical results are not necessarily indicative of the results that may be expected for a full year or any other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00"/>
          </w:cols>
          <w:pgMar w:left="1000" w:top="1440" w:right="99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35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7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954,875</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7,673,687</w:t>
            </w:r>
          </w:p>
        </w:tc>
        <w:tc>
          <w:tcPr>
            <w:tcW w:w="0" w:type="dxa"/>
            <w:vAlign w:val="bottom"/>
          </w:tcPr>
          <w:p>
            <w:pPr>
              <w:spacing w:after="0"/>
              <w:rPr>
                <w:sz w:val="1"/>
                <w:szCs w:val="1"/>
                <w:color w:val="auto"/>
              </w:rPr>
            </w:pPr>
          </w:p>
        </w:tc>
      </w:tr>
      <w:tr>
        <w:trPr>
          <w:trHeight w:val="25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00"/>
          </w:cols>
          <w:pgMar w:left="980" w:top="1440" w:right="101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07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c>
          <w:tcPr>
            <w:tcW w:w="0" w:type="dxa"/>
            <w:vAlign w:val="bottom"/>
          </w:tcPr>
          <w:p>
            <w:pPr>
              <w:spacing w:after="0"/>
              <w:rPr>
                <w:sz w:val="1"/>
                <w:szCs w:val="1"/>
                <w:color w:val="auto"/>
              </w:rPr>
            </w:pP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Pro forma weighted average common shares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00"/>
          </w:cols>
          <w:pgMar w:left="980" w:top="1440" w:right="101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58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6130" cy="555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10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347,326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393,311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448,441</w:t>
            </w:r>
          </w:p>
        </w:tc>
        <w:tc>
          <w:tcPr>
            <w:tcW w:w="0" w:type="dxa"/>
            <w:vAlign w:val="bottom"/>
          </w:tcPr>
          <w:p>
            <w:pPr>
              <w:spacing w:after="0"/>
              <w:rPr>
                <w:sz w:val="1"/>
                <w:szCs w:val="1"/>
                <w:color w:val="auto"/>
              </w:rPr>
            </w:pPr>
          </w:p>
        </w:tc>
      </w:tr>
      <w:tr>
        <w:trPr>
          <w:trHeight w:val="21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103,706</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344,735</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101,868</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133,484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133,801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jc w:val="both"/>
        <w:ind w:left="340" w:hanging="323"/>
        <w:spacing w:after="0" w:line="283" w:lineRule="auto"/>
        <w:rPr>
          <w:sz w:val="20"/>
          <w:szCs w:val="20"/>
          <w:color w:val="auto"/>
        </w:rPr>
      </w:pPr>
      <w:r>
        <w:rPr>
          <w:rFonts w:ascii="Times New Roman" w:cs="Times New Roman" w:eastAsia="Times New Roman" w:hAnsi="Times New Roman"/>
          <w:sz w:val="14"/>
          <w:szCs w:val="14"/>
          <w:color w:val="auto"/>
        </w:rPr>
        <w:t>The Company has revised its presentation of certain expenses within Cost of revenue and General and administrative to correct their presentation in previously reported Condensed Combined Financial Statements. These revisions did not have a material impact on the Company’s combined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00"/>
          </w:cols>
          <w:pgMar w:left="980" w:top="1440" w:right="101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27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68,514</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244,615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361,073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392,397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402,092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446,805</w:t>
            </w: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106,967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111,248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285,430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295,774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335,557</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201,661</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133,896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134,354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72,447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115,286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980" w:top="1440" w:right="101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62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liquidity that Octave believes help investors understand Octave’s financial condition and operating results and assess Octave’s future prospects. For more information about Octave’s non-GAAP financial measures see “Management’s Discussion and Analysis of Financial Condition and Results of Operations—Non-GAAP Financial Measures.”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non-GAAP financial measures presented in the discussion of Octave’s performance and liquidity and the respective most directly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measures are:</w:t>
      </w:r>
    </w:p>
    <w:p>
      <w:pPr>
        <w:spacing w:after="0" w:line="108" w:lineRule="exact"/>
        <w:rPr>
          <w:sz w:val="20"/>
          <w:szCs w:val="20"/>
          <w:color w:val="auto"/>
        </w:rPr>
      </w:pPr>
    </w:p>
    <w:p>
      <w:pPr>
        <w:ind w:left="640" w:hanging="322"/>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operations—Income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margin—Operating margin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income—Net income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flow—Cash flow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30"/>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Free cash flow margin—Cash flow from operations margin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Octave presents certain measures in constant currency terms to exclude the estimated effects of foreign currency exchange rate fluctuations.</w:t>
      </w:r>
    </w:p>
    <w:p>
      <w:pPr>
        <w:spacing w:after="0" w:line="1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Octave uses these non-GAAP financial measures, and Octave believes that they assist Octave’s investors, to make period-to-period comparisons of Octave’s operational performance because they provide a view of Octave’s operating results and cash flows without items that are not, in Octave’s view, indicative of Octave’s core operating results. Octave believes that these non-GAAP financial measures, when used in conjunction with the most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results.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reconcile each of these non-GAAP financial measures to its most closely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on Octave’s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1000" w:top="1440" w:right="99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from operations margin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980" w:top="1440" w:right="1019" w:bottom="1440" w:gutter="0" w:footer="0" w:header="0"/>
          <w:type w:val="continuous"/>
        </w:sectPr>
      </w:pPr>
    </w:p>
    <w:bookmarkStart w:id="205" w:name="page206"/>
    <w:bookmarkEnd w:id="20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conduct of our business by Hexagon, and our operations since, have focused primarily on organizing, staffing, and preparing for the separation from Hexagon and the Distribution. Historically and through the Distribution Date,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information technology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Transactions—Relationship Between Hexagon and Octave After the Distribution.”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standalone U.S. public company, we will incur significant new legal, regulatory, accounting, and other expenses that we did not independently incur as part of Hexagon.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Nasdaq New York,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w:t>
      </w:r>
    </w:p>
    <w:p>
      <w:pPr>
        <w:spacing w:after="0" w:line="133" w:lineRule="exact"/>
        <w:rPr>
          <w:sz w:val="20"/>
          <w:szCs w:val="20"/>
          <w:color w:val="auto"/>
        </w:rPr>
      </w:pPr>
    </w:p>
    <w:p>
      <w:pPr>
        <w:ind w:left="660" w:hanging="328"/>
        <w:spacing w:after="0" w:line="282"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and other shareholder communications in compliance with federal securities laws and rules, MAR, the Transparency Directive and Nasdaq Stockholm’s Rulebook;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U.S. federal securities laws and rules and applicable stock exchange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inside information in compliance with MAR and Nasdaq Stockholm’s Rulebook;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disclosure requirements in respect of persons discharging managerial responsibilities and any person closely associated with them, pursuant to MAR;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 incur expenses to maintain a public stock listing;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information does not include an allocation of interest expense comparable to the interest expense we will incur as a result of the Distribution, including interest expense in connection with the incurrence of indebtedness by Octave.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and Distribution, we will have indebtedness that could adversely affect our business, cash flows,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Octave entered into a credit agreement providing for a senior unsecured credit facility consisting of (a) a five-year senior unsecured multi-currency revolving credit facility in an aggregate principal amount of up to $500 million (the “Revolving Credit Facility”) and (b) a four-year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 Octave expects that, upon completion of the Distribution,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Facility will be fully drawn. In addition, under the Credit Agreement, Octave is permitted to incur up to $250 million of additional incremental commitments, subject to customary conditions and lender participation.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Agreement, Octave is required to maintain a maximum consolidated leverage ratio as of the end of each fiscal quarter of no more than 3.50 to 1.00. Octave may elect to increase the maximum permitted consolidated leverage ratio to 4.00 to 1.00 for the fiscal quarter during which a material acquisition occurs and for the following three fiscal quarters. 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 For more information, see “Description of Material Indebtedness.”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Our indebtedness may impose restrictions on us that could have material adverse consequences by:</w:t>
      </w:r>
    </w:p>
    <w:p>
      <w:pPr>
        <w:spacing w:after="0" w:line="108" w:lineRule="exact"/>
        <w:rPr>
          <w:sz w:val="20"/>
          <w:szCs w:val="20"/>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payments on our indebtedness following the separation;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or redeem Octave Class A Ordinary Shares and/or Octave Class B Ordinary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expend resources to monitor and comply with covenants related to such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and Distribution may result in disruptions to, and negatively impact our relationships with, our customers, prospective customers, vendors, and other business partners.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activities are conducted in a large number of markets with multiple customer categories, 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 In addition, although Hexagon will continue to provide us with certain services under the Transition Services Agreement for a limited period after the Distribution, that agreement is temporary and limited and does not replicate the commercial, reputational or scale benefits customers associate with being part of Hexagon. As we transition to a standalone public company, our ability to leverage the infrastructure, resources and other synergies that come from being a part of the larger Hexagon Group will decrease, which may negatively affect customer sentiment and adversely affect our operations. In addition, some of our customers, prospective customers, vendors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partners accustomed to conducting business with larger organizations may not continue to do business with Octave following the separation and Distribution as a result of no longer being part of Hexagon. Furthermore, we expect to continue re-selling or distributing certain Hexagon products and services immediately following the Distribution that may expire or be wound down over time. For example, we expect our U.S. federal government business to continue to re-sell certain Hexagon products for a limited duration following the Distribution, which customer relationships will likely ultimately transition back to Hexagon over time.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prospective customers, vendors, or other parties with which we conduct business may need assurances that our scale, policies and/or attributes on a standalone basis are sufficient to satisfy their requirements or preferences for doing or continuing to do business with them. Any failure of parties to be satisfied with our operational capacity, financial stability or other business relationships following the Distribution could have a material adverse effect on our business, results of operations,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Hexagon Class B Shares and Octave Class B Ordinary Shares may not equal or exceed the pre-Distribution value of Hexagon Class B Shares.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 Relationship Between Hexagon and Octave After the Distribution.” Payments pursuant to these indemnities may be significant and could harm our business. Third parties could also seek to hold us responsible for liabilities of the Hexagon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related transactions may expose us to potential liabilities arising out of state and federal fraudulent conveyance laws and legal distribution requirements.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 would incur debts beyond its ability to pay such debts as they mature. If a court were to agree with such a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agreements related to the separation and Distribution, including, among others, the Distribution Agreement, the Tax Disaffiliation Agreement, the Employee Matters Agreement, the Transition Services Agreement, and other 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“Certain Relationships and Related Person Transactions—Relationship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global economy, the particular markets we serve, and the financial markets may adversely affect our future growth.</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technology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 customer service then we could lose market share, be forced to reduce prices, or experience slower growth. Similarly, failure to fully integrate our software solutions into an integrated platform and/or ecosystem may lead to a failure to attract or retain customers, which could materially adversely affect our results of operations. In addition, slow adoption of new technology offerings, high switching costs, and weak customer economic conditions may be an impediment to future purchasing decisions that could negatively impact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software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features or protocols, or respond to emerging trends in a timely manner may result in our solutions becoming outdated or incompatible with customer needs and industry standards.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to another vendor, we may experience reduced sales, increased customer churn, and reputational harm.</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SaaS business model presents significant risks, and failure to execute this strategy successfully could materially harm our financial performance.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the process of transitioning portions of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subscriptions revenue, potentially impacting short-term financial performance.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a substantial part of our revenue is generated from maintenance and support subscriptions for legacy software products, and our long-term success depends on migrating these customers to our newer offerings.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inability to transition customers to our new solutions could lead to a loss of revenue if current customers discontinue service or switch to competitors’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strong brand, and any failure to maintain, protect, and enhance our brand would have an adverse effect on our ability to grow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 investments in areas such as marketing, community relations, outreach technology, and employee training. There is a risk that those activities will not enhance brand awareness.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laws to protect the proprietary nature of our software, which may not adequately protect our intellectual property, and infringement, misappropriation, or dilution of our intellectual property could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 In addition, we may not be able to obtain or maintain adequate trademark registrations for our brand across all relevant trademark classes and jurisdictions in which we operate or intend to operate. Any limitations on our ability to enforce our trademark rights or prevent third parties from using similar marks could adversely affect our brand recognition and competitive position.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counterparties on contracts, and failure of such counterparties to meet their obligations could cause us to suffer losses or negatively impact our results of operations and cash flows.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 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 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exposed to risks that could lead to property damage and business interruption. Some of our potential losses may not be covered by insurance. We may not be able to obtain or maintain adequate insurance coverage.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important part of our current and future growth strategy is to actively pursue strategic acquisitions of companies and businesses. Accordingly, from time to time, we may consider strategic transactions, such as 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24 acquisitions, two of the most recent of which were completed in 2025 for an aggregate consideration of $16.8 million, net of cash acquired, two acquisitions in 2024 for an aggregate consideration of $30.6 million, net of cash acquired, and, in 2023, the acquisitions of Qognify and Projectmates were completed for an aggregate cash consideration of $348.0 million, net of cash acquired. Additional potential transactions that we may consider in the future include a variety of business arrangements, including spin-offs, strategic partnerships, joint ventures, restructurings, divestitures, business combinations, and investments.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on favorable terms or at all. These transactions may not be successful and may require significant time and attention of management.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spacing w:after="0" w:line="129" w:lineRule="exact"/>
        <w:rPr>
          <w:sz w:val="20"/>
          <w:szCs w:val="20"/>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or not perform in accordance with our anticipated timetable;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or strategic relationships;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cause our financial results to differ from our own estimates or the investment community’s expectations in any given period, or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strategic relationship;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liabilities or deficiencies mentioned above may increase our expenses, adversely affect our financial position, or cause us to fail to meet our public financial reporting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may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have recorded significant goodwill and other intangible assets on our balance sheet, and if we are not able to realize the value of these assets, we may be required to incur charges relating to the impairment of these assets;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strategic partners and we may not be able to direct the management and operations of the strategic relationship in the manner we believe is most appropriate, exposing us to additional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 Furthermore, consummation of transactions with desirable acquisition candidates may be subject to regulatory approvals, including, but not limited to the Committee on Foreign Investment in the United States, which may not be timely or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 and contingent liabilities from businesses that we have sold could adversely affect our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spin-off, split-off, or otherwise dispose of businesses that are deemed not to fit with our strategic plan or are not achieving the desired return on investment, including several in the past year.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and other terms, such as earn-outs. In addition, divestitures or other dispositions may reduce or dilute Octave’s earnings per share, have other adverse financial and accounting impacts, and distract management, and disputes may arise with buyers.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we have retained responsibility for and/or have agreed to indemnify buyers against some known and unknown contingent liabilities related to a number of businesses we have sold or disposed. Historical effects of such contingencies may not be indicative of their impact in the future, and future resolutions of these contingencies could accordingly have a material effect on our financial statements.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we may not be able to access the capital, credit, and foreign exchange markets on terms that are favorable to us, or at all, and our ability to meet our capital needs may be harmed by the loss of financial support from Hexagon.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results of operations, and financial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proportion of our operations are in currencies other than our reporting currency, and adverse changes in exchange rates could negatively affect our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hedge such foreign exchange risks in a cost-effective manner, and our financial results may be adversely affected by adverse movements in reported results when translated into our reporting currency, the U.S. dollar.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innovate and grow depends on our ability to attract, train, and retain highly skilled personnel, particularly in AI and other advanced technologies, and we may not be able to attract and retain key personnel.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 management team or other key employees, we may not be able to successfully manage our business or achieve our business objectives.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implementation timelines, delays, or performance issues for our software solutions in critical infrastructure projects could expose us to contractual risks or potential liability, customer dissatisfaction, or reputational harm.</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software implementations in critical infrastructure projects can sometimes require many months, sometimes multiple years, to complete due to the complexity of the systems and the highly regulated, mission-critical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performance, scalability, and quality issues with our offerings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geopolitical, regulatory, and economic risks that could materially impact our business operations and financial returns.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Geopolitical risk is a significant risk factor for global business, encompassing a broad range of issues such as political instability, shifting international relations, conflicts in the Middle East,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federal government contracting subsidiary is subject to stringent and evolving regulatory requirements, and failure to comply could result in audit findings, penalties, or loss of contract eligibility.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or maintain required certifications could limit our ability to compete for business, particularly in regulated markets.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offerings.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 innovations are at a nascent stage and may not grow at the rates or in the manner we expect. See “—Advances in AI could adversely affect our business model.”</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offerings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Technology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legal, compliance, or security issues could materially and adversely affect our operations, reputation,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or breach in security of, our information technology systems or data could adversely affect our business, reputation,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of our software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penalties under privacy laws or contractual provisions, and increased costs for security and remediation, each of which could have a material adverse effect on our business, results of operations, and financial position.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Outages of cloud-related infrastructure could severely disrupt our operations, which could reduce customer trust and decrease demand for our products and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widespread outage affecting our primary cloud infrastructure provider or hosting region, we may be unable to reroute traffic or restore service in a timely manner. A prolonged disruption or an unrecoverable 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software development is inherently susceptible to certain risks, including inconsistent oversight and quality control.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 components, or industry best practices. Any such failures could expose us to a variety of losses, including, but not limited to, regulatory penalties, contractual breaches, customer dissatisfaction, and potential operational failures.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AI could adversely affect our business model.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anticipate and adapt to these shifts in technology, including transitioning away from legacy revenue models and developing new and competitive offerings, we may experience declining sales, customer attrition, and reduced market relevance.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substantial and sustained investment in information technology, infrastructure and systems.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will require substantial investment in technology infrastructure systems, including supply chain management systems, digital commerce systems, process management, and connected solutions.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Such a transition would be time consuming, costly, and would require diversion of management resources. Our information systems are also dependent on uninterrupted provisions of service by certain external suppliers of technology and services.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or design defects or “bugs” in, safety or quality issues (or the perception of such issues) with respect to, or inadequate disclosure of risks relating to the use of products and services that we make or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items that we source from third parties) can lead to personal injury, death, property damage, or other liability.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offerings are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relies heavily on recurring revenue from long-term contracts with customers and the provision of ongoing support and maintenance. These customers demand high reliability and performance due to the 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vulnerabilities in our software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 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use of legacy products by customers, many of which are no longer supported or reviewed for security vulnerabilities, exposes us to potential liability and reputational risk.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Changing regulatory requirements and increasingly stringent rules in certain areas in which we work impose a risk of non-compliance with these regulations, which could potentially result in substantial legal fees and damage to 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 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economic policy conflicts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anti-money laundering, export control, sanctions and other trade laws and regulations, and can face serious consequences for violations.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contract-related issues could materially and adversely affect our business, prospects,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commercial or securities litigation, arbitration, and governmental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at us, our customers, vendors, or channel partners, or our or their respective business partners, could also result in the distraction of management resources and adversely affect our reputation.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could be subject to unauthorized access, misuse, or diversion, which may result in serious legal, regulatory, and reputational consequences.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may be subject to unauthorized copying, distribution, or use of our software,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shareholder approval.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adverse changes in applicable tax rates, unfavorable rulings by tax authorities, or other adverse changes to applicable tax guidelines and agreements.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through subsidiaries in a number of jurisdictions. Domestic or cross-border transactions, including restructurings, frequently present tax risks, for example due to complexity in local tax rules and/or the absence of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which may affect, for example, our U.S. federal income tax liability and claimed carrybacks of net operating losses.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tax-related risks could materially and adversely affect our business, prospects,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transaction that is generally tax-free for U.S. federal income tax purposes, U.S. Holders could be subject to significant tax liabilities.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 separation and Distribution, the opinion of tax counsel could be invalid and the conclusions reached therein could be jeopardized.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 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to treat us as a foreign corporation for U.S. federal income tax purposes.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incorporated in Ireland and expect to be tax resident solely in Ireland,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Ireland, we would generally be classified as a foreign corporation (and, therefore, a non-U.S. tax resident) under these rules. Section 7874 of the Code provides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 under which a foreign incorporated entity may, in certain circumstances, be treated as a U.S. corporation for U.S. federal income tax purposes.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 Class B Ordinary Shares and Octave SDRs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jc w:val="both"/>
        <w:ind w:firstLine="8"/>
        <w:spacing w:after="0" w:line="255" w:lineRule="auto"/>
        <w:tabs>
          <w:tab w:leader="none" w:pos="27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making insiders liable for profit from trades made in a short period of time; and (iii) the selective disclosure rules by issuers of material non-public information under Regulation FD. As a result, the information we are required to file with or furnish to the SEC will be less extensive compared to that required to be filed with the SEC by U.S. domestic issuers.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status as a foreign private issuer in the United States changes in the future, we may incur additional expenses and may divert management’s attention from other business concerns.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 residents and: (i) a majority of our directors or executive officers are U.S. citizens or residents; (ii) more than 50 per cent of our assets are located in the United States; or (iii) our business is administered principally in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distribute interests in Octave Class B Ordinary Shares through a temporary SDR program, and Octave SDR holders do not have the same rights as holders of Octave Class B Ordinary Shares.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Octave SDR holder will not have equivalent rights as holders of Octave Class B Ordinary Shares. The rights of Octave SDR holders will be set forth and described in the General Terms and Conditions. Although the General Terms and Conditions will generally allow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Octave SDR Program is terminated, holders of Octave SDRs will need to take affirmative steps and may incur costs to receive Octave Class B Ordinary Shares that are listed on Nasdaq New York.</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 cause increased volatility or negatively affect the trading price of the Octave Class B Ordinary Shares. This presents a significant risk to individual holders of Octave SDRs.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existing shareholders of Hexagon shares, including our significant shareholder, Melker Schörling AB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“MSAB”), may not wish to hold shares in Octave or may prefer to sell their holdings in Octave following the Distribution, and substantial sales or the possibility of such sales could cause our share price and the price of the Octave SDR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possibility or perceived possibility of sales by MSAB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share structure contained in our Articles has the effect of concentrating voting control and the ability to influence corporate matters with our significant shareholder, MSAB.</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our Articles,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Each holder is entitled to ten votes for each Octave Class A Ordinary Share that it holds as of the record date for a general meeting of shareholders and one vote for each Octave Class B Ordinary Share that it holds as of the record date for a general meeting of shareholders.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MSAB will hold 11,025,000 Octave Class A Ordinary Shares and 47,408,144 Octave Class B Ordinary Shares, representing approximately 42.9% of the total voting power of our share capital, and will therefore have significant influence over the results of all matters submitted to a vote of our shareholders, including the election of members of our Board of Directors and other corporate decisions. For so long as MSAB continues to own a significant percentage of Octave Class A Ordinary Shares, MSAB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MSAB will have substantial influence with respect to our management, business plans, and policies. The interests of MSAB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Octave Shares in the near future, so any returns will be limited to the value of such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in the near future. We do not intend to declare or pay any dividends in the near future, meaning that any returns will be limited to the value of Octave Shares, and we may not continue to pay any dividend if we nevertheless do commence the payment of dividends.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 Dividend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of Octave Class B Ordinary Shares may be diluted in the future.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of Octave Class B Ordinary Shares may be diluted because of equity issuances for acquisitions, capital market transactions, or otherwise, including equity awards that may be granted to our directors, officers, and employees.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“Compensation Discussion and Analysis—Treatment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Articles will authorize Octave to issue one or more classes or series of preferred shares having such designation, powers, preferences and relative, participating, optional, and other special rights, including 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Octave Class B Ordinary Shares will differ from the rights associated with Hexagon Class B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 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preparation of our Combined Financial Statements in contemplation of the separation and Distribution, we identified two material weaknesses in our internal control over financial reporting as of December 31, 2025.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spacing w:after="0" w:line="129" w:lineRule="exact"/>
        <w:rPr>
          <w:sz w:val="20"/>
          <w:szCs w:val="20"/>
          <w:color w:val="auto"/>
        </w:rPr>
      </w:pPr>
    </w:p>
    <w:p>
      <w:pPr>
        <w:jc w:val="both"/>
        <w:ind w:left="660" w:hanging="328"/>
        <w:spacing w:after="0" w:line="266"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process and segregation of duties –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information technology program and data changes affecting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information technology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and implementing a remediation plan, which began in late 2025 at the time control deficiencies were identified,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price of Octave Class B Ordinary Shares may decline as a result.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 In addition, failure to comply with the Sarbanes-Oxley Act of 2002 could potentially subject us to sanctions or investigations by the SEC, Nasdaq New York, or other regulatory authorities.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publish inaccurate or unfavorable research, about our business or if they downgrade Octave Class B Ordinary Shares or our sector, our share price and trading volume could decline.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 or other external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w:t>
      </w:r>
    </w:p>
    <w:p>
      <w:pPr>
        <w:spacing w:after="0" w:line="108" w:lineRule="exact"/>
        <w:rPr>
          <w:sz w:val="20"/>
          <w:szCs w:val="20"/>
          <w:color w:val="auto"/>
        </w:rPr>
      </w:pPr>
    </w:p>
    <w:p>
      <w:pPr>
        <w:ind w:left="660" w:right="20" w:hanging="328"/>
        <w:spacing w:after="0" w:line="282"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such situations can be costly and time-consuming, can disrupt operations and divert the attention of management and employees, and can lead to uncertainty;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actions by external actors could cause the market price of Octave Class B Ordinary Shares and Octave SDRs to decline or experience periods of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other jurisdictions, and any actual or potential offer to acquire Octave will be subject to certain provisions of the Irish Takeover Rules and the Swedish Takeover Rules.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 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the High Court of Ireland’s approval of the creation of distributable reserves will be forthcoming.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do not intend to pay dividends in the near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intend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by way of dividends, share repurchases, redemptions, or otherwise will be permitted under Irish law until such time as we have created sufficient distributable reserves from our operating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imposes restrictions on certain aspects of capital management.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Irish law allows our shareholders to pre-authorize shares to be issued by our Board of Directors without further shareholder approval for up to a maximum of five years. This authorization will be contained in our Articles, in respect of the issue of Octave Class B Ordinary Shares, immediately prior to the Distribution and will lapse at the date of the next-following annual general meeting, unless renewed by shareholders, and we cannot guarantee that such renewal will always be approved. Additionally, subject to specified exceptions, including the opt-out that will be included in our Articles upon consummation of the Distribution, Irish law grants statutory pre-emptive rights to existing shareholders to subscribe for new issuances of shares for cash. This opt-out also expires at the date of the next following annual general meeting, unless renewed by further shareholder approval and we cannot guarantee that such renewal of the opt-out from pre-emptive rights will always be approved. We cannot ensure that these Irish legal restrictions will not interfere with our capital management.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in our Articles, among other things, could prevent or delay an acquisition of Octave, which could decrease the trading price of our shares.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could have the effect of deterring coercive takeover practices, inadequate takeover bids, and unsolicited offers. These provisions include, among others:</w:t>
      </w:r>
    </w:p>
    <w:p>
      <w:pPr>
        <w:spacing w:after="0" w:line="108" w:lineRule="exact"/>
        <w:rPr>
          <w:sz w:val="20"/>
          <w:szCs w:val="20"/>
          <w:color w:val="auto"/>
        </w:rPr>
      </w:pPr>
    </w:p>
    <w:p>
      <w:pPr>
        <w:jc w:val="both"/>
        <w:ind w:left="660" w:hanging="328"/>
        <w:spacing w:after="0" w:line="256" w:lineRule="auto"/>
        <w:tabs>
          <w:tab w:leader="none" w:pos="6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or nominate directors for election at shareholder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shares without shareholder approval in certain circumstances, subject to applicable law;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our Board of Directors in certain circumstances.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and other provisions of our Articles and Irish law that could be considered to have an anti-takeover effect, see “Description of Our Share Capital—Anti-Takeover Provisions.”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that we will enter into with Hexagon in connection with the Distribution generally will require Hexagon’s consent to any assignment by us of our rights and obligations under the agreements. The consent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rights set forth in these agreements might discourage, delay, or prevent a change of control that shareholders may consider favorable. For a more detailed description of these agreements, see “Certain Relationships and Related Party Transactions—Relationship Between Hexagon and Octave After the Distribution.”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to maintain tax residency in Ireland and take advantage of the tax treaties among the United States and Ireland, we could be subject to increased taxation, which could materially adversely affect our financial condition, results of operations, cash flows or our effective tax rate in future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and/or exit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our tax residency position could change or be challenged. It is difficult to predict the ultimate impact of a change in tax residency, but if we cease to be tax resident in Ireland and become a resident in another jurisdiction, we may be subject to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the U.K. again, we could become liable for U.K. corporation tax.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 may be subject to Irish 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1% of the price paid or the market value of the shares acquired, whichever is greater.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many transfers of our shares, there is not expected to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shares directly, may be subject to Irish stamp duty (currently at the rate of 1% of the price paid or the market value of the shares acquired, if higher) which is generally payable by the buyer.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received by means of a gift or inheritance could be subject to Irish capital acquisitions tax.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without limitation, statements about future events, future financial position or results of operations, business strategy, budgets, projected costs, plans and objectives of management for future operations, our preliminary estimated financial results for the three months ended March 31, 2026, including revenue and income measures, our expected fiscal year 2026 targets and medium-term growth targets, including anticipated revenue growth, annual recurring revenue (“ARR”) growth and expected Adjusted operating margin and Free cash flow margin, expected changes in our revenue mix, including the anticipated increase in Subscription licenses and SaaS revenue and related targets for Subscriptions revenue as a percentage of total revenue, and our expectations regarding Adjusted operating margin and Free cash flow margin trends, operating leverage and capital allocation priorities, including our approach to capital deployment, our ability to pursue and integrate strategic acquisitions, our expected balance sheet and liquidity position and our expectations regarding the payment of dividends or other returns of capital to shareholders,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including those regarding customer demand, subscription license activity, SaaS adoption, pricing and packaging initiatives, macroeconomic conditions, our ability to identify, consummate and integrate strategic acquisitions and our ability to execute our growth strategies. Because forward-looking statements relate to the future, by their nature, they are subject to inherent uncertainties, risks and changes in circumstances that are difficult to predict. Forward-looking statements include, among other things, statements regarding targeted or expected financial and operating metrics, including preliminary or estimated financial results and ranges for fiscal year 2026 and medium-term revenue growth, ARR growth, and Adjusted operating margin and Free cash flow margin targets, which are inherently subject to significant business, economic and competitive uncertainties and contingencies, many of which are beyond our control. As a result, our actual results may differ materially from those contemplated by the forward-looking statements. Important factors that could cause actual results to differ materially from those expressed or implied in the forward-looking statements include regional, national or global political, economic, business, competitive, market and regulatory conditions and the following:</w:t>
      </w:r>
    </w:p>
    <w:p>
      <w:pPr>
        <w:spacing w:after="0" w:line="138" w:lineRule="exact"/>
        <w:rPr>
          <w:sz w:val="20"/>
          <w:szCs w:val="20"/>
          <w:color w:val="auto"/>
        </w:rPr>
      </w:pPr>
    </w:p>
    <w:p>
      <w:pPr>
        <w:jc w:val="both"/>
        <w:ind w:left="660" w:right="20" w:hanging="328"/>
        <w:spacing w:after="0" w:line="266"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Distribution making it more difficult to maintain our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post-separation relationships with Hexagon, third parties, collaborators and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standalone company and execute our strategic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strategic transactions and the development and commercialization of our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substantially invest in our technology infrastructure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0"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services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foreign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industry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relevant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vendors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non-U.S.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successfully integrate acquisitions and to realize the anticipated benefits of such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liabilities that we may owe to Hexagon after the Distribution;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us or Hexagon to satisfy obligations under the Transition Services Agreement or other agreements entered into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holders of our ordinary shares as a result of issuances of additional shares to fund our financial obligations and other financing activities;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7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including any expected or targeted financial or operating results or any preliminary or estimated financial results.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forms a part, including “Management’s Discussion and Analysis of Financial Condition and Results of Operations—Outlook” and “Summary—Recent Developments,”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SEPARATION AND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 Shares will be distributed to holders of record of Hexagon Shares on the record date for the Distribution. Each such holder will receive one (1) Octave Class A Ordinary Share for every ten (10) Hexagon Class A Shares and one (1) Octave Class B Ordinary Share for every ten (10) Hexagon Class B Shares held as of the close of business on the record date. The Octave Class B Ordinary Shares will be delivered to holders of record, other than affiliates of Hexagon, in the form of Octave SDRs.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listing of the Octave SDRs, we have also made available a Swedish prospectus. See “Description of Swedish Depository Receipts.”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the Octave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general terms and conditions relating to the completion of the Distribution will be set forth in a Distribution Agreement between Hexagon and Octave. Under the Distribution Agreement, the Distribution will be effective as of 1:30 pm, Stockholm time on May 22, 2026 (the “Distribution Date”). As a result of the Distribution, on the Distribution Date, each holder of Hexagon Shares will receive one (1) Octave Class A Ordinary Share for every ten (10) Hexagon Class A Shares and one (1) Octave Class B Ordinary Share for every ten (10) Hexagon Class B Shares in each case held on the record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Depository Receipts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Hexagon shareholders entitled to receive Octave Class B Shares will be entitled to receive one Octave SDR for each Octave Class B Share to which they are entitled as a result of their Hexagon shares held as of the record date, other than affiliates of Hexagon. The date of delivery of the Octave SDRs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to be May 26, 2026. The Octave SDRs are expected to remain listed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has agreed to pay any fees for holders who wish to cancel Octave SDRs and receive the underlying Octave Class B Ordinary Shares in a U.S. brokerage account for the six (6) months from and including the first day of trading in the Octave SDRs on Nasdaq Stockholm. After such period, such fees will be borne by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believes that the Distribution is in the best interests of both Hexagon and Octave for a number of reasons, including:</w:t>
      </w:r>
    </w:p>
    <w:p>
      <w:pPr>
        <w:spacing w:after="0" w:line="169" w:lineRule="exact"/>
        <w:rPr>
          <w:sz w:val="20"/>
          <w:szCs w:val="20"/>
          <w:color w:val="auto"/>
        </w:rPr>
      </w:pPr>
    </w:p>
    <w:p>
      <w:pPr>
        <w:jc w:val="both"/>
        <w:ind w:left="660" w:hanging="328"/>
        <w:spacing w:after="0" w:line="258"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Independent Strategic Needs</w:t>
      </w:r>
      <w:r>
        <w:rPr>
          <w:rFonts w:ascii="Times New Roman" w:cs="Times New Roman" w:eastAsia="Times New Roman" w:hAnsi="Times New Roman"/>
          <w:sz w:val="18"/>
          <w:szCs w:val="18"/>
          <w:color w:val="auto"/>
        </w:rPr>
        <w:t>. 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Autonomy</w:t>
      </w:r>
      <w:r>
        <w:rPr>
          <w:rFonts w:ascii="Times New Roman" w:cs="Times New Roman" w:eastAsia="Times New Roman" w:hAnsi="Times New Roman"/>
          <w:sz w:val="18"/>
          <w:szCs w:val="18"/>
          <w:color w:val="auto"/>
        </w:rPr>
        <w:t>. 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and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 of Talent</w:t>
      </w:r>
      <w:r>
        <w:rPr>
          <w:rFonts w:ascii="Times New Roman" w:cs="Times New Roman" w:eastAsia="Times New Roman" w:hAnsi="Times New Roman"/>
          <w:sz w:val="18"/>
          <w:szCs w:val="18"/>
          <w:color w:val="auto"/>
        </w:rPr>
        <w:t>. The businesses that Hexagon and we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Incentives</w:t>
      </w:r>
      <w:r>
        <w:rPr>
          <w:rFonts w:ascii="Times New Roman" w:cs="Times New Roman" w:eastAsia="Times New Roman" w:hAnsi="Times New Roman"/>
          <w:sz w:val="18"/>
          <w:szCs w:val="18"/>
          <w:color w:val="auto"/>
        </w:rPr>
        <w:t>. 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Strategic Alignment</w:t>
      </w:r>
      <w:r>
        <w:rPr>
          <w:rFonts w:ascii="Times New Roman" w:cs="Times New Roman" w:eastAsia="Times New Roman" w:hAnsi="Times New Roman"/>
          <w:sz w:val="18"/>
          <w:szCs w:val="18"/>
          <w:color w:val="auto"/>
        </w:rPr>
        <w:t>. 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38" w:lineRule="exact"/>
        <w:rPr>
          <w:sz w:val="20"/>
          <w:szCs w:val="20"/>
          <w:color w:val="auto"/>
        </w:rPr>
      </w:pPr>
    </w:p>
    <w:p>
      <w:pPr>
        <w:jc w:val="both"/>
        <w:ind w:left="660" w:hanging="328"/>
        <w:spacing w:after="0" w:line="261" w:lineRule="auto"/>
        <w:tabs>
          <w:tab w:leader="none" w:pos="65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Share Value</w:t>
      </w:r>
      <w:r>
        <w:rPr>
          <w:rFonts w:ascii="Times New Roman" w:cs="Times New Roman" w:eastAsia="Times New Roman" w:hAnsi="Times New Roman"/>
          <w:sz w:val="18"/>
          <w:szCs w:val="18"/>
          <w:color w:val="auto"/>
        </w:rPr>
        <w:t>. 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Octave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currently no public market for the Octave Shares and an active trading market may not develop or may not be sustained. A “when-issued” market in Octave Class B Ordinary Shares may develop as soon as one New York business day prior to the record date for the Distribution. “When-issued” trading refers to a sale or purchase made conditionally because the security has been authorized but not yet issued.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list Octave Class B Ordinary Shares on Nasdaq New York under the ticker symbol “OCTV” and our Octave SDRs on Nasdaq Stockholm under the ticker symbol “OCTV SDB,” provided our applications for listing are approved. Assuming that the listing application for Octave Class B Ordinary Shares is approved, it is anticipated that trading for Octave Class B Ordinary Shares will commence three (3) New York business days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the Octave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our earnings to finance R&amp;D, acquisitions and the operation and expansion of our business and do not anticipate paying any cash dividends in the near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 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2025, on a historical basis and a pro forma basis, to give effect to the Distribution and the transactions related to the Distribution as further described under “Unaudited Pro Forma Combined Financial Information,” as if they occurred on December 31, 2025. The cash and cash equivalents and our capitalization information in the following table may not necessarily reflect what our cash and cash equivalents and capitalization would have been had we been operating as a standalone company as of December 31, 2025. Additionally, the information in the following table may not necessarily reflect what our cash and cash equivalents and our capitalization may be in the future.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with Octave’s “Management’s Discussion and Analysis of Financial Condition and Results of Operations,” “Unaudited Pro Forma Combined Financial Information,” and audited Combined Financial Statements and accompanying Notes included elsewhere in this information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4"/>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7,631,993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post-Distribution capitalization presented is estimated based on assumptions management believes are reasonable. However, the actual post-Distribution capitalization could be different from these estimates and would depend on several factors, including Cash and cash equivalents held by Octave immediately prior to Distribution and the cash payment from the Octave Business to Hexagon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consist of an Unaudited Pro Forma Combined Balance Sheet as of December 31, 2025 and Unaudited Pro Forma Combined Statement of Operations for the year ended December 31, 2025. This unaudited pro forma financial information has been derived from our audited Combined Financial Statements for the year ended December 31, 2025, included elsewhere in this information statement. All significant pro forma adjustments and their underlying assumptions are described more fully in the Notes to Unaudited Pro Forma Combined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Balance Sheet gives effect to the Pro Forma Transactions (as defined below) as if they had occurred on December 31, 2025, the latest balance sheet date. The Unaudited Pro Forma Combined Statement of Operations give effect to the Pro Forma Transactions as if they had occurred on January 1, 2025, the first day of fiscal year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adjustments, autonomous entity adjustments, and other transaction adjustments to reflect the financial condition and results of operations as if the Company was a standalone public entity following the spin-off.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illustrates the effects of the following transactions (collectively, the “Pro Forma Transactions”):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post-Distribution capital structure, including (i) the issuance of approximately 11,025,000 Octave Class A Ordinary Shares and 257,412,788 Octave Class B Ordinary Shares, (ii) the incurrence of indebtedness of approximately $525.0 million at an estimated weighted average interest rate of 4.5% and (iii) the cash payment of approximately $598.2 million of cash to Hexagon substantially concurrent with the Distribution;</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transfers occurring pursuant to the Distribution Agreement, including the contribution by Hexagon to Octave of certain assets and liabilities that comprise the Octave Business and the retention by Hexagon of certain non-core revenue contracts;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arising from contractual agreements made in preparation for the Company to be a standalone public entity, including new lease agreements, new compensation agreements, and a Transition Services Agreement between Hexagon and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certain non-core businesses historically managed by the Company ahead of the spin-off;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aforementioned adjustments on current and deferred income taxes.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autonomous entity and other transaction adjustments to reflect the financial condition and results of operations as if we were a standalone public entity. Transaction accounting adjustments have been presented to show the impact and associated cost as a direct result of the separation from Hexagon, including the establishment of the Company’s expected capital structure at the time of Distribution. Autonomous entity adjustments have been presented to show the impact and associated cost as a direct result of new agreements, both third-party and with Hexagon, entered into in preparation for operating as a standalone public entity. Other transaction adjustments have been presented to show the impact on operating results relating to the Company’s sale of certain non-core businesses during the historical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Notes to Unaudited Pro Forma Combined Financial Statements include a presentation of management adjustments that management believes are necessary to provide an understanding of the pro forma effects of the separation and the Distribution. These management adjustments reflect expected incremental costs associated with the stand-up of functions to operate as a standalone public entity as well as realize anticipated cost savings associated with various restructuring plans implemented prior to spin-off. Actual future costs incurred or savings realized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Article 11 of Regulation S-X, as amended. The Unaudited Pro Forma Combined Financial Statements are subject to the assumptions and adjustments described in the accompanying Notes. The Pro Forma Transactions are based on available information and assumptions we believe are reasonable; however, such adjustments are subject to change. The Distribution Agreement, Tax Disaffiliation Agreement, Transition Services Agreement, Employee Matters Agreement and other transaction-related agreements have not been executed.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standalone public entity. The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should be read in conjunction with Octave’s “Management’s Discussion and Analysis of Financial Condition and Results of Operations” and audited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Pr>
          <w:p>
            <w:pPr>
              <w:spacing w:after="0"/>
              <w:rPr>
                <w:sz w:val="13"/>
                <w:szCs w:val="13"/>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82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(76,069) </w:t>
            </w:r>
            <w:r>
              <w:rPr>
                <w:rFonts w:ascii="Times New Roman" w:cs="Times New Roman" w:eastAsia="Times New Roman" w:hAnsi="Times New Roman"/>
                <w:sz w:val="12"/>
                <w:szCs w:val="12"/>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(76,069)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580,694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74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(1,554) </w:t>
            </w:r>
            <w:r>
              <w:rPr>
                <w:rFonts w:ascii="Times New Roman" w:cs="Times New Roman" w:eastAsia="Times New Roman" w:hAnsi="Times New Roman"/>
                <w:sz w:val="12"/>
                <w:szCs w:val="12"/>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654,304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(30,581) </w:t>
            </w:r>
            <w:r>
              <w:rPr>
                <w:rFonts w:ascii="Times New Roman" w:cs="Times New Roman" w:eastAsia="Times New Roman" w:hAnsi="Times New Roman"/>
                <w:sz w:val="12"/>
                <w:szCs w:val="12"/>
                <w:color w:val="auto"/>
              </w:rPr>
              <w:t>(b)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1,521,513</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(7,749,558) </w:t>
            </w:r>
            <w:r>
              <w:rPr>
                <w:rFonts w:ascii="Times New Roman" w:cs="Times New Roman" w:eastAsia="Times New Roman" w:hAnsi="Times New Roman"/>
                <w:sz w:val="12"/>
                <w:szCs w:val="12"/>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(569,142)</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7,108,493</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00"/>
          </w:cols>
          <w:pgMar w:left="320" w:top="1440" w:right="379" w:bottom="1440" w:gutter="0" w:footer="0" w:header="0"/>
        </w:sectPr>
      </w:pPr>
    </w:p>
    <w:bookmarkStart w:id="253" w:name="page254"/>
    <w:bookmarkEnd w:id="2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Transaction</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 (Note l)</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(8,635)</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(7,840)</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(h)(i)(j)</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(19,590)</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(25,655)</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(15,590)</w:t>
            </w: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w:t>
            </w: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(3,553) </w:t>
            </w:r>
            <w:r>
              <w:rPr>
                <w:rFonts w:ascii="Times New Roman" w:cs="Times New Roman" w:eastAsia="Times New Roman" w:hAnsi="Times New Roman"/>
                <w:sz w:val="12"/>
                <w:szCs w:val="12"/>
                <w:color w:val="auto"/>
              </w:rPr>
              <w:t>(k)</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(19,643)</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(12,037)</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weighted average common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Notes to Unaudited Pro Forma Combined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175" w:lineRule="exact"/>
        <w:rPr>
          <w:sz w:val="20"/>
          <w:szCs w:val="20"/>
          <w:color w:val="auto"/>
        </w:rPr>
      </w:pPr>
    </w:p>
    <w:p>
      <w:pPr>
        <w:jc w:val="both"/>
        <w:ind w:firstLine="8"/>
        <w:spacing w:after="0" w:line="254" w:lineRule="auto"/>
        <w:tabs>
          <w:tab w:leader="none" w:pos="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estimated incurrence of indebtedness of $525.0 million that is expected to be issued under the Term Loan Facility (consisting of a U.S. dollar denominated term loan in an amount of up to $350 million and a Euro denominated term loan in an amount of up to €150 million). This indebtedness is expected to have a term of four (4) years with an estimated weighted average interest rate of approximately 4.5%. Total deferred debt issuance costs associated with such indebtedness are estimated at $1.5 million, which will be amortized to Interest expense over the terms of the respective instruments and are reflected as a reduction to Long-term debt.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 Based upon the foregoing assumptions as of December 31, 2025, this adjustment reflects an estimated cash payment of $598.2 million.</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has entered into the 5-year Revolving Credit Facility with an aggregate committed amount of $500.0 million. The facility may be utilized at the completion of the Distribution; however, the amount to be utilized is unknown at this time. Total deferred debt issuance costs associated with such facility are estimated at $1.4 million, which will be amortized to Interest expense over the term of the Revolving Credit Facility and are reflected within Other noncurrent assets. Undrawn funds under this facility incur a commitment fee, which is estimated to be $0.8 million for the year ended December 31,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“Capitalization,” “Management’s Discussion and Analysis of Financial Condition and Results of Operations Liquidity and Capital Resources” and “Description of Material Indebtedness” for additional details.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adjustments to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Long-term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523,500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represents adjustments to 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total indebtedness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Interest expense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interest rates of indebtedness may change from those estimated above. It is estimated that for every incremental 0.125 percent change (increase or decrease) from those assumed in estimating pro forma Interest expense, pro forma Interest expense could change by approximately $0.7 million per year.</w:t>
      </w:r>
    </w:p>
    <w:p>
      <w:pPr>
        <w:spacing w:after="0" w:line="108" w:lineRule="exact"/>
        <w:rPr>
          <w:sz w:val="20"/>
          <w:szCs w:val="20"/>
          <w:color w:val="auto"/>
        </w:rPr>
      </w:pPr>
    </w:p>
    <w:p>
      <w:pPr>
        <w:jc w:val="both"/>
        <w:ind w:firstLine="8"/>
        <w:spacing w:after="0" w:line="256" w:lineRule="auto"/>
        <w:tabs>
          <w:tab w:leader="none" w:pos="2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adjustment reflects the deferred income taxes impact of certain tax attributes, including United States and foreign net operating losses, interest limitations, and other tax credits, that will transfer with the Company. Historically, the Combined Balance Sheets excluded certain tax attributes as the Company’s income tax provision was calculated using a separate return method. The separate return method applies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standalone financial statements of each member of the combined group as if the group members were separate taxpayers. As a result, tax attributes included in certain Octave legal entities, which will transfer with the Company, were not presented in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0" w:lineRule="exact"/>
        <w:rPr>
          <w:sz w:val="20"/>
          <w:szCs w:val="20"/>
          <w:color w:val="auto"/>
        </w:rPr>
      </w:pPr>
    </w:p>
    <w:p>
      <w:pPr>
        <w:jc w:val="both"/>
        <w:ind w:firstLine="8"/>
        <w:spacing w:after="0" w:line="261" w:lineRule="auto"/>
        <w:tabs>
          <w:tab w:leader="none" w:pos="2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reclassification of Hexagon’s net investment in the Company, which was recorded in Net Parent investment, to Class A Ordinary Shares, Class B Ordinary Shares and Additional paid-in capital to reflect the assumed issuance of approximately 11,025,00 Class A Ordinary Shares and 257,412,788 Class B Ordinary Shares, each with a par value of $0.01 per share, pursuant to the Distribution Agreement immediately prior to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outstanding shares is based on the number of shares of Hexagon common stock outstanding on December 31, 2025, the date of these Unaudited Pro Forma Combined Financial Statements, and a distribution ratio of one (1) Octave Share for every ten (10) Hexagon Shares. The actual number of shares issued will not be known until the record date of the Distribution; however, is not is not expected to be materially different from such amount.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paid-in capital adjustments are summarized below:</w:t>
      </w:r>
    </w:p>
    <w:p>
      <w:pPr>
        <w:spacing w:after="0" w:line="20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Cash payment to Hexagon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Common stock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Deferred taxes </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pro forma adjustment to additional paid-in capital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08" w:hanging="808"/>
        <w:spacing w:after="0"/>
        <w:tabs>
          <w:tab w:leader="none" w:pos="80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(598,169)</w:t>
      </w:r>
    </w:p>
    <w:p>
      <w:pPr>
        <w:spacing w:after="0" w:line="27" w:lineRule="exact"/>
        <w:rPr>
          <w:rFonts w:ascii="Times New Roman" w:cs="Times New Roman" w:eastAsia="Times New Roman" w:hAnsi="Times New Roman"/>
          <w:sz w:val="18"/>
          <w:szCs w:val="18"/>
          <w:color w:val="auto"/>
        </w:rPr>
      </w:pPr>
    </w:p>
    <w:p>
      <w:pPr>
        <w:ind w:left="9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7,749,558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29,027</w:t>
      </w:r>
    </w:p>
    <w:p>
      <w:pPr>
        <w:spacing w:after="0" w:line="27" w:lineRule="exact"/>
        <w:rPr>
          <w:sz w:val="20"/>
          <w:szCs w:val="20"/>
          <w:color w:val="auto"/>
        </w:rPr>
      </w:pPr>
    </w:p>
    <w:p>
      <w:pPr>
        <w:ind w:left="748" w:hanging="748"/>
        <w:spacing w:after="0"/>
        <w:tabs>
          <w:tab w:leader="none" w:pos="748"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84" w:lineRule="exact"/>
        <w:rPr>
          <w:sz w:val="20"/>
          <w:szCs w:val="20"/>
          <w:color w:val="auto"/>
        </w:rPr>
      </w:pPr>
    </w:p>
    <w:p>
      <w:pPr>
        <w:jc w:val="both"/>
        <w:ind w:firstLine="8"/>
        <w:spacing w:after="0" w:line="266" w:lineRule="auto"/>
        <w:tabs>
          <w:tab w:leader="none" w:pos="27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Services and other revenue and related Cost of services and other generated by non-core revenue contracts within the Company’s U.S. federal government contracting subsidiary that will be retained by Hexagon following the Distribution, and which were historically included in the Company’s Combined Statement of Operations.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compensation expense for employees that were historically shared between the Company and other Hexagon businesses and will be transferred to the Company from Hexagon, or from the Company to Hexagon, prior to the Distribution.</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transaction accounting adjustments noted above. This adjustment is primarily calculated by applying the statutory tax rates in the respective jurisdictions to each of the pre-tax transaction accounting adjustments.</w:t>
      </w:r>
    </w:p>
    <w:p>
      <w:pPr>
        <w:spacing w:after="0" w:line="107" w:lineRule="exact"/>
        <w:rPr>
          <w:rFonts w:ascii="Times New Roman" w:cs="Times New Roman" w:eastAsia="Times New Roman" w:hAnsi="Times New Roman"/>
          <w:sz w:val="18"/>
          <w:szCs w:val="18"/>
          <w:color w:val="auto"/>
        </w:rPr>
      </w:pPr>
    </w:p>
    <w:p>
      <w:pPr>
        <w:jc w:val="both"/>
        <w:ind w:firstLine="8"/>
        <w:spacing w:after="0" w:line="258" w:lineRule="auto"/>
        <w:tabs>
          <w:tab w:leader="none" w:pos="26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earnings per share and pro forma weighted-average basic common shares outstanding reflect the number of Octave Shares expected to be outstanding upon completion of the Distribution. The dilutive effect following the completion of the Distribution is estimated based upon the impact of the Company’s equity-based compensation plans, including both (i) the issuance of Octave Equity Awards in replacement of existing Hexagon Equity Awards and (ii) the assumed grant of restricted stock units and performance stock units under the Octave Intelligence plc Long-Term Incentive Plan (“LTIP”) included in this Pro Forma Combined Statement of Operations.</w:t>
      </w:r>
    </w:p>
    <w:p>
      <w:pPr>
        <w:spacing w:after="0" w:line="1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Basic and diluted earnings per share are the same for Class A Ordinary Shares and Class B Ordinary Shares as both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Entity Adjustments</w:t>
      </w:r>
    </w:p>
    <w:p>
      <w:pPr>
        <w:spacing w:after="0" w:line="175" w:lineRule="exact"/>
        <w:rPr>
          <w:sz w:val="20"/>
          <w:szCs w:val="20"/>
          <w:color w:val="auto"/>
        </w:rPr>
      </w:pPr>
    </w:p>
    <w:p>
      <w:pPr>
        <w:jc w:val="both"/>
        <w:ind w:firstLine="8"/>
        <w:spacing w:after="0" w:line="266" w:lineRule="auto"/>
        <w:tabs>
          <w:tab w:leader="none" w:pos="26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 of new lease arrangements with third parties that have been, or will be, entered into prior to the Distribution. This adjustment records the operating lease right-of-use assets and related operating lease liabilities based on the estimated present value of the lease payments over the lease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operating lease expense is estimated to be $3.0 million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256" w:name="page257"/>
    <w:bookmarkEnd w:id="256"/>
    <w:p>
      <w:pPr>
        <w:spacing w:after="0" w:line="140" w:lineRule="exact"/>
        <w:rPr>
          <w:sz w:val="20"/>
          <w:szCs w:val="20"/>
          <w:color w:val="auto"/>
        </w:rPr>
      </w:pPr>
    </w:p>
    <w:p>
      <w:pPr>
        <w:ind w:firstLine="8"/>
        <w:spacing w:after="0" w:line="312" w:lineRule="auto"/>
        <w:tabs>
          <w:tab w:leader="none" w:pos="215"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adjustment reflects the effect of new compensation agreements for new and existing executives and includes an increase in salary, bonus, and stock-based compensation. Stock-based compensation include restricted stock unit and performance stock unit grants that generally vest over a three year period.</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related to salary and bonus is estimated to be $6.0 million for the year ended December 31, 2025. Incremental operating expense related to stock-based compensation is estimated to be $9.6 million for the year ended December 31, 2025.</w:t>
      </w:r>
    </w:p>
    <w:p>
      <w:pPr>
        <w:spacing w:after="0" w:line="108" w:lineRule="exact"/>
        <w:rPr>
          <w:sz w:val="20"/>
          <w:szCs w:val="20"/>
          <w:color w:val="auto"/>
        </w:rPr>
      </w:pPr>
    </w:p>
    <w:p>
      <w:pPr>
        <w:jc w:val="both"/>
        <w:ind w:firstLine="8"/>
        <w:spacing w:after="0" w:line="266" w:lineRule="auto"/>
        <w:tabs>
          <w:tab w:leader="none" w:pos="25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effects of a Transition Service Agreement the Company intends to enter into with Hexagon in connection with the Distribution whereby Hexagon will continue to provide the Company, and the Company will continue to provide Hexagon, functional support (predominately information technology and other infrastructure support).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is estimated to be $1.0 million for the year ended December 31, 2025. Incremental other income is estimated to be $4.0 million for the year ended December 31, 2025.</w:t>
      </w:r>
    </w:p>
    <w:p>
      <w:pPr>
        <w:spacing w:after="0" w:line="108" w:lineRule="exact"/>
        <w:rPr>
          <w:sz w:val="20"/>
          <w:szCs w:val="20"/>
          <w:color w:val="auto"/>
        </w:rPr>
      </w:pPr>
    </w:p>
    <w:p>
      <w:pPr>
        <w:ind w:firstLine="8"/>
        <w:spacing w:after="0" w:line="282" w:lineRule="auto"/>
        <w:tabs>
          <w:tab w:leader="none" w:pos="27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autonomous entity adjustments noted above. This adjustment is primarily calculated by applying the statutory tax rates in the respective jurisdictions to each of the pre-tax autonomous entity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 Adjustments</w:t>
      </w:r>
    </w:p>
    <w:p>
      <w:pPr>
        <w:spacing w:after="0" w:line="175" w:lineRule="exact"/>
        <w:rPr>
          <w:sz w:val="20"/>
          <w:szCs w:val="20"/>
          <w:color w:val="auto"/>
        </w:rPr>
      </w:pPr>
    </w:p>
    <w:p>
      <w:pPr>
        <w:ind w:firstLine="8"/>
        <w:spacing w:after="0" w:line="282" w:lineRule="auto"/>
        <w:tabs>
          <w:tab w:leader="none" w:pos="23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removal of the historical operating activities, as well as the loss on divestitures, related to the Company’s sale of certain non-core businesses during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Adjustments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present management adjustments to the Unaudited Pro Forma Combined Financial Statements and have included all adjustments necessary for a fair statement of such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Distribution, the Company expects to both (i) incur incremental costs (recurring and non-recurring dis-synergies) associated with the stand-up of functions to operate as a standalone public entity and (ii) realize cost savings (recurring synergies) associated with various headcount-focused restructuring plans and real-estate optimization plans implemented prior to the Distribution in an effort to better align its resources with its business strategy.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standalone public entity, certain incremental costs are expected in addition to those described in the transaction accounting adjustments and autonomous entity adjustments noted above. This includes costs from:</w:t>
      </w:r>
    </w:p>
    <w:p>
      <w:pPr>
        <w:spacing w:after="0" w:line="108" w:lineRule="exact"/>
        <w:rPr>
          <w:sz w:val="20"/>
          <w:szCs w:val="20"/>
          <w:color w:val="auto"/>
        </w:rPr>
      </w:pPr>
    </w:p>
    <w:p>
      <w:pPr>
        <w:jc w:val="both"/>
        <w:ind w:left="660" w:hanging="328"/>
        <w:spacing w:after="0" w:line="258" w:lineRule="auto"/>
        <w:tabs>
          <w:tab w:leader="none" w:pos="65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items required to operate new and expanded functions as a standalone public entity, such as non-personnel third-party vendor spend in finance, information technology, legal, and marketing as well as internal costs incurred related to incremental new hires in finance, information technology, legal, and support functions and increased stock-based compensation to both existing personnel and incremental new hires as the assumed grant of restricted stock units and performance stock units under the LTIP is expected to include a larger portion of Company employees than previously offered by Hexagon; and</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associated with the Distribution (including non-personnel third-party vendor spend in finance, information technology, legal and marketing) and related stand-up of functions to operate as a standalone public entity. All one-time costs are expected to be incurred within one year following the Distribution.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estimated incremental costs by assessing the resources and associated one-time costs required for each function to stand up and operate Octave as a standalone public entity. This assessment was performed consistently across all functions resulting in certain functions having incremental costs and others having lower costs than the relevant corporate allocations included in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additional costs included in these management adjustments have been estimated based on assumptions management believes are reasonable, including contemplated third-party vendor and incremental new hire plans. However, actual additional costs that will be incurred post Distribution could be different from the estimates and would depend on several factors, including the economic environment, results of contractual negotiations with third-party vendors, ability to execute on proposed separation plans, and strategic decisions made in areas such as information technology and infrastructure. Further, management’s estimates include inherent uncertainties underlying the timing, cost and extent to which third-party vendor and incremental new hires are required to support Octave as a standalone public entity versus Octave’s ability to operate as a standalone public entity utilizing current state resources and these uncertainties are expected to remain for the first year following the Distribution. In addition, adverse effects and limitations including those discussed in the section of this information statement entitled “Risk Factors” may impact actual costs incurred.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preparation for the spin-off, and in an effort to better align resources with business strategy, the Company initiated headcount-focused restructuring plans and real-estate optimization plans during the year ended December 31, 2025 (as referenced in Note 11 to the Combined Financial Statements). The headcount-focused restructuring plans, which focused on the services, research and development, and sales functions, and the real-estate optimization plans have already been actioned and are expected to generate recurring cost savings following the Distribution. Cost savings are estimated based upon specific headcount reductions and real-estate closures and the related expense historically incurred prior to the respective headcount reduction and real-estate closure. Headcount reductions are not expected to generate material stock-based compensation cost savings.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decide to increase or decrease resources or invest more heavily in certain areas of the business in the future, which may result in a different cost structure than that which is estimated within these management adjustments.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constitute forward-looking information and are subject to certain risks and uncertainties that could cause actual results to differ materially from those anticipated. See “Cautionary Statement Concerning Forward-Looking Statements” for additional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3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Synergies: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Dis-synergies: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Non-personnel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adjustments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after management adjustments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225,597</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268,438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Dis-synergies include $11.2 million of one-time costs which are expected to be realized within one year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OCTAVE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GRR was 97% and GRR for Large Customers was 99%. Further, as of December 31, 2025 and 2024,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jc w:val="both"/>
        <w:ind w:left="660" w:hanging="328"/>
        <w:spacing w:after="0" w:line="268" w:lineRule="auto"/>
        <w:tabs>
          <w:tab w:leader="none" w:pos="6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Supports 3D modeling, engineering analysis, simulation, and geospatial intelligence. This helps teams create information-rich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that serve as the basis for downstream activities. The Design workflow environment represents approximately 40%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w:t>
      </w:r>
      <w:r>
        <w:rPr>
          <w:rFonts w:ascii="Times New Roman" w:cs="Times New Roman" w:eastAsia="Times New Roman" w:hAnsi="Times New Roman"/>
          <w:sz w:val="18"/>
          <w:szCs w:val="18"/>
          <w:color w:val="auto"/>
        </w:rPr>
        <w:t>: Connects engineering, procurement, fabrication, construction, and commissioning workflows. This helps teams coordinate materials,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manage changes, and improve cost and schedule predictability. The Build workflow environment represents approximately 10%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Operate</w:t>
      </w:r>
      <w:r>
        <w:rPr>
          <w:rFonts w:ascii="Times New Roman" w:cs="Times New Roman" w:eastAsia="Times New Roman" w:hAnsi="Times New Roman"/>
          <w:sz w:val="18"/>
          <w:szCs w:val="18"/>
          <w:color w:val="auto"/>
        </w:rPr>
        <w:t>: Unifies operational data, historical information, maintenance activities, quality systems, and worker tools. This enables real-time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intelligence, operational technology cyber security, and improved asset and system performance. The Operate workflow environment represents approximately 30%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w:t>
      </w:r>
      <w:r>
        <w:rPr>
          <w:rFonts w:ascii="Times New Roman" w:cs="Times New Roman" w:eastAsia="Times New Roman" w:hAnsi="Times New Roman"/>
          <w:sz w:val="18"/>
          <w:szCs w:val="18"/>
          <w:color w:val="auto"/>
        </w:rPr>
        <w:t>: Supports public safety and physical security workflows. This includes incident response, emergency management, situational awareness,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security, and regulatory compliance. The Protect workflow environment represents approximately 20% of the revenue of the Octave Business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5" w:lineRule="exact"/>
        <w:rPr>
          <w:sz w:val="20"/>
          <w:szCs w:val="20"/>
          <w:color w:val="auto"/>
        </w:rPr>
      </w:pPr>
    </w:p>
    <w:tbl>
      <w:tblPr>
        <w:tblLayout w:type="fixed"/>
        <w:tblInd w:w="550" w:type="dxa"/>
        <w:tblCellMar>
          <w:top w:w="0" w:type="dxa"/>
          <w:left w:w="0" w:type="dxa"/>
          <w:bottom w:w="0" w:type="dxa"/>
          <w:right w:w="0" w:type="dxa"/>
        </w:tblCellMar>
      </w:tblPr>
      <w:tr>
        <w:trPr>
          <w:trHeight w:val="243"/>
        </w:trPr>
        <w:tc>
          <w:tcPr>
            <w:tcW w:w="15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Operate</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type w:val="continuous"/>
        </w:sectPr>
      </w:pPr>
    </w:p>
    <w:bookmarkStart w:id="263" w:name="page264"/>
    <w:bookmarkEnd w:id="263"/>
    <w:p>
      <w:pPr>
        <w:spacing w:after="0" w:line="140" w:lineRule="exact"/>
        <w:rPr>
          <w:sz w:val="20"/>
          <w:szCs w:val="20"/>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served 4,464 customers in over 140 countries, including 421 customers with annual recurring revenue of $500,000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served over 60% of Global Fortune 500 companies, and no single customer represented more than 2% of total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Acquire New Customers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 significant opportunity to reach new customers that are modernizing operational systems. These organizations increasingly seek software that provides clearer context, improves coordination, and mitigates risk across complex environments.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Expand Within Existing Customers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 operations, supporting long-term recurring relationships with opportunities for renewal and expansion. This land-and-expand model often leads to broader usage over time and contributes to durable, multi-year revenue streams.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Grow Subscription and SaaS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Advance Platform Capabilities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Strengthen Partnerships and Integrations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Scale Global Reach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Pursue Selective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pursue disciplined acquisitions that enhance our platform, add complementary capabilities, or expand our reach into new markets. These opportunities enable us to accelerate innovation and address additional customer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Design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 and engineering, we compete with providers of CAD, 3D modeling, engineering analysis, and geospatial tools, including:</w:t>
      </w:r>
    </w:p>
    <w:p>
      <w:pPr>
        <w:spacing w:after="0" w:line="171" w:lineRule="exact"/>
        <w:rPr>
          <w:sz w:val="20"/>
          <w:szCs w:val="20"/>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Build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construction, supply chain, project planning, and commissioning workflows, competitors include:</w:t>
      </w:r>
    </w:p>
    <w:p>
      <w:pPr>
        <w:spacing w:after="0" w:line="171" w:lineRule="exact"/>
        <w:rPr>
          <w:sz w:val="20"/>
          <w:szCs w:val="20"/>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Operate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asset management, operations management, quality systems, and maintenance workflows, competitors include:</w:t>
      </w:r>
    </w:p>
    <w:p>
      <w:pPr>
        <w:spacing w:after="0" w:line="171" w:lineRule="exact"/>
        <w:rPr>
          <w:sz w:val="20"/>
          <w:szCs w:val="20"/>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IBM Maximo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Protect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public safety, computer-aided dispatch, records management, and physical security, competitors include:</w:t>
      </w:r>
    </w:p>
    <w:p>
      <w:pPr>
        <w:spacing w:after="0" w:line="171" w:lineRule="exact"/>
        <w:rPr>
          <w:sz w:val="20"/>
          <w:szCs w:val="20"/>
          <w:color w:val="auto"/>
        </w:rPr>
      </w:pPr>
    </w:p>
    <w:p>
      <w:pPr>
        <w:ind w:left="660" w:hanging="328"/>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CentralSquare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Motorola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Competitive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markets, customers evaluate software platforms based on:</w:t>
      </w:r>
    </w:p>
    <w:p>
      <w:pPr>
        <w:spacing w:after="0" w:line="171" w:lineRule="exact"/>
        <w:rPr>
          <w:sz w:val="20"/>
          <w:szCs w:val="20"/>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 including support for multi-domain and cross-functional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integration with enterprise systems and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performance, and reliability in mission-critical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and alignment with industry-specific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 including cloud, on-premises, and hybrid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 and responsiveness to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implementation speed, and time-to-value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trust, and demonstrated customer outcomes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licensing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go-to-market strategy, including channel partnerships and customer success capabilities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single business segment developing enterprise software used in design, construction, operations, and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Models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offerings include:</w:t>
      </w:r>
    </w:p>
    <w:p>
      <w:pPr>
        <w:spacing w:after="0" w:line="171" w:lineRule="exact"/>
        <w:rPr>
          <w:sz w:val="20"/>
          <w:szCs w:val="20"/>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SaaS-based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type w:val="continuous"/>
        </w:sectPr>
      </w:pPr>
    </w:p>
    <w:bookmarkStart w:id="268" w:name="page269"/>
    <w:bookmarkEnd w:id="26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increase the proportion of recurring revenue through expanded subscription and SaaS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Octave was established as a shelf company on July 5, 2017 as a private company limited by shares and was recently de-shelved, re-named and re-registered as a public limited company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in connection with the Distribution described in this information statement.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Hexagon acquired all outstanding ordinary shares of Octave from nominees of a corporate service provider. Octave has not engaged in any business operations to date and at December 31, 2025 it had no assets or liabilities other than those incidental to its 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spacing w:after="0" w:line="122" w:lineRule="exact"/>
        <w:rPr>
          <w:sz w:val="20"/>
          <w:szCs w:val="20"/>
          <w:color w:val="auto"/>
        </w:rPr>
      </w:pPr>
    </w:p>
    <w:p>
      <w:pPr>
        <w:ind w:right="960"/>
        <w:spacing w:after="0" w:line="438" w:lineRule="auto"/>
        <w:rPr>
          <w:sz w:val="20"/>
          <w:szCs w:val="20"/>
          <w:color w:val="auto"/>
        </w:rPr>
      </w:pPr>
      <w:r>
        <w:rPr>
          <w:rFonts w:ascii="Times New Roman" w:cs="Times New Roman" w:eastAsia="Times New Roman" w:hAnsi="Times New Roman"/>
          <w:sz w:val="18"/>
          <w:szCs w:val="18"/>
          <w:color w:val="auto"/>
        </w:rPr>
        <w:t xml:space="preserve">Information found on, or accessible through, Octave’s website is not incorporated into, and does not form a part of, this information statement.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7,200 employees in over 45 countries. We have approximately 2,200 employees in the United States and approximately 1,800 employees in India, our next largest geography.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Talent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attract, develop, and retain top talent through the following focus areas: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Encouraging Flexibility</w:t>
      </w:r>
      <w:r>
        <w:rPr>
          <w:rFonts w:ascii="Times New Roman" w:cs="Times New Roman" w:eastAsia="Times New Roman" w:hAnsi="Times New Roman"/>
          <w:sz w:val="18"/>
          <w:szCs w:val="18"/>
          <w:color w:val="auto"/>
        </w:rPr>
        <w:t>: Our flexible policy enables hybrid and remote work tailored by geography and business needs. We support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through a comprehensive set of global and regional benefits, including parental leave, study support, and flexible working arrangements.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Inclusivity</w:t>
      </w:r>
      <w:r>
        <w:rPr>
          <w:rFonts w:ascii="Times New Roman" w:cs="Times New Roman" w:eastAsia="Times New Roman" w:hAnsi="Times New Roman"/>
          <w:sz w:val="18"/>
          <w:szCs w:val="18"/>
          <w:color w:val="auto"/>
        </w:rPr>
        <w:t>: Our leaders are expected to foster psychological safety, encourage diverse perspectives, and model inclusive and respectful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behaviors in daily decision-making.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competitive compensation</w:t>
      </w:r>
      <w:r>
        <w:rPr>
          <w:rFonts w:ascii="Times New Roman" w:cs="Times New Roman" w:eastAsia="Times New Roman" w:hAnsi="Times New Roman"/>
          <w:sz w:val="18"/>
          <w:szCs w:val="18"/>
          <w:color w:val="auto"/>
        </w:rPr>
        <w:t>: To continue our talent-based competitive advantage, we aim to ensure that our employees are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remunerated and rewarded. Employee salaries are reviewed annually. To support our policy of paying competitive market salaries, each employee is benchmarked according to their specific role, years of experience, as well as performance, market, and responsibilities.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learning and development</w:t>
      </w:r>
      <w:r>
        <w:rPr>
          <w:rFonts w:ascii="Times New Roman" w:cs="Times New Roman" w:eastAsia="Times New Roman" w:hAnsi="Times New Roman"/>
          <w:sz w:val="18"/>
          <w:szCs w:val="18"/>
          <w:color w:val="auto"/>
        </w:rPr>
        <w:t>: We continue to invest in training and development opportunities and systems to enable our people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growing and progressing in their career aspirations.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research and development efforts, Octave maintains significant development engineering centers in the United States, India, Switzerland, the United Kingdom, Germany and Israel to develop our software platform and provide customers with localized support. Octave has intellectual property holdings in several jurisdictions, with major holdings being in the United States, Belgium, Switzerland, and Germany.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For the years ended December 31, 2025, 2024 and 2023, our total research and development expenses were approximately $182.9 million, $157.4 million, and $145.8 million, respectively. We intend to continue to invest in our portfolio of software solutions and allocate capital and resources to our growth opportunities.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office facility structure is predominantly leased facilities with our larger leased sites for our operations including properties located in: Hyderabad, India; Munich, Germany; Houston, United States; and Nesher, Israel. Octave also owns or holds long-term leases on additional facilities located in Huntsville, Alabama; Cobham, United Kingdom; Swindon, United Kingdom; and Runcorn, United Kingdom.</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and equipment are in good operating condition and are suitable for the conduct of our business. We continuously assess and optimize our leasing footprint to optimize for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should be read in conjunction with the audited Combined Financial Statements and accompanying Notes included elsewhere in this information statement, as well as the information contained in the sections of this information statement titled “Unaudited Pro Forma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U.S. GAAP and Hexagon’s historical accounting policies, by aggregating financial information from the components of Octave’s and Hexagon’s accounting records directly attributable to Octave. 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information technology, human resources, treasury, tax, internal audit, risk management, equity-based compensation programs, accounting and financial reporting, investor relations, governance, legal, procurement and other services. See “Unaudited Pro Forma Combined Financial Information” for additional details.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Distribution, see “The Separation and the Distribution” and “Certain Relationships and Related Party Transactions— 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years ended December 31, 2025, 2024, and 2023, approximately 52%, 49%, and 47%, respectively, of our total revenues and 37%, 37%, and 35%,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within our long-standing client base, particularly through expanded usage of existing solutions, as well as adoption of new product offerings by those clients and subscriptions from new customers.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license arrangements to subscription services, in future periods. Due to the ratable recognition of subscriptions revenue, growth in subscriptions revenue will lag behind the growth of subscription orders and will impact the comparative growth of our reported revenue on a year-over-year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AND MEDIUM-TERM OUTLOOK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Projected Financial Information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projected financial information described below has been prepared by Octave’s management for planning purposes on a basis that is comparable with the annual Combined Financial Statements included elsewhere in this information statement and consistent with Octave’s accounting policies.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projected financial information included in this information statement has been prepared by, and is the responsibility of, Octave’s management. PricewaterhouseCoopers AB has not audited, reviewed, examined, compiled nor applied agreed-upon procedures with respect to the accompanying projected financial information and, accordingly, PricewaterhouseCoopers AB does not express an opinion or any other form of assurance with respect thereto. The PricewaterhouseCoopers AB report included in this information statement relates to the Company’s previously issued financial statements. It does not extend to the projected financial information and should not be read to do so.</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assumptions and estimates underlying the projected financial information are inherently uncertain and are subject to a wide variety of business, economic and competitive risks and uncertainties that could cause actual results to differ materially from those contained in the projected financial information. See “Cautionary Note Regarding Forward-Looking Statements” for further details. Inclusion of the projected financial information in this information statement should not be regarded as a representation by any person that the results contained in the projected financial information will be achieved. Information reconciling forward-looking Adjusted operating margin and Free cash flow margin to their most directly comparable U.S. GAAP financial measures, Operating margin and Cash flow from operations margin, respectively, cannot be prepared without unreasonable effort due to, among other things, certain items required for such reconciliation, such as working capital variations, being outside of management’s control and not being able to be reasonably projected. Preparation of such reconciliations would require a forward-looking balance sheet, statement of operations and statement of cash flows, prepared in accordance with U.S. GAAP, and such forward-looking financial statements are unavailable to the Company without unreasonable effort. The Company provides Adjusted operating margin and Free cash flow margin projections that it believes will be achieved based solely on information available as of the date hereof; however, the Company cannot provide any assurance that it can predict all of the components of each non-GAAP measures’ calculation.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2026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fiscal year ending December 31, 2026 to be a transitional period as we continue to shift our revenue model toward Subscription licenses and SaaS offerings and incur incremental costs associated with operating as a standalone public company. For the fiscal year ending December 31, 2026, we expect revenue growth to be in the range of 3% to 4% and ARR growth to be in the range of 6% to 8%, reflecting a combination of headwinds, including the carry over of softer subscription license demand experienced in the second half of 2025, variability in customer project activity levels, continued shift in revenue mix (including lower perpetual license activity), and tailwinds, including continued growth in SaaS offerings and an expected stabilization in subscription license activity as macroeconomic conditions improve, with growth weighted toward the second half of 2026. These expectations are based on a number of assumptions, including: (i) continued growth in SaaS revenue and sustained customer demand for subscription-based offerings; (ii) a continued decline in perpetual license revenues as we prioritize our subscription model; and (iii) no material deterioration in macroeconomic conditions or customer project activity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Medium-Term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fiscal year ending December 31, 2026, we are targeting revenue growth in the range of 6% to 8% over the medium-term, driven by continued expansion of our recurring revenue base and increased contribution from SaaS offerings, which we expect will be supported by the acceleration in ARR growth over the same period. This target assumes, among other things: (i) stabilization and subsequent growth in subscription license demand; (ii) continued adoption of SaaS solutions across our customer base; (iii) successful execution of pricing and packaging initiatives; and (iv) no material adverse changes in macroeconomic conditions or end-market demand. We also expect a continued shift in revenue mix toward Subscriptions revenue, and are targeting Subscriptions revenue to represent approximately 75% or more of total revenue over the medium-term, with SaaS offerings expected to be the primary driver of growth. This expectation assumes continued customer adoption of SaaS solutions, including the migration of certain maintenance and license-based offerings to SaaS over time.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accelerating ARR growth over the medium-term to greater than 10%. ARR growth is expected to be driven by a combination of factors, including cross-selling across our Design, Build, Operate and Protect workflow environments, deeper penetration within existing customers through pricing and packaging optimization and expanded usage of our products, new customer acquisition and selective strategic acquisitions. We expect approximately two-thirds of ARR growth to be generated from existing customers and approximately one-third from new customer additions. Our ARR growth target assumes, among other things: (i) continued customer retention at levels consistent with historical experience; (ii) successful execution of cross-selling and upselling initiatives across our platform; (iii) ongoing expansion of our sales channels and geographic reach; and (iv) the identification and integration of selective strategic acquisitions that support our growth objectives.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Margins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expect margins in the fiscal year ending December 31, 2026 to be impacted by revenue model shifts and public company costs, we expect margins to benefit over the medium-term from improved operating leverage driven by increased subscription scale, pricing discipline, product standardization and cost synergies. For the fiscal year ending December 31, 2026, we expect Adjusted operating margin and Free cash flow margin of approximately 30% and 20%, respectively. In the medium-term, we are targeting Adjusted operating margin and Free cash flow margin of approximately 30% and 23%, respectively. These expectations assume, among other things: (i) realization of cost synergies from the integration of operations and systems; (ii) efficiency gains associated with increased scale and a transition toward multi-tenant SaaS delivery models; (iii) improvements in service utilization and the continued exit from lower-margin service offerings; (iv) disciplined investment in research and development, including the use of AI tools and software standardization; (v) continued investment in growth initiatives, including product development and go-to-market capabilities; and (vi) the normalization of some of the costs associated with becoming a standalone public company following the completion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factors contributing to year-over-year changes in our revenue for the year ended December 31, 2025 compared with the year ended December 31, 2024, and for the year ended December 31, 2024 compared with the year ended December 31, 2023:</w:t>
      </w:r>
    </w:p>
    <w:p>
      <w:pPr>
        <w:spacing w:after="0" w:line="14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00" w:type="dxa"/>
            <w:vAlign w:val="bottom"/>
            <w:tcBorders>
              <w:top w:val="single" w:sz="8" w:color="auto"/>
              <w:bottom w:val="single" w:sz="8" w:color="auto"/>
            </w:tcBorders>
          </w:tcPr>
          <w:p>
            <w:pPr>
              <w:spacing w:after="0"/>
              <w:rPr>
                <w:sz w:val="18"/>
                <w:szCs w:val="18"/>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0"/>
        </w:trPr>
        <w:tc>
          <w:tcPr>
            <w:tcW w:w="7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1"/>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ind w:left="320" w:hanging="312"/>
        <w:spacing w:after="0"/>
        <w:tabs>
          <w:tab w:leader="none" w:pos="32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increased by $21.4 million or 1%, primarily due to general sales increases and from favorable currency impacts, partially offset by impacts of the divestiture of non-core businesses. Revenue in EMIA grew 8%, while revenue in Americas and APAC each declined 2%. Subscriptions revenue growth was the primary driver for the overall portfolio led by SaaS sales which grew 17% with solid market demand, followed by maintenance subscription growth of 7% from focus on annual increases to contract values, and subscription licenses growth of 4%. Licenses sales slowed with a 33% decline due to a customer shift to SaaS and subscription licenses. Services and other improved with a 10% growth due to a higher level of enterprise implementations in public safety solutions partially offset with the divestiture of non-core businesses. Additionally, in line with the Company's continued product evolution, certain of our revenue streams have transitioned from being predominantly highly customized license-based deliveries to services configurations based on a more standardized license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by $64.0 million or 4%, primarily due to general volume increases and from an additional quarter of revenue related to Qognify, which was acquired in April 2023. Revenue in EMIA grew 9%, revenue in APAC grew 9%, while revenue in the Americas was relatively flat. The revenue increase was driven by increased demand across the portfolio. Subscriptions revenue growth was the primary driver for the overall portfolio due to continued focus on SaaS sales and solid market demand, which led to SaaS growth of 20%, followed by subscription licenses growth of 10% driven by customer project demand for flexible subscriptions and maintenance subscription growth of 3%. Licenses sales were stable with 1% overall growth and services and other declined 5% due to a reduction in demand by enterprise customers for customized implementations of SaaS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the Company’s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408,158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434,328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450,990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$26.2 million or 6%, primarily due to the reduction in services and other labor and associated delivery costs that supported the divested non-core businesses. This was partially offset by an increase in cloud platform costs associated with public cloud infrastructure providers and general labor costs. As a result, gross profit margin improved from 73% to 75% and when coupled with the growth in revenue, gross profit increased by $47.6 million or 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$16.7 million or 4%, primarily due to revenue mix whereby a 2023 increase in sales from our federal government solutions did not recur in 2024. This decrease in cost was partially offset by an increase in cloud platform costs associated with public cloud infrastructure providers, variable costs associated with revenue growth and inflationary pressure on salaries. As a result, gross profit margin improved from 71% to 73% and when coupled with the growth in revenue, gross profit increased by $80.7 million or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157,352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145,774</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$25.5 million or 16%, primarily due to an increase in salaries and wages associated with wage inflation, an increase in hiring for technical personnel, and an increase in investments in development tools to support development effort. Capitalization of software development costs declined as a proportion of overall expenditures.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$11.6 million or 8%, primarily due to an increase in salaries and wages associated with wage inflation, an increase in hiring for technical personnel, and an increase in internal business application expenses associated with software development tools and infrastructure costs and general inflationary pressure.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361,613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352,014</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$27.7 million or 8%, primarily due to an increase in salaries and wages associated with wage inflation and hiring for sales and sales support personnel and an increased investment in sales enablement technology, marketing events and increases in sales commissions in addition to incremental hiring in preparation for the proposed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$9.6 million or 3%, primarily due to an increase in salaries and wages associated with wage inflation and hiring for sales and sales support personnel, an increase in marketing events, and general inflationary 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139,313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134,030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$30.0 million or 22%, primarily due to an increase in salaries and wages associated with wage inflation, increased hiring to support public company functions, an increase in general reserves for accounts receivable allowances, and an increase in general information technology costs in preparation for the proposed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4%, primarily due to an increase in salaries and wages associated with wage inflation and hiring for administrative functions and general inflationary pressures.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127,411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115,977</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increased by $28.1 million or 22%, primarily due to incremental new releases of developed product solutions for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$11.4 million or 10%, primarily due to incremental new releases of internally developed solutions for sale and the acquisition of Qognify in April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(4,136)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29,670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8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$5.1 million, to an income position, primarily due to reduced impairment of intangible assets and increased contingent consideration fair value remeasurement gains, partially offset by an increase in restructuring charges associated with certain cost reduction actions taken primarily in the third quarter of the current year as a measure to offset investments in public company functions.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$28.7 million or 97%, primarily due to reduced restructuring and impairment of intangible assets charges associated with certain cost reduction actions in the prior year, partially offset by a decrease in contingent consideration fair value remeasurement gains.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from $0.6 million to a $15.5 million loss primarily due to the loss on the divestiture of non-core businesses of $16.6 million that took place during the third quarter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has remained relatively flat during the years ended December 31, 2024, and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type w:val="continuous"/>
        </w:sectPr>
      </w:pPr>
    </w:p>
    <w:bookmarkStart w:id="280" w:name="page281"/>
    <w:bookmarkEnd w:id="2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321,329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396,106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324,256</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78,603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effective tax rate was higher as compared to the year ended December 31, 2024, primarily due to the jurisdictional mix of earnings, effects of cross-border transactions, and discrete tax effects of internal restructuring in the third quarter of 2025 in preparation for the spin-off.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lower as compared to the year ended December 31, 2023, primarily due to the effects of cross-border transactions, changes in state income tax and apportionment rates and deferred tax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number of customers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large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Customers and Number of Large Customers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Number of Customers and Number of Large Customers are key business metrics we use to evaluate the scale and growth of our business as well as to assist in the evaluation of underlying trends in our customer base. A “Customer” is defined as a parent entity or government department that has ARR of $10,000 or more as of the end of the current period. A “Large Customer” is defined as a parent entity or government department that has ARR of $500,000 or more as of the end of the current period. Subsidiaries or multiple contracts under the same parent entity are consolidated and counted as one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GRR is a key business metric that we use to evaluate the scale and growth of our business as well as to assist in the evaluation of underlying trends in customer retention. GRR represents the percentage of ARR retained from customers with ARR as of the end of the same period one year prior. GRR accounts for the loss of ARR resulting from complete customer churn and does not account for the impact of contraction or expansion from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GRR was 97% and GRR for Large Customers was 99%.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NRR is a key business metric that we use to evaluate the scale and growth of our business as well as to assist in the evaluation of underlying trends in customer retention. NRR represents the percentage of ARR attributable to customers with ARR as of the end of the same period one year prior. NRR accounts for the loss of ARR resulting from complete customer churn and accounts for the impact of contraction or expansion from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NRR was 105%.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adjusted for amortization of acquired intangibles; amortization of developed technologies; stock-based compensation expense; impairment charges; acquisition costs and charges; restructuring charges; stand-up costs; loss on divestitures; and a corresponding adjustment to income tax expense for the impact of these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Margin—Cash Flow from Operations Margin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Stand-up costs include expenses associated with the spin-off and stand 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divestitures include expenses associated with the sale of non-core businesses during the period and primarily pertain to the excess of net assets divested over total cash proceeds from sale.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Accordingly, the non-GAAP financial measures included in this information statement should be considered in addition to, and not as a substitute for or superior to, the comparable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each of these non-GAAP financial measures to its most closely comparable U.S. GAAP measure on our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type w:val="continuous"/>
        </w:sectPr>
      </w:pPr>
    </w:p>
    <w:bookmarkStart w:id="285" w:name="page286"/>
    <w:bookmarkEnd w:id="2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 over period to evaluate its underlying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1,268,696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1,289,045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1,614,844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generated positive cash flow from operations; however, 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(to) from Parent in the Combined Statements of Cash Flows and the Combined Statements of Equity included elsewhere in this information statement.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of 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we expect to incur indebtedness of $525.0 million.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business, growth strategies, people and the communities we operate in as well as to repay our indebtedness over time.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and Strategic M&amp;A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allocation strategy is focused on supporting long-term growth, enhancing profitability and driving shareholder value. We expect to prioritize reinvestment in organic growth initiatives, including product development, platform integration and go-to-market expansion, while maintaining cost discipline and strong cash flow generation. We intend to deploy capital across a balanced framework that includes organic investment, selective acquisitions and, over time, potential return of capital to shareholders, subject to Board approval, market conditions and other considerations. However, we do not currently expect to pay a cash dividend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towards mergers and acquisitions focuses on making bolt-on acquisitions that enhance our technology capabilities, expand our presence across our Design, Build, Operate and Protect workflow environments, and support the shift of our revenue mix toward increased Subscriptions revenue. We expect to continue to pursue opportunities that are complementary to our existing platform and capable of efficient integration. We intend to evaluate potential acquisitions against internal development opportunities and other uses of capital, including potential returns of capital to shareholders, and to apply a disciplined approach to valuation and return on investment. We expect to focus on opportunities that support our strategic growth objectives and are expected to contribute to Subscriptions revenue and profitability over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cash flow information for the years ended December 31, 2025, 2024, and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465,879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502,162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(104,775)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(165,005)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(307,196)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(332,348)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by $36.3 million, primarily due to a decrease in net income of $63.1 million and a decrease in net cash flows from the change in operating assets and liabilities of $24.0 million, offset by an increase in non-cash adjustments of $50.8 million. The decrease in net cash flows from the change in operating assets and liabilities was primarily due to timing of collections on receivables, utilization of current assets, recognition of deferred revenue, and the timing of cash disbursements for operating assets and liabilities. The increase in non-cash adjustments was primarily driven by an increase in depreciation and amortization, timing of restructuring and other charges, increased deferred income tax expense, and the loss on divestitures, which were partially offset by the impact of the remeasurement of contingent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$65.7 million, primarily due to an increase in net income of $65.6 million, with offsetting impacts from an increase in net cash flows from the change in operating assets and liabilities of $61.6 million and a net decrease in non-cash adjustments of $61.5 million. The increase in net cash flows from the change in operating assets and liabilities was primarily due to the timing of collections on receivables, utilization of current assets, recognition of deferred revenue, and the timing of cash disbursements for operating assets and liabilities. The decrease in non-cash adjustments was primarily due to lower deferred income tax expense, timing of restructuring and other charges, and impairment of intangible assets, which were partially offset by the impact of the remeasurement of contingent consideration and increased depreciation and amortization.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by $60.2 million, primarily due to the proceeds from divestitures of $57.0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$267.1 million, primarily due to a decrease in cash paid for acquisitions of $282.6 million, partially offset by a $12.6 million increase in capitalization of software development costs. The decrease in acquisition-related costs was due to the Qognify and Projectmates acquisitions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decreased by $25.2 million due to a decrease in net transfers to Hexagon.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by $357.6 million due to an increase in net transfers to Hexagon.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cash and cash equivalents totaled $156.1 million.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held by our non-U.S. subsidiaries were $141.8 million and $87.2 million as of December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impact, or could impact, the liquidity of our operations. The following table summarizes our most significant contractual obligations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60" w:type="dxa"/>
            <w:vAlign w:val="bottom"/>
          </w:tcPr>
          <w:p>
            <w:pPr>
              <w:spacing w:after="0"/>
              <w:rPr>
                <w:sz w:val="16"/>
                <w:szCs w:val="16"/>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78,352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are entered into with various vendors in the normal course of business and are consistent with our expected requirements. Additionally, the long-term purchase obligations reflect the Company’s operational preparation for spin-off.</w:t>
      </w:r>
    </w:p>
    <w:p>
      <w:pPr>
        <w:ind w:left="340" w:hanging="332"/>
        <w:spacing w:after="0" w:line="261" w:lineRule="auto"/>
        <w:tabs>
          <w:tab w:leader="none" w:pos="33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under operating leases primarily relate to leasehold properties and automobiles. See Note 8 “Leases” of the Notes to Combined Financial Statements for additional information.</w:t>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table excludes estimated principal amount of indebtedness of approximately $525.0 million and associated estimated interest payments of $24.5 million per year in connection with the Distribution. See “Description of Material Indebtedness” for additional discussion. The actual interest rates of indebtedness may change from those estimated above. It is estimated that for every incremental 0.125 percent change (increase or decrease) from those assumed, interest expense could change by approximately $0.7 million per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capital expenditures primarily consist of leasehold improvements, investment in our owned facilities and replacement and replenishment of personal computers for business use. For the years ended December 31, 2025, 2024, and 2023, capital expenditures were $9.5 million, $7.1 million, $9.9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Credit Support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provides Octave with parent credit support in certain jurisdictions. To support Octave in selling products and services globally, Hexagon entered into and may enter into contracts on behalf of Octave or issue 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2025, 2024, and 2023. See “Certain Relationships and Related Party Transactions—Relationship Between Hexagon and Octave After the Distribution—Distribution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recognition of revenue requires judgment and estimation by management, particularly in arrangements that include multiple products and services. Our contracts with customers may include promises to transfer licenses,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analysis, including strategic and annual operating plans, adjusted for terminal value assumptions. These impairment tests use accounting estimates and assumptions, which require judgment in developing projections about future revenue growth, operating margins, capital expenditures, and the appropriate discount rate. The discount rate is based on a weighted average cost of capital,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assessments conducted during the years ended December 31, 2025, 2024, or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quantitative impairment assessment conducted during the year ended December 31, 2025 was performed utilizing a discounted cash flow analysis which required judgment in developing projections about future revenue growth, operating margins, capital expenditures, and the appropriate discount rate, all of which serve as key assumptions. While there was no goodwill impairment as a result of the Company’s annual impairment assessment, the estimated fair value of the Company’s single reporting unit only exceeded its carrying value by approximately 8% (headroom).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two primary assumptions utilized in determining the fair value of the reporting unit were the long-term revenue growth rate of 3.0% growth and the discount rate of 10.0%. Holding all other assumptions constant, a hypothetical 100 basis point decrease in the long-term revenue growth rate assumption would decrease the fair value of the reporting unit by approximately 8.3%, and a hypothetical 100 basis point increase in the discount rate assumption would decrease the fair value of the reporting unit by approximately 12.2%. Either change could result in a hypothetical impairment charge.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a relatively small change in the underlying assumptions could affect the estimated fair value of the Company’s single reporting unit, and as such, could result in impairment charges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 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 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 The evaluation of intangible assets, both definite-life and indefinite-life, involves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an impact on the timing or amount of impairment charges recognized. 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approval of the Distribution on April 24, 2026, management intends to initiate the phase out of legacy brands and transition the Octave business to a unified Octave brand. As such, the Company will assess the useful life estimates of all trademarks which have historically been carried as indefinite-life intangible assets in the Combined Balance Sheets. If an indefinite-life intangible asset is subsequently determined to have a finite useful life, the asset will be tested for impairment and amortized prospectively over its estimated remaining useful life. As of December 31, 2025, trademarks were recorded at a carrying amount of $481.2 million in the Combined Balance Sheets, substantially all or a significant portion of which may be subject to impairment or amortization upon completion of such review, which is expected in the second quarter of 2026. Any resulting impairment charge, which is non-cash in nature, will have a corresponding negative impact on Income from operations in the period in which the impairment is recognized. See Note 14 “Subsequent Events” of the Notes to Combined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See Note 2 “Summary of Significant Accounting Policies” of the Notes to Combined Financial Statements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recent accounting pronouncements.</w:t>
      </w:r>
    </w:p>
    <w:p>
      <w:pPr>
        <w:spacing w:after="0" w:line="102"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b w:val="1"/>
          <w:bCs w:val="1"/>
          <w:i w:val="1"/>
          <w:iCs w:val="1"/>
          <w:color w:val="auto"/>
        </w:rPr>
        <w:t>Foreign Currency Risks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individuals serving on the Board, each of whom is expected, as of the date of this information statement, to serve on the Board following the completion of the Distribution. It is followed by a biography of each such individual. We may name and present additional nominees for election prior to the Distribution.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Brett Watson. </w:t>
      </w:r>
      <w:r>
        <w:rPr>
          <w:rFonts w:ascii="Times New Roman" w:cs="Times New Roman" w:eastAsia="Times New Roman" w:hAnsi="Times New Roman"/>
          <w:sz w:val="18"/>
          <w:szCs w:val="18"/>
          <w:color w:val="auto"/>
        </w:rPr>
        <w:t>Mr. Watson serves as an independent director and Chairman of the board of Octave. Since January 1, 2026, Mr. Watson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Koch Equity, overseeing Koch Equity Development, Koch Disruptive Technologies, and Koch Real Estate Investments. During the preceding five years, Mr. Watson served as President of Koch Equity Development. Mr. Watson is also an officer of Koch Inc., where he serves as Vice President, Equity Development. He has more than 20 years of financial and executive experience, as well as broad public and private board and committee experience. Mr. Watson currently serves as a director of the parent companies of Infor, Transaction Network Services, MITER Brands, Getty Images (NYSE: GETY) and Molex. He serves as Chairman of the Compensation Committee at Getty Images,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Bachelor of Science and a Master of Business Administration from Binghamton University. We believe Mr. Watson is well-qualified to serve as Chairman of our Board due to his extensive financial and executive leadership experience, as well as his significant public and private company board experience.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Mattias Stenberg. </w:t>
      </w:r>
      <w:r>
        <w:rPr>
          <w:rFonts w:ascii="Times New Roman" w:cs="Times New Roman" w:eastAsia="Times New Roman" w:hAnsi="Times New Roman"/>
          <w:sz w:val="18"/>
          <w:szCs w:val="18"/>
          <w:color w:val="auto"/>
        </w:rPr>
        <w:t>The biography of Mattias Stenberg is set forth below under “—Executive Officers.”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Jill D. Smith</w:t>
      </w:r>
      <w:r>
        <w:rPr>
          <w:rFonts w:ascii="Times New Roman" w:cs="Times New Roman" w:eastAsia="Times New Roman" w:hAnsi="Times New Roman"/>
          <w:sz w:val="18"/>
          <w:szCs w:val="18"/>
          <w:color w:val="auto"/>
        </w:rPr>
        <w:t>. Ms. Smith serves as an independent director of Octave. Since 2020, Ms. Smith has served as a non-executive director of public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including as a director of Securitas AB (Nasdaq Stockholm: SECU-B) since May 2025, Evolent Health (NYSE: EVH) since November 2025, Check Point Software (Nasdaq-GS: CHKP) since November 2023, and MDA Space (TSX: MDA) since April 2021. She currently serves as Chair of the Nominating &amp; Governance Committee of Check Point Software and as Chair of the Nominating &amp; Governance Committee and a member of the Compensation Committee of MDA Space. From April 2021 to May 2024, Ms. Smith served as Board Chair of Aspen Technology. She previously served as a director of other international companies, including Hexagon AB (Nasdaq Stockholm: HEXA-B). Ms. Smith previously served as chief executive officer of DigitalGlobe and Allied Minds (LSE: ALM). Ms. Smith holds a Master of Science in Management from the MIT Sloan School of Management and a Bachelor of Arts in Business Studies. We believe Ms. Smith is well-qualified to serve on our Board because of her significant leadership experience in industries relevant to our business in addition to financial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David J. Hollister</w:t>
      </w:r>
      <w:r>
        <w:rPr>
          <w:rFonts w:ascii="Times New Roman" w:cs="Times New Roman" w:eastAsia="Times New Roman" w:hAnsi="Times New Roman"/>
          <w:sz w:val="18"/>
          <w:szCs w:val="18"/>
          <w:color w:val="auto"/>
        </w:rPr>
        <w:t>. Mr. Hollister serves as an independent director of Octave. Mr. Hollister has served on the board of directors of iDEAL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since March 2023 and as an advisory board member of InEight Software since August 2024 and L.A.T. Sportswear since December 2024. Prior to his retirement in April 2023, Mr. Hollister held various positions at Bentley Systems, Inc. (Nasdaq-GS: BSY) from 2006 to 2023, including as chief financial officer, chief operations advancement officer, and chief investment officer. Mr. Hollister is a Certified Public Accountant and qualifies as a financial expert for audit committee purposes. Mr. Hollister holds a Master of Business Administration from the University of Michigan and a Bachelor of Science in Business Administration and Accounting from the University of Northern Colorado. We believe Mr. Hollister is well-suited to serve on our board of directors given his leadership experience, relevant software industry experience, and financial and accounting expertise.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Magnus Ahlqvist. </w:t>
      </w:r>
      <w:r>
        <w:rPr>
          <w:rFonts w:ascii="Times New Roman" w:cs="Times New Roman" w:eastAsia="Times New Roman" w:hAnsi="Times New Roman"/>
          <w:sz w:val="18"/>
          <w:szCs w:val="18"/>
          <w:color w:val="auto"/>
        </w:rPr>
        <w:t>Mr. Ahlqvist serves as an independent director of Octave. Mr. Ahlqvist has served as President and Chief Executive Officer of Securitas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 (Nasdaq Stockholm: SECU B) since March 2018. He joined Securitas in August 2015 as Divisional President, Securitas Services Europe, and continued to hold that position until March 2019. Prior to joining Securitas, Mr. Ahlqvist held various senior management positions in the telecommunications and technology industries. He served as Corporate Vice President, EMEA &amp; India at Google-owned Motorola Mobility. Before that, he spent 12 years with Sony and Sony Ericsson Mobile Communications, where he held several leadership roles, including President for Greater China, General Manager for Spain &amp; Portugal, and General Manager for Canada. Mr. Ahlqvist holds a Master of Science in Economics and Business Administration from the Stockholm School of Economics and has completed a leadership program at Harvard Business School. We believe Mr. Ahlqvist is well-suited to serve on our board of directors given his extensive international leadership experience, deep expertise in technology-enabled services, and proven track record of leading and transforming large, global organizations.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Meerah Rajavel</w:t>
      </w:r>
      <w:r>
        <w:rPr>
          <w:rFonts w:ascii="Times New Roman" w:cs="Times New Roman" w:eastAsia="Times New Roman" w:hAnsi="Times New Roman"/>
          <w:sz w:val="18"/>
          <w:szCs w:val="18"/>
          <w:color w:val="auto"/>
        </w:rPr>
        <w:t>. Ms. Rajavel serves as an independent director of Octave. Since Apr, 2022, Ms. Rajavel has served as the Chief Information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Palo Alto Networks (Nasdaq: PANW). Ms. Rajavel has also served on the board of the nonprofit organization Neythiri since Aug 2025. Prior to joining Palo Alto Networks, Ms. Rajavel served as the Chief Information Officer of Citrix from 2019 to 2022. She served as a director and member of the Audit &amp; Risk Committee of Health Alliance Plan from December 2021 to December 2024, and as a director and member of the Compensation Committee of JFrog (Nasdaq: FROG) from November 2021 to June 2023. Previously, Ms. Rajavel also served as the Chief Information Officer and Product Cloud Operations leader for Forcepoint LLC from 2016 to 2019 and as Chief Information Officer and Enterprise Operational Excellence leader for Qlik from 2015 to 2016. Ms. Rajavel holds a Bachelor’s degree in Engineering from Thiagarajar College of Engineering and a Master of Business Administration from the Leavey School of Business at Santa Clara University. We believe Ms. Rajavel is well-qualified to serve on our Board because of her significant executive leadership experience in technology and cybersecurity, as well as her public-company board and committee experience.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the date of this information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Cryer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Kaplan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Jay Allardyce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Tamara Adams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Mattias Stenberg</w:t>
      </w:r>
      <w:r>
        <w:rPr>
          <w:rFonts w:ascii="Times New Roman" w:cs="Times New Roman" w:eastAsia="Times New Roman" w:hAnsi="Times New Roman"/>
          <w:sz w:val="18"/>
          <w:szCs w:val="18"/>
          <w:color w:val="auto"/>
        </w:rPr>
        <w:t>. Mr. Stenberg serves as our Chief Executive Officer and serves as a director. Prior to joining Octave, Mr. Stenberg served 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Benjamin Maslen. </w:t>
      </w:r>
      <w:r>
        <w:rPr>
          <w:rFonts w:ascii="Times New Roman" w:cs="Times New Roman" w:eastAsia="Times New Roman" w:hAnsi="Times New Roman"/>
          <w:sz w:val="18"/>
          <w:szCs w:val="18"/>
          <w:color w:val="auto"/>
        </w:rPr>
        <w:t>Mr. Maslen serves as our Chief Financial Officer. Mr. Maslen previously served as the Chief Strategy Officer of Hexagon, from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has served on the board of Martlet Capital Limited, a private early-stage venture capital company, since 2022. Mr. Maslen holds a Bachelor of Science in Economics and Politics from Bristol University and is an ICAEW Chartered Accountant.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Anthony Zana. </w:t>
      </w:r>
      <w:r>
        <w:rPr>
          <w:rFonts w:ascii="Times New Roman" w:cs="Times New Roman" w:eastAsia="Times New Roman" w:hAnsi="Times New Roman"/>
          <w:sz w:val="18"/>
          <w:szCs w:val="18"/>
          <w:color w:val="auto"/>
        </w:rPr>
        <w:t>Mr. Zana serves as our Chief Legal Officer and Corporate Secretary. Since 2019, Mr. Zana has served as Group General Counsel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of Hexagon, guiding the global legal affairs of the Hexagon group of companies, and prior to that, was Deputy General Counsel of Hexagon from 2016 to 2019. He has served as Vice President, General Counsel, and Corporate Secretary of Intergraph Corporation since 2011. Prior to working as an in-house counsel, Mr. Zana was an attorney at the law firm Maynard Cooper &amp; Gale P.C.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Cryer. </w:t>
      </w:r>
      <w:r>
        <w:rPr>
          <w:rFonts w:ascii="Times New Roman" w:cs="Times New Roman" w:eastAsia="Times New Roman" w:hAnsi="Times New Roman"/>
          <w:sz w:val="18"/>
          <w:szCs w:val="18"/>
          <w:color w:val="auto"/>
        </w:rPr>
        <w:t>Mr. Cryer serves as our Chief Marketing Officer. Mr. Cryer previously served as Senior Vice President &amp; Chief Marketing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2017. From 2014 to 2017, he served as Director of Marketing, Asia Pacific at Intergraph PP&amp;M, a wholly-owned subsidiary of Octave. From 2012 to 2014, he was Director, Enterprise Solutions &amp; Scale 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Kaplan. </w:t>
      </w:r>
      <w:r>
        <w:rPr>
          <w:rFonts w:ascii="Times New Roman" w:cs="Times New Roman" w:eastAsia="Times New Roman" w:hAnsi="Times New Roman"/>
          <w:sz w:val="18"/>
          <w:szCs w:val="18"/>
          <w:color w:val="auto"/>
        </w:rPr>
        <w:t>Ms. Kaplan serves as the Chief People Officer and is responsible for the strategic direction of the global human resources function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Octave. Prior to joining Octave, Ms. Kaplan served as Senior Vice President, Global Human Resources at Hexagon’s Asset Lifecycle Intelligence division (now a part of Octave) from 2017 to 2025. Ms. Kaplan’s career spans more than 25 years, during which she has held various leadership roles within global software, services and hardware companies. She holds a Bachelor of Arts in Psychology from the University of Arizona.</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Vivek Mokashi. </w:t>
      </w:r>
      <w:r>
        <w:rPr>
          <w:rFonts w:ascii="Times New Roman" w:cs="Times New Roman" w:eastAsia="Times New Roman" w:hAnsi="Times New Roman"/>
          <w:sz w:val="18"/>
          <w:szCs w:val="18"/>
          <w:color w:val="auto"/>
        </w:rPr>
        <w:t>Mr. Mokashi serves as our Chief Technology Officer. Mr. Mokashi has more than three decades of experience, with roles in Pre-sales,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Assurance, Global Support, Product Design and Development. Prior to joining Octave, Mr. Mokashi held senior leadership positions at Hexagon’s Asset Lifecycle Intelligence division (now a part of Octave),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 Moore. </w:t>
      </w:r>
      <w:r>
        <w:rPr>
          <w:rFonts w:ascii="Times New Roman" w:cs="Times New Roman" w:eastAsia="Times New Roman" w:hAnsi="Times New Roman"/>
          <w:sz w:val="18"/>
          <w:szCs w:val="18"/>
          <w:color w:val="auto"/>
        </w:rPr>
        <w:t>Mr. Moore serves as our Chief Operating Officer. Prior to joining Octave and since 1993, he has served Hexagon in key business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roles, including business operations manager for several software business units and specifically, as Chief Financial Officer and Chief Operating Officer of Hexagon’s Asset Lifecycle </w:t>
      </w:r>
      <w:r>
        <w:rPr>
          <w:rFonts w:ascii="Times New Roman" w:cs="Times New Roman" w:eastAsia="Times New Roman" w:hAnsi="Times New Roman"/>
          <w:sz w:val="14"/>
          <w:szCs w:val="14"/>
          <w:color w:val="auto"/>
        </w:rPr>
        <w:t>Intelligence</w:t>
      </w:r>
      <w:r>
        <w:rPr>
          <w:rFonts w:ascii="Times New Roman" w:cs="Times New Roman" w:eastAsia="Times New Roman" w:hAnsi="Times New Roman"/>
          <w:sz w:val="18"/>
          <w:szCs w:val="18"/>
          <w:color w:val="auto"/>
        </w:rPr>
        <w:t xml:space="preserve"> Division (now a part of Octave). Prior to joining Intergraph, Mr. Moore was a financial analyst with EER Systems, a defense contractor in Huntsville, Alabama. He holds a Bachelor’s degree in Economics from Vanderbilt University and a Master’s degree in Management from the University of Alabama in Huntsville.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Jay Allardyce. </w:t>
      </w:r>
      <w:r>
        <w:rPr>
          <w:rFonts w:ascii="Times New Roman" w:cs="Times New Roman" w:eastAsia="Times New Roman" w:hAnsi="Times New Roman"/>
          <w:sz w:val="18"/>
          <w:szCs w:val="18"/>
          <w:color w:val="auto"/>
        </w:rPr>
        <w:t>Mr. Allardyce serves as our Chief Product Officer. Mr. Allardyce previously served as the General Manager for the Data &amp; Analytics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and Hewlett-Packard. Mr. Allardyce co-founded and serves as a director of GenAI.Works, an AI platform company, from May 2023 to present. Mr. Allardyce holds a Master's in Business Administration from Santa Clara University.</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Tamara Adams. </w:t>
      </w:r>
      <w:r>
        <w:rPr>
          <w:rFonts w:ascii="Times New Roman" w:cs="Times New Roman" w:eastAsia="Times New Roman" w:hAnsi="Times New Roman"/>
          <w:sz w:val="18"/>
          <w:szCs w:val="18"/>
          <w:color w:val="auto"/>
        </w:rPr>
        <w:t>Ms. Adams serves as our Chief Revenue Officer. Prior to joining the Company, Ms. Adams served as Chief Revenue Officer of Dotmatics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beginning in 2022, where she led global go-to-market strategy, revenue operations, and demand generation. During her tenure, Dotmatics was acquired by Siemens. Prior to joining Dotmatics, Ms. Adams held senior leadership roles at Honeywell, Oracle, and PerkinElmer, where she led global revenue strategy and go-to-market execution across North America, EMEA, MENA, and APAC. Ms. Adams has more than 20 years of experience driving revenue growth, scaling global enterprise and SaaS organizations, and leading strategic initiatives, including mergers and acquisitions and IPO readiness.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Director Independence Guidelines will set forth certain criteria to assess the independence of directors of Octave. Under the Director Independence Guidelines, which will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expected executive officers or director nominees.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Management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compensation programs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Board has established the following committees, each of which will operate following the completion of the Distribution under a written charter that will satisfy the applicable Nasdaq New York listing standards and be posted to Octave’s website: the Audit Committee, the Compensation Committee and the Nominating and Governance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will be established in accordance with Rule 10A-3 under the Exchange Act and the listing rules of Nasdaq New York. The responsibilities of the Audit Committee will be more fully described in the Audit Committee charter. We anticipate that the responsibilities of the Audit Committee will include, among others:</w:t>
      </w:r>
    </w:p>
    <w:p>
      <w:pPr>
        <w:spacing w:after="0" w:line="122" w:lineRule="exact"/>
        <w:rPr>
          <w:sz w:val="20"/>
          <w:szCs w:val="20"/>
          <w:color w:val="auto"/>
        </w:rPr>
      </w:pPr>
    </w:p>
    <w:p>
      <w:pPr>
        <w:ind w:left="660" w:hanging="328"/>
        <w:spacing w:after="0" w:line="282" w:lineRule="auto"/>
        <w:tabs>
          <w:tab w:leader="none" w:pos="6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(i) the integrity of our financial statements, (ii) the independence, qualifications and performance of our independent auditor, and (iii) the performance of our internal audit function;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accounting firm to serve as the independent auditor and maintaining responsibility for compensation, retention and oversight of the independent auditor;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quarterly financial statements;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earnings press releases, risk assessment and risk management policies.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Meerah Rajavel and Jill Smith are members of the Audit Committee. Jill Smith is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we expect that our Board of Directors will determine that each of the members of the Audit Committee will be independent, as defined by the rules of Nasdaq New York and Section 10A(m)(3) of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will have the responsibilities set forth in the charter of such committee. We anticipate that the responsibilities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will include, among others:</w:t>
      </w:r>
    </w:p>
    <w:p>
      <w:pPr>
        <w:spacing w:after="0" w:line="153" w:lineRule="exact"/>
        <w:rPr>
          <w:sz w:val="20"/>
          <w:szCs w:val="20"/>
          <w:color w:val="auto"/>
        </w:rPr>
      </w:pPr>
    </w:p>
    <w:p>
      <w:pPr>
        <w:ind w:left="660" w:hanging="328"/>
        <w:spacing w:after="0" w:line="282" w:lineRule="auto"/>
        <w:tabs>
          <w:tab w:leader="none" w:pos="65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and evaluating our Chief Executive Officer’s performance in light of such goals and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other executive officers, including incentive compensation and equity-based compensation plans, that are subject to approval by the Board of Directors.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Brett Watson and Jill Smith are members of the Compensation Committee. David Hollister is the Chair of such committee. Our Board of Directors is expected to determine that each member of the Compensation Committee will be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will have the responsibilities set forth in the charter of such committee. We anticipate that the responsibilities of the Nominating and Governance Committee will include, among others:</w:t>
      </w:r>
    </w:p>
    <w:p>
      <w:pPr>
        <w:spacing w:after="0" w:line="108" w:lineRule="exact"/>
        <w:rPr>
          <w:sz w:val="20"/>
          <w:szCs w:val="20"/>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or recommending to our Board of Directors qualified individuals to be nominated for election as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our 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transactions with related parties under our Related Party Transaction Policy;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Nominating and Governance Committee’s performance.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Magnus Ahlqvist and Brett Watson are members of the Nominating and Governance Committee. Magnus Ahlqvist is the chair of such committee. Our Board of Directors is expected to determine that each member of the Nominating and Governance Committee will be independent, as defined by the rules of Nasdaq New York and in accordance with our Director Independence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is currently a part of Hexagon, and our Compensation Committee has not yet been formed. Our pay programs and policies following the Distribution remain subject to review and approval by our own Compensation Committee once formed.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this Compensation Discussion and Analysis discusses Octave’s historical compensation programs as applied to the individuals who are expected to be our “named executive officers” (“NEOs”). We expect that our Compensation Committee, once formed, will review our compensation and benefit programs on a periodic basis and determine the appropriate compensation and benefits for our executive officers. Therefore, our executive compensation and benefits programs following the completion of the transactions may not be the same as those discussed below.</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still in the process of determining our leadership structure following the Distribution and which positions will be identified as executive officers. As of the date of this information statement, the following individuals are expected to serve as executive officers of Octave immediately following the Distribution, and, based on their roles and/or fiscal year 2025 compensation, such individuals would have constituted the NEOs of Octave had it been an independent public company during fiscal year 2025.</w:t>
      </w:r>
    </w:p>
    <w:p>
      <w:pPr>
        <w:spacing w:after="0" w:line="126" w:lineRule="exact"/>
        <w:rPr>
          <w:sz w:val="20"/>
          <w:szCs w:val="20"/>
          <w:color w:val="auto"/>
        </w:rPr>
      </w:pPr>
    </w:p>
    <w:p>
      <w:pPr>
        <w:ind w:left="660" w:hanging="328"/>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Mattias Stenberg, who is expected to serve as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Maslen, who is expected to serve as our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Moore, who is expected to serve as our Chief Operating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Zana, who is expected to serve as our Chief Legal Officer and Corporate Secretary;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Vivek Mokashi, who is expected to serve as our Chief Technology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Hexagon’s 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Hexagon’s compensation program is designed and administered around the following core principles:</w:t>
      </w:r>
    </w:p>
    <w:p>
      <w:pPr>
        <w:spacing w:after="0" w:line="171" w:lineRule="exact"/>
        <w:rPr>
          <w:sz w:val="20"/>
          <w:szCs w:val="20"/>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total remuneration to attract and retain key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achievement of strategic and financial objectives and encourage long-term value creation.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shareholder returns.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Hexagon’s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remuneration at Hexagon is intended to be competitive with market practice and consists of a mix of fixed and variable elements, both short-term and long-term, as described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40" w:type="dxa"/>
            <w:vAlign w:val="bottom"/>
          </w:tcPr>
          <w:p>
            <w:pPr>
              <w:spacing w:after="0"/>
              <w:rPr>
                <w:sz w:val="16"/>
                <w:szCs w:val="16"/>
                <w:color w:val="auto"/>
              </w:rPr>
            </w:pPr>
          </w:p>
        </w:tc>
        <w:tc>
          <w:tcPr>
            <w:tcW w:w="27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40" w:type="dxa"/>
            <w:vAlign w:val="bottom"/>
          </w:tcPr>
          <w:p>
            <w:pPr>
              <w:spacing w:after="0"/>
              <w:rPr>
                <w:sz w:val="16"/>
                <w:szCs w:val="16"/>
                <w:color w:val="auto"/>
              </w:rPr>
            </w:pPr>
          </w:p>
        </w:tc>
        <w:tc>
          <w:tcPr>
            <w:tcW w:w="27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2025 Structure</w:t>
            </w:r>
          </w:p>
        </w:tc>
        <w:tc>
          <w:tcPr>
            <w:tcW w:w="120" w:type="dxa"/>
            <w:vAlign w:val="bottom"/>
          </w:tcPr>
          <w:p>
            <w:pPr>
              <w:spacing w:after="0"/>
              <w:rPr>
                <w:sz w:val="16"/>
                <w:szCs w:val="16"/>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Performance Objectives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Attract and retain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amount paid periodically in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Rate reflects role and individual</w:t>
            </w:r>
          </w:p>
        </w:tc>
      </w:tr>
      <w:tr>
        <w:trPr>
          <w:trHeight w:val="243"/>
        </w:trPr>
        <w:tc>
          <w:tcPr>
            <w:tcW w:w="2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w:t>
            </w:r>
          </w:p>
        </w:tc>
      </w:tr>
      <w:tr>
        <w:trPr>
          <w:trHeight w:val="175"/>
        </w:trPr>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Cash Remuneration</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short-term</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Annual variable amount paid in</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Results and other financial targets,</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performance</w:t>
            </w: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6"/>
                <w:szCs w:val="16"/>
                <w:color w:val="auto"/>
              </w:rPr>
            </w:pPr>
          </w:p>
        </w:tc>
        <w:tc>
          <w:tcPr>
            <w:tcW w:w="2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such as organic revenue growth,</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w:t>
            </w:r>
          </w:p>
        </w:tc>
        <w:tc>
          <w:tcPr>
            <w:tcW w:w="120" w:type="dxa"/>
            <w:vAlign w:val="bottom"/>
          </w:tcPr>
          <w:p>
            <w:pPr>
              <w:spacing w:after="0"/>
              <w:rPr>
                <w:sz w:val="15"/>
                <w:szCs w:val="15"/>
                <w:color w:val="auto"/>
              </w:rPr>
            </w:pPr>
          </w:p>
        </w:tc>
        <w:tc>
          <w:tcPr>
            <w:tcW w:w="2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profitability growth and cash</w:t>
            </w: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150% of base salary</w:t>
            </w:r>
          </w:p>
        </w:tc>
        <w:tc>
          <w:tcPr>
            <w:tcW w:w="120" w:type="dxa"/>
            <w:vAlign w:val="bottom"/>
          </w:tcPr>
          <w:p>
            <w:pPr>
              <w:spacing w:after="0"/>
              <w:rPr>
                <w:sz w:val="19"/>
                <w:szCs w:val="19"/>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w:t>
            </w:r>
          </w:p>
        </w:tc>
      </w:tr>
      <w:tr>
        <w:trPr>
          <w:trHeight w:val="175"/>
        </w:trPr>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Equity Remuneration</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long-term performance</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Equity-settled awards subject to</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Earnings per share (“EPS”) growth</w:t>
            </w:r>
          </w:p>
        </w:tc>
      </w:tr>
      <w:tr>
        <w:trPr>
          <w:trHeight w:val="184"/>
        </w:trPr>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Align with shareholder interests</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four-year measurement period</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Attract, motivate, and retain</w:t>
            </w: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 35%</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100% of base salary</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direct compensation elements noted above, the NEOs are eligible for certain pension and other benefits consistent with other senior leaders within Hexagon, although the NEOs are not all similarly situated within Hexagon and have varying terms and conditions of employment. Such benefits are described in more detail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Executive Compensation is Determined at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Remuneration Committee of Hexagon’s Board of Directors (the “Hexagon Board” and such committee, the “Hexagon Remuneration Committee”) typically prepares proposals regarding compensation for members of Hexagon’s executive management team, three of whom are designated to be our NEOs, with such compensation finally decided by the Hexagon Board. Compensation for two other individuals who are designated to be our NEOs was evaluated using standard compensation practices within the applicable business areas of Hexagon.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Responsibilities for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 the table below are the oversight responsibilities for Hexagon’s executive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General Meeting of Shareholders</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 the guidelines for remuneration to senior executives prepared by the Hexagon Board at least</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(“AGM”)</w:t>
            </w: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every fourth year</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the annual remuneration report prepared pursuant to Swedish law</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performance-based long-term incentive programs upon proposal from the Hexagon Board</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Approve the remuneration of the Hexagon Board upon proposal from Hexagon’s Nomination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any deviations from the adopted guidelines for remuneration to senior executives upon proposal</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from the Hexagon Board</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Committee</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Recommend to the Hexagon Board remuneration of Hexagon’s President and CEO and other senior</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3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Hexagon’s President and</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Monitor and evaluate programs for variable remuneration for executive management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Evaluate the application of the adopted guidelines for remuneration to senior executives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of Directors</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remuneration of Hexagon’s President and CEO and other senior executives based upon proposal</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from the Hexagon Remuneration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Submit to the AGM a proposal for guidelines for remuneration to senior executives at least every fourth</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Prepare the annual remuneration report for approval by the AGM</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Consider annually whether a share or share-based incentive program shall be proposed to the AGM</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Submit to the AGM any proposed deviations from the adopted guidelines for remuneration to senior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 when necessary to safeguard Hexagon’s long-term interests or financial viability</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Review the annual independent auditor’s opinion on whether Hexagon’s remuneration practices comply</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adopted guidelines for remuneration to senior executives</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other executives</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Hexagon</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Review and approve base compensation for direct reports of Hexagon executives</w:t>
            </w:r>
          </w:p>
        </w:tc>
        <w:tc>
          <w:tcPr>
            <w:tcW w:w="0" w:type="dxa"/>
            <w:vAlign w:val="bottom"/>
          </w:tcPr>
          <w:p>
            <w:pPr>
              <w:spacing w:after="0"/>
              <w:rPr>
                <w:sz w:val="1"/>
                <w:szCs w:val="1"/>
                <w:color w:val="auto"/>
              </w:rPr>
            </w:pPr>
          </w:p>
        </w:tc>
      </w:tr>
      <w:tr>
        <w:trPr>
          <w:trHeight w:val="63"/>
        </w:trPr>
        <w:tc>
          <w:tcPr>
            <w:tcW w:w="3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Auditor</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Review and report annually on Hexagon’s compliance with the adopted guidelines for remuneration to</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executives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 Details and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an NEO’s compensation and is intended to provide compensation for expected day-to-day performance. Salaries are reviewed periodically and may be increased based on a number of factors, including the assumption of additional responsibilities and other factors that demonstrate an NEO’s increased value to Hexagon and review of competitive market data. For fiscal year 2025, the annual base salary rates for the NEOs were: $1,025,326 for Mr. Stenberg; $715,454 for Mr. Maslen; $570,544 for Mr. Moore; $640,030 for Mr. Zana and $388,125 for Mr. Mokashi. Throughout this information statement, amounts for Mr. Maslen reflect a conversion from pounds sterling (GBP) to U.S. dollars using the foreign exchange rate as of December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Bonuses and Non-Equity Incentive Plan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motivate the NEOs to achieve short-term performance objectives, Hexagon awards bonuses based on achievement of predefined performance metrics established by the Hexagon Remuneration Committee. For fiscal year 2025, the annual bonus opportunity for each of Messrs. Stenberg, Maslen, Moore and Zana was equal to 150% of base salary, representing the aggregate cap on payouts, as follows: $1,537,989 for Mr. Stenberg; $1,073,181 for Mr. Maslen; $855,816 for Mr. Moore; $960,045 for Mr. Zana. Mr. Mokashi’s target bonus opportunity for fiscal year 2025 was equal to 40% of base salary, or $155,250, with the opportunity to earn up to 200% of target, or $310,500, based on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earned bonuses for fiscal year 2025 were determined based on the level of achievement of the following metrics: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7"/>
                <w:szCs w:val="17"/>
                <w:color w:val="auto"/>
              </w:rPr>
            </w:pPr>
          </w:p>
        </w:tc>
        <w:tc>
          <w:tcPr>
            <w:tcW w:w="2080" w:type="dxa"/>
            <w:vAlign w:val="bottom"/>
          </w:tcPr>
          <w:p>
            <w:pPr>
              <w:ind w:left="78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Payout Range</w:t>
            </w:r>
            <w:r>
              <w:rPr>
                <w:rFonts w:ascii="Times New Roman" w:cs="Times New Roman" w:eastAsia="Times New Roman" w:hAnsi="Times New Roman"/>
                <w:sz w:val="18"/>
                <w:szCs w:val="18"/>
                <w:b w:val="1"/>
                <w:bCs w:val="1"/>
                <w:color w:val="auto"/>
                <w:w w:val="98"/>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Octave organic revenue</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 of base</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Earnings Before</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0–50%</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25% of base 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Tax (“EBIT”)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rPr>
              <w:t>of base salary</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spacing w:after="0"/>
              <w:rPr>
                <w:sz w:val="16"/>
                <w:szCs w:val="16"/>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63"/>
        </w:trPr>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75"/>
        </w:trPr>
        <w:tc>
          <w:tcPr>
            <w:tcW w:w="1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5"/>
                <w:szCs w:val="15"/>
                <w:color w:val="auto"/>
              </w:rPr>
            </w:pP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organic revenue</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EBIT growth</w:t>
            </w:r>
            <w:r>
              <w:rPr>
                <w:rFonts w:ascii="Times New Roman" w:cs="Times New Roman" w:eastAsia="Times New Roman" w:hAnsi="Times New Roman"/>
                <w:sz w:val="21"/>
                <w:szCs w:val="21"/>
                <w:color w:val="auto"/>
                <w:vertAlign w:val="superscript"/>
              </w:rPr>
              <w:t>(5)</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spacing w:after="0"/>
              <w:rPr>
                <w:sz w:val="20"/>
                <w:szCs w:val="20"/>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6"/>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Vivek Mokashi</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Global revenue</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90% of plan</w:t>
            </w: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100% of plan</w:t>
            </w: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110% of plan</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 of target</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28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2400" w:type="dxa"/>
            <w:vAlign w:val="bottom"/>
          </w:tcPr>
          <w:p>
            <w:pPr>
              <w:ind w:left="100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Pr>
          <w:p>
            <w:pPr>
              <w:ind w:left="340"/>
              <w:spacing w:after="0" w:line="196" w:lineRule="exact"/>
              <w:rPr>
                <w:sz w:val="20"/>
                <w:szCs w:val="20"/>
                <w:color w:val="auto"/>
              </w:rPr>
            </w:pPr>
            <w:r>
              <w:rPr>
                <w:rFonts w:ascii="Times New Roman" w:cs="Times New Roman" w:eastAsia="Times New Roman" w:hAnsi="Times New Roman"/>
                <w:sz w:val="14"/>
                <w:szCs w:val="14"/>
                <w:b w:val="1"/>
                <w:bCs w:val="1"/>
                <w:color w:val="auto"/>
              </w:rPr>
              <w:t>Payout Range</w:t>
            </w:r>
            <w:r>
              <w:rPr>
                <w:rFonts w:ascii="Times New Roman" w:cs="Times New Roman" w:eastAsia="Times New Roman" w:hAnsi="Times New Roman"/>
                <w:sz w:val="18"/>
                <w:szCs w:val="18"/>
                <w:b w:val="1"/>
                <w:bCs w:val="1"/>
                <w:color w:val="auto"/>
                <w:vertAlign w:val="superscript"/>
              </w:rPr>
              <w:t>(3)</w:t>
            </w: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Global EBIT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100% of plan</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120% of plan</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0–200% of target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37.1% of target</w:t>
            </w:r>
          </w:p>
        </w:tc>
      </w:tr>
      <w:tr>
        <w:trPr>
          <w:trHeight w:val="234"/>
        </w:trPr>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plan</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184"/>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Global SaaS bookings</w:t>
            </w:r>
          </w:p>
        </w:tc>
        <w:tc>
          <w:tcPr>
            <w:tcW w:w="15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0% of plan</w:t>
            </w:r>
          </w:p>
        </w:tc>
        <w:tc>
          <w:tcPr>
            <w:tcW w:w="15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100% of plan</w:t>
            </w:r>
          </w:p>
        </w:tc>
        <w:tc>
          <w:tcPr>
            <w:tcW w:w="14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150% of plan</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110.7% of target</w:t>
            </w:r>
          </w:p>
        </w:tc>
      </w:tr>
      <w:tr>
        <w:trPr>
          <w:trHeight w:val="243"/>
        </w:trPr>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250"/>
        </w:trPr>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ind w:left="320" w:hanging="312"/>
        <w:spacing w:after="0"/>
        <w:tabs>
          <w:tab w:leader="none" w:pos="32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metrics are equally weighted, except that for Mr. Mokashi, Global revenue is weighted 60% and Global EBIT and Global SaaS bookings are each weighted 20%.</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w:t>
      </w:r>
    </w:p>
    <w:p>
      <w:pPr>
        <w:spacing w:after="0" w:line="2" w:lineRule="exact"/>
        <w:rPr>
          <w:rFonts w:ascii="Times New Roman" w:cs="Times New Roman" w:eastAsia="Times New Roman" w:hAnsi="Times New Roman"/>
          <w:sz w:val="14"/>
          <w:szCs w:val="14"/>
          <w:color w:val="auto"/>
        </w:rPr>
      </w:pPr>
    </w:p>
    <w:p>
      <w:pPr>
        <w:jc w:val="both"/>
        <w:ind w:left="340" w:right="20" w:hanging="332"/>
        <w:spacing w:after="0" w:line="260"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payouts are determined using a linear earning scale between the applicable performance levels. For Mr. Mokashi, the Global SaaS bookings metric uses a linear payout up to target performance and an accelerated slope equal to two times the linear rate for results exceeding target. Payout percentages for Mr. Mokashi are applied to the weighted components of his target bonus opportunity, and the maximum aggregate payout under the annual incentive plan is 200% of target bonus opportunity.</w:t>
      </w:r>
    </w:p>
    <w:p>
      <w:pPr>
        <w:ind w:left="340" w:right="20" w:hanging="332"/>
        <w:spacing w:after="0" w:line="254"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w:t>
      </w:r>
    </w:p>
    <w:p>
      <w:pPr>
        <w:ind w:left="340" w:right="20" w:hanging="332"/>
        <w:spacing w:after="0" w:line="278"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EBIT growth metric comparing Octave EBIT for 2025 with EBIT for the Asset Lifecycle Intelligence division for 2024 (as historically reported by Hexagon), reflecting the separation and related transition activities during 2025.</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performance results described above, the annual bonuses paid in respect of 2025 were $762,843 for Mr. Stenberg, $479,712 for Mr. Maslen, $567,121 for Mr. Moore, $429,140 for Mr. Zana and $71,978 for Mr. Mokashi.</w:t>
      </w:r>
    </w:p>
    <w:p>
      <w:pPr>
        <w:spacing w:after="0" w:line="108" w:lineRule="exact"/>
        <w:rPr>
          <w:sz w:val="20"/>
          <w:szCs w:val="20"/>
          <w:color w:val="auto"/>
        </w:rPr>
      </w:pPr>
    </w:p>
    <w:p>
      <w:pPr>
        <w:ind w:right="1540"/>
        <w:spacing w:after="0" w:line="438" w:lineRule="auto"/>
        <w:rPr>
          <w:sz w:val="20"/>
          <w:szCs w:val="20"/>
          <w:color w:val="auto"/>
        </w:rPr>
      </w:pPr>
      <w:r>
        <w:rPr>
          <w:rFonts w:ascii="Times New Roman" w:cs="Times New Roman" w:eastAsia="Times New Roman" w:hAnsi="Times New Roman"/>
          <w:sz w:val="18"/>
          <w:szCs w:val="18"/>
          <w:color w:val="auto"/>
        </w:rPr>
        <w:t xml:space="preserve">In 2025, Mr. Zana also received a discretionary bonus outside the annual incentive plan in recognition of contributions during the year. </w:t>
      </w:r>
      <w:r>
        <w:rPr>
          <w:rFonts w:ascii="Times New Roman" w:cs="Times New Roman" w:eastAsia="Times New Roman" w:hAnsi="Times New Roman"/>
          <w:sz w:val="18"/>
          <w:szCs w:val="18"/>
          <w:b w:val="1"/>
          <w:bCs w:val="1"/>
          <w:i w:val="1"/>
          <w:iCs w:val="1"/>
          <w:color w:val="auto"/>
        </w:rPr>
        <w:t>Hexagon Equity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Hexagon’s annual compensation program, Hexagon generally grants performance share awards in June of each year through its long-term share programme. The purpose of the share programme is to strengthen Hexagon’s ability to retain and recruit competent employees, to provide competitive remuneration and to align the interest of the shareholders with the interest of the employees concerned. Hexagon’s equity-based incentive program is proposed by the Hexagon Board to the AGM each year and implemented following shareholder approval.</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AGM held on May 5, 2025, Hexagon’s shareholders decided to implement a performance based long-term share programme for 2025 (the “Hexagon Share Programme 2025/2028”), which entitles participants to Series B shares in Hexagon or cash in lieu thereof if certain metrics related to Hexagon’s earnings per share are satisfied, subject to continued employment. Five groups of participants (the Chief Executive Officer, group management, division managers, senior executives and key employees of Hexagon, its subsidiaries and affiliates) who, with the exception of the Chief Executive Officer, have been employed for at least 12 months were entitled to participate in the Hexagon Share Programme 2025/2028. Participants were granted performance share awards determined using a maximum value for each participant category, expressed as a percentage of the participant’s annual base salary for 2025. The share price used to calculate the grant date fair value of performance share awards was the volume-weighted average of the market price of Hexagon’s Series B shares on Nasdaq Stockholm from June 19, 2025 through June 26, 2025, representing five trading days preceding the date on which participants were offered the opportunity to participate in the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and value of performance share awards granted to the NEOs pursuant to the Hexagon Share Programme 2025/2028: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 Target Value ($)</w:t>
            </w:r>
          </w:p>
        </w:tc>
        <w:tc>
          <w:tcPr>
            <w:tcW w:w="0" w:type="dxa"/>
            <w:vAlign w:val="bottom"/>
          </w:tcPr>
          <w:p>
            <w:pPr>
              <w:spacing w:after="0"/>
              <w:rPr>
                <w:sz w:val="1"/>
                <w:szCs w:val="1"/>
                <w:color w:val="auto"/>
              </w:rPr>
            </w:pPr>
          </w:p>
        </w:tc>
      </w:tr>
      <w:tr>
        <w:trPr>
          <w:trHeight w:val="148"/>
        </w:trPr>
        <w:tc>
          <w:tcPr>
            <w:tcW w:w="80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5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reflect a conversion from Swedish kronor to U.S. dollars using Hexagon’s June 2025 foreign exchange rate applied for financial reporting purposes (9.58947), resulting in a share price of $9.63 per share.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were granted free of charge and are subject to a four-year vesting period and continued employment, subject to certain exceptions. Vesting of performance share awards is also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Series B shares in Hexagon in accordance with the terms of Hexagon Share Programme 2025/2028.</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govern the treatment of outstanding Hexagon Equity Awards held by the Octave Employees (each, as defined below), including each of our NEOs, as of the Closing. See “—Treatment of Outstanding Hexagon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Components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annual and long-term direct compensation programs designed to align pay with performance, Hexagon provides the NEOs with the benefits and retirement plans summarized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NEOs receive health coverage, life insurance, disability benefits and, generally, other similar benefits in the same manner as our employees in the applicable NEO’s respective country. Certain NEOs are also eligible for limited perquisites, such as employer-paid club memberships, consistent with market practice.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Hexagon maintains a 401(k) retirement savings plan (the “401(k) Plan”) for its employees who satisfy certain eligibility requirements.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Messrs. Stenberg, Moore, Zana and Mokashi were eligible to participate in the 401(k) Plan on the same terms as other eligible employees. Hexagon provides employer contributions under the 401(k) Plan, which are fully vested when made.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UK Plan. </w:t>
      </w:r>
      <w:r>
        <w:rPr>
          <w:rFonts w:ascii="Times New Roman" w:cs="Times New Roman" w:eastAsia="Times New Roman" w:hAnsi="Times New Roman"/>
          <w:sz w:val="18"/>
          <w:szCs w:val="18"/>
          <w:color w:val="auto"/>
        </w:rPr>
        <w:t>Hexagon sponsors the Hexagon Intergraph Pension Scheme (the “UK Plan”), a broad-based defined contribution pension plan for its UK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2025, Mr. Maslen was eligible to participate in the UK Plan on the same terms as other eligible employees. Hexagon provides employer contributions under the UK Plan, which are fully vested when made. Benefits under the UK Plan are based solely on contributions and investment performance, and no defined benefit or guaranteed return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Agreements with NEOs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and conditions of employment for our NEOs are subject to employment agreements or offer letters of employment with Hexagon or its subsidiaries. In connection with the Distribution, Octave and/or certain of its controlled affiliates intend to enter into new employment agreements with our NEOs, to be effective upon the completion of the Distribution. See “Executive Compensation—Compensation Arrangements to be Adopted in Connection with this Distribution—Employment Agreements” for more detailed description of such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Mattias Stenberg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16, 2017, Intergraph PPM, then a business division operating under Intergraph Corporation and now part of Hexagon’s Asset Lifecycle Intelligence division, and Mr. Stenberg entered into an offer letter (as amended, the “Stenberg Offer Letter”). The Stenberg Offer Letter provides that Mr. Stenberg’s employment is for an unspecified duration, “at-will” and may be terminated by Mr. Stenberg or the employer subject to six- and twelve-month notice requirements,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Stenberg Offer Letter, Mr. Stenberg is entitled to receive an initial base salary of $57,500 per month, or approximately $690,000 on an annualized basis, subject to adjustments from time to time per management’s discretion. Mr. Stenberg also received a one-time cash bonus in the amount of $32,876.67.</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 is eligible to receive an annual bonus of up to 150% of his base salary under the employer’s non-equity incentive bonus plan. The Stenberg Offer Letter also provides for a one-year post-termination non-competition covenant and a one-year post-termination non-solicitation covenant of customers and employees or independent contractors of the employer. In connection with his employment, Mr. Stenberg was required to sign a proprietary information and invention agreement, a privacy policy agreement and an export compliance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Maslen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his commencement of employment with Hexagon Corporate Services UK Ltd in August 2017, Mr. Maslen entered into an offer letter and a Service Agreement (together, the “Maslen Employment Agreement”) that collectively describe certain terms of Mr. Maslen’s initial compensation arrangements. The Maslen Employment Agreement provides that Mr. Maslen’s employment will be continuous until terminated and may be terminated by Mr. Maslen or the employer, generally subject to six- or twelve-month notice requirements, respectively.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Maslen Employment Agreement, Mr. Maslen is entitled to receive an initial base salary of £400,000 per year, subject to review by the employer’s Chief Executive Officer or his or her designee not less than once in each calendar year. Under the Maslen Employment Agreement, Mr. Maslen is also eligible to participate in Hexagon’s group management bonus scheme, pension scheme and other employee benefit programs.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written notice is given by Mr. Maslen or by the employer to terminate Mr. Maslen’s employment or if Mr. Maslen has purported to resign without giving due notice to the employer, the employer may: (i) require Mr. Maslen to perform such duties as the board of directors of the employer may direct; (ii) require Mr. Maslen to perform no duties; (iii) require Mr. Maslen not to have any communication with any counterparty or potential counterparty of the employer or any Hexagon group member in relation to the business of the employer or any Hexagon group member; (iv) require Mr. Maslen not to have any communication with any employee, officer, director, agent or consultant of the employer or any Hexagon group member in relation to the business of the employer or any Hexagon group member; (v) require Mr. Maslen not to become involved with the business of the employer or any Hexagon group member; or (vi) require that Mr. Maslen not access, seek to use or retain copies of any of the employer’s materials, records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Maslen Employment Agreement provides for: (i) a perpetual confidentiality covenant; (ii) a perpetual covenant not to harm the reputation of the employer or any Hexagon group member; (iii) a one-year post-termination non-competition covenant; (iv) a one-year post-termination non-solicitation covenant of the employer’s counterparties or prospective counterparties and of service-providers to the employer; and (v) a one-year post termination covenant not to interfere with or damage the relationship between the employer and any of its counterparty or prospective counterparty.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Moore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2010, Intergraph Corporation (“Intergraph”) provided Mr. Moore with a letter confirming certain terms of his compensation (the “Moore Compensation Letter”). The Moore Compensation Letter provides for a base salary of $320,000 per year, a target annual incentive bonus opportunity equal to 60% of base salary, and severance equal to 12 months of base salary upon a qualifying termination of employment.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Zana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January 1, 2020, Intergraph and Mr. Zana entered into an employment contract (the “Zana Employment Agreement”). The Zana Employment Agreement provides that Mr. Zana’s employment will be continuous until terminated, “at-will” and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in control.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Zana Employment Agreement, Mr. Zana is entitled to receive an initial base salary of $444,000 per year, subject to adjustment by mutual agreement between Mr. Zana and Hexagon’s Chief Executive Officer as documented in the normal course of annual performance reviews. Under the Zana Employment Agreement, Mr. Zana is eligible to receive an annual incentive bonus as aligned with Hexagon’s annual bonus scheme for members of Hexagon’s management. Mr. Zana is also eligible to participate in Hexagon’s annual long-term incentive equity grant program and all employee benefits generally available to similarly situated employees.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initial commencement of employment with Intergraph in June 2008, Mr. Zana was required to sign a proprietary agreement, a privacy policy agreement and an export compliance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Vivek Mokashi</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Mokashi was initially hired as an employee of Intergraph in Singapore and subsequently relocated to the U.S. In connection with his relocation to the U.S. in September 1998, Mr. Mokashi received an offer letter (the “Mokashi Offer Letter”) that provides for temporary employment with Intergraph for a period not to exceed three years. Under the Mokashi Offer Letter, Mr. Mokashi was entitled to receive an initial base salary of $1,012 per week, or approximately $52,624 on an annualized basis, and was eligible to participate in his employer’s employee stock ownership plan. Under the Mokashi Offer Letter, Mr. Mokashi was also eligible to receive certain relocation benefits up to $15,000, subject to repayment by Mr. Mokashi if he voluntarily terminates employment within 12 months from the time the relocation expenses were incurred. Under the Mokashi Offer Letter, Mr. Mokashi was also eligible to participate in certain of Intergraph’s retirement and other employee benefit programs. In connection with his employment, Mr. Mokashi was required to sign a proprietary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Management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Swedish company that has historically been governed by non-U.S. corporate governance and regulatory frameworks, the Hexagon Remuneration Committee is not required to conduct a formal compensation program risk assessment in the manner typically undertaken by U.S. listed companies. Following the Distribution, we anticipate completing a formal assessment of risks relating to our compensation programs. While such formal assessment has not yet been completed, we believe that several factors within the current and anticipated pay programs and policies support a conclusion that the compensation programs do not encourage behaviors that would result in undue risk for Hexagon or Octave going forward. For example, incentive opportunities are based on a variety of performance metrics and are subject to pay limitations or “caps”, a material portion of pay for the NEOs is subject to long-term performance and vesting periods that are designed to encourage sustained shareholder value, pay levels and program designs are generally consistent with typical market practices, and the Hexagon Board (and, following the Distribution, our Board of Directors and/or Compensation Committee) reviews and approves all compensation programs. In addition, the Hexagon Board submits the guidelines for remuneration to senior executives to Hexagon’s shareholders for approval at least every four years, and Hexagon’s independent auditor annually reviews and reports on Hexagon’s compliance with such guidelines.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Hexagon Board also publishes an annual remuneration report describing how the executive remuneration guidelines adopted by the AGM were implemented, including information on remuneration paid to certain executives and a summary of outstanding incentive plans and incentive plans that ended during the year. Such report is prepared in accordance with the Swedish Companies Act and the Rules on Remuneration of the Board and Executive Management and on Incentive Programmes issued by the Stock Market Self-Regulation Committee of the Swedish Stock Exchange. Additional information regarding executive remuneration and the work of the Hexagon Remuneration Committee is included in the notes to Hexagon’s annual report and its corporate governance report for each financial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Hexagon Equity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The Employee Matters Agreement will provide for the treatment of awards of performance share units granted by Hexagon pursuant to an equity compensation plan or program of Hexagon (collectively, the “Hexagon Equity Awards”) that are outstanding as of the Closing. For each holder of Hexagon Equity Awards, the intent is to maintain the economic value of that holder’s Hexagon Equity Awards before and after the Closing.</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as of the date on which Hexagon determines to transfer the employment of applicable individuals to Octave and who Hexagon determines, as of such date, are either (i) exclusively or primarily engaged in the Octave Business or (ii) necessary for the ongoing operation of the Octave Business following the Distribution (the “Octave Employees”), the Hexagon Equity Awards will be cancelled and reissued into equity awards denominated in Octave Shares that are issued under Octave’s long-term incentive plan (the “Octave Equity Awards”). It is expected that each Octave Equity Award will generally be subject to similar terms and conditions as the terms and conditions applicable to the corresponding Hexagon Equity Award immediately prior to the Closing, provided, however, that (i) the number of Octave Shares to which such Octave Equity Award relates will be equal to the product, rounded up to the nearest whole number of shares, obtained by multiplying (x) the number of shares of Hexagon common stock to which the corresponding Hexagon Equity Award related immediately prior to the Distribution by (y) the applicable equity award adjustment ratio and (ii) the performance metrics applicable to such Hexagon Equity Award will be adjusted from Hexagon’s earnings per share to Octave’s Adjusted income from operations growth. See “Executive Compensation—Compensation Arrangements to be Adopted in Connection with the Distribution—Equity Incentive Plan—Long-Term Incentive Plan” for more detailed description of Octave’s long-term incentive plan.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who do not qualify as Octave Employees, subject to applicable approvals, it is anticipated that the Hexagon Equity Awards will remain Hexagon Equity Awards and will be equitably adjusted as determined by the Hexagon Board, who may be instructed by Hexagon’s shareholders, to reflect the Distribution (each adjusted award, an “Adjusted Hexagon Equity Award”). Such equitable adjustments may include, among other things, adjustments to the number of shares of Hexagon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to which the Adjusted Hexagon Equity Award relates and the performance objectives applicable to the original Hexagon Equity Award. Except as so adjusted, it is expected that the Adjusted Hexagon Equity Award will generally be subject to similar terms and conditions as the terms and conditions applicable to the corresponding Hexagon Equity Award immediately prior to the Closing. All determinations relating to any Adjusted Hexagon Equity Awards remain subject to the discretion of the Hexagon Board and, where applicable,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historical information regarding the compensation of our NEOs for the year ended December 31, 2025. All of the compensation shown relates to the compensation paid by Hexagon to the NEO for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and Non-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80" w:type="dxa"/>
            <w:vAlign w:val="bottom"/>
            <w:gridSpan w:val="2"/>
            <w:vMerge w:val="continue"/>
          </w:tcPr>
          <w:p>
            <w:pPr>
              <w:spacing w:after="0"/>
              <w:rPr>
                <w:sz w:val="11"/>
                <w:szCs w:val="11"/>
                <w:color w:val="auto"/>
              </w:rPr>
            </w:pPr>
          </w:p>
        </w:tc>
        <w:tc>
          <w:tcPr>
            <w:tcW w:w="138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Qualified Deferred</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2"/>
                <w:szCs w:val="12"/>
                <w:color w:val="auto"/>
              </w:rPr>
            </w:pP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vMerge w:val="restart"/>
          </w:tcPr>
          <w:p>
            <w:pPr>
              <w:spacing w:after="0"/>
              <w:rPr>
                <w:sz w:val="12"/>
                <w:szCs w:val="12"/>
                <w:color w:val="auto"/>
              </w:rPr>
            </w:pPr>
          </w:p>
        </w:tc>
        <w:tc>
          <w:tcPr>
            <w:tcW w:w="9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vMerge w:val="continue"/>
          </w:tcPr>
          <w:p>
            <w:pPr>
              <w:spacing w:after="0"/>
              <w:rPr>
                <w:sz w:val="12"/>
                <w:szCs w:val="12"/>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Mattias Stenberg</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1,025,326</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506,511</w:t>
            </w: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2,373,184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Ben Maslen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715,454</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479,712</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1,573,348</w:t>
            </w:r>
          </w:p>
        </w:tc>
        <w:tc>
          <w:tcPr>
            <w:tcW w:w="0" w:type="dxa"/>
            <w:vAlign w:val="bottom"/>
          </w:tcPr>
          <w:p>
            <w:pPr>
              <w:spacing w:after="0"/>
              <w:rPr>
                <w:sz w:val="1"/>
                <w:szCs w:val="1"/>
                <w:color w:val="auto"/>
              </w:rPr>
            </w:pPr>
          </w:p>
        </w:tc>
      </w:tr>
      <w:tr>
        <w:trPr>
          <w:trHeight w:val="21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Scott Moore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570,544</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567,121</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1,481,969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Anthony Zana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Chief Legal Officer,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640,030</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4"/>
                <w:szCs w:val="14"/>
                <w:color w:val="auto"/>
              </w:rPr>
            </w:pP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429,140</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1,448,819</w:t>
            </w:r>
          </w:p>
        </w:tc>
        <w:tc>
          <w:tcPr>
            <w:tcW w:w="0" w:type="dxa"/>
            <w:vAlign w:val="bottom"/>
          </w:tcPr>
          <w:p>
            <w:pPr>
              <w:spacing w:after="0"/>
              <w:rPr>
                <w:sz w:val="1"/>
                <w:szCs w:val="1"/>
                <w:color w:val="auto"/>
              </w:rPr>
            </w:pPr>
          </w:p>
        </w:tc>
      </w:tr>
      <w:tr>
        <w:trPr>
          <w:trHeight w:val="214"/>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6"/>
                <w:szCs w:val="16"/>
                <w:i w:val="1"/>
                <w:iCs w:val="1"/>
                <w:color w:val="auto"/>
              </w:rPr>
              <w:t>Corporate Secretary</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Vivek Mokashi</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388,125</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686,405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In addition, Mr. Zana received a discretionary bonus of $20,000 in 2025. See “Compensation Discussion and Analysis—2025 Compensation Program Details and Decisions—2025 Bonuses and Non-Equity Incentive Plan Compensation.”</w:t>
      </w:r>
    </w:p>
    <w:p>
      <w:pPr>
        <w:jc w:val="both"/>
        <w:ind w:left="340" w:hanging="332"/>
        <w:spacing w:after="0" w:line="256" w:lineRule="auto"/>
        <w:tabs>
          <w:tab w:leader="none" w:pos="332"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Financial Accounting Standard Board (the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32"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and Moore, amounts in this column represent (i) employer contributions under the 401(k) Plan and (ii) employer-paid club membership dues of $14,520, together with related tax gross-ups of $6,989, for total club-related compensation of $21,509 for each executive. For Messrs. Zana and Mokashi, amounts in this column represent employer contributions under the 401(k) Plan. For Mr. Maslen, amount in this column represents employer contributions under the UK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-9525</wp:posOffset>
            </wp:positionV>
            <wp:extent cx="2082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1380" w:val="left"/>
          <w:tab w:leader="none" w:pos="2460" w:val="left"/>
          <w:tab w:leader="none" w:pos="3740" w:val="left"/>
          <w:tab w:leader="none" w:pos="47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Grant Date</w:t>
      </w:r>
      <w:r>
        <w:rPr>
          <w:sz w:val="20"/>
          <w:szCs w:val="20"/>
          <w:color w:val="auto"/>
        </w:rPr>
        <w:tab/>
      </w:r>
      <w:r>
        <w:rPr>
          <w:rFonts w:ascii="Times New Roman" w:cs="Times New Roman" w:eastAsia="Times New Roman" w:hAnsi="Times New Roman"/>
          <w:sz w:val="14"/>
          <w:szCs w:val="14"/>
          <w:b w:val="1"/>
          <w:bCs w:val="1"/>
          <w:color w:val="auto"/>
        </w:rPr>
        <w:t>Threshold ($)</w:t>
      </w:r>
      <w:r>
        <w:rPr>
          <w:sz w:val="20"/>
          <w:szCs w:val="20"/>
          <w:color w:val="auto"/>
        </w:rPr>
        <w:tab/>
      </w:r>
      <w:r>
        <w:rPr>
          <w:rFonts w:ascii="Times New Roman" w:cs="Times New Roman" w:eastAsia="Times New Roman" w:hAnsi="Times New Roman"/>
          <w:sz w:val="14"/>
          <w:szCs w:val="14"/>
          <w:b w:val="1"/>
          <w:bCs w:val="1"/>
          <w:color w:val="auto"/>
        </w:rPr>
        <w:t>Target ($)</w:t>
      </w:r>
      <w:r>
        <w:rPr>
          <w:sz w:val="20"/>
          <w:szCs w:val="20"/>
          <w:color w:val="auto"/>
        </w:rPr>
        <w:tab/>
      </w:r>
      <w:r>
        <w:rPr>
          <w:rFonts w:ascii="Times New Roman" w:cs="Times New Roman" w:eastAsia="Times New Roman" w:hAnsi="Times New Roman"/>
          <w:sz w:val="14"/>
          <w:szCs w:val="14"/>
          <w:b w:val="1"/>
          <w:bCs w:val="1"/>
          <w:color w:val="auto"/>
        </w:rPr>
        <w:t>Maximum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Hexagon Equity</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7"/>
                <w:szCs w:val="17"/>
                <w:b w:val="1"/>
                <w:bCs w:val="1"/>
                <w:color w:val="auto"/>
                <w:vertAlign w:val="superscript"/>
              </w:rPr>
              <w:t>(4)</w:t>
            </w:r>
          </w:p>
        </w:tc>
        <w:tc>
          <w:tcPr>
            <w:tcW w:w="11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6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Hexagon</w:t>
            </w:r>
          </w:p>
        </w:tc>
        <w:tc>
          <w:tcPr>
            <w:tcW w:w="1020" w:type="dxa"/>
            <w:vAlign w:val="bottom"/>
          </w:tcPr>
          <w:p>
            <w:pPr>
              <w:jc w:val="center"/>
              <w:ind w:left="23"/>
              <w:spacing w:after="0" w:line="48" w:lineRule="exact"/>
              <w:rPr>
                <w:sz w:val="20"/>
                <w:szCs w:val="20"/>
                <w:color w:val="auto"/>
              </w:rPr>
            </w:pPr>
            <w:r>
              <w:rPr>
                <w:rFonts w:ascii="Times New Roman" w:cs="Times New Roman" w:eastAsia="Times New Roman" w:hAnsi="Times New Roman"/>
                <w:sz w:val="5"/>
                <w:szCs w:val="5"/>
                <w:b w:val="1"/>
                <w:bCs w:val="1"/>
                <w:color w:val="auto"/>
              </w:rPr>
              <w:t>Grant Date</w:t>
            </w:r>
          </w:p>
        </w:tc>
        <w:tc>
          <w:tcPr>
            <w:tcW w:w="0" w:type="dxa"/>
            <w:vAlign w:val="bottom"/>
          </w:tcPr>
          <w:p>
            <w:pPr>
              <w:spacing w:after="0"/>
              <w:rPr>
                <w:sz w:val="1"/>
                <w:szCs w:val="1"/>
                <w:color w:val="auto"/>
              </w:rPr>
            </w:pPr>
          </w:p>
        </w:tc>
      </w:tr>
      <w:tr>
        <w:trPr>
          <w:trHeight w:val="142"/>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020" w:type="dxa"/>
            <w:vAlign w:val="bottom"/>
          </w:tcPr>
          <w:p>
            <w:pPr>
              <w:jc w:val="center"/>
              <w:ind w:left="3"/>
              <w:spacing w:after="0" w:line="142"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102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00" w:space="160"/>
            <w:col w:w="5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120" w:type="dxa"/>
            <w:vAlign w:val="bottom"/>
            <w:tcBorders>
              <w:top w:val="single" w:sz="8" w:color="auto"/>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Mattias</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r>
              <w:rPr>
                <w:rFonts w:ascii="Times New Roman" w:cs="Times New Roman" w:eastAsia="Times New Roman" w:hAnsi="Times New Roman"/>
                <w:sz w:val="21"/>
                <w:szCs w:val="21"/>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1,537,989</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vMerge w:val="restart"/>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56,335</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Stenberg</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 Maslen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1,073,181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37,873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Scott Moore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855,816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Anthony Zana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960,045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Vivek Mokashi</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9"/>
                <w:szCs w:val="9"/>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57"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 See “Compensation Discussion and Analysis—2025 Compensation Program Details and Decisions—2025 Bonuses and Non-Equity Incentive Plan Compensation.”</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See “Compensation Discussion and Analysis—2025 Compensation Program Details and Decisions—2025 Bonuses and Non-Equity Incentive Plan Compensation.”</w:t>
      </w:r>
    </w:p>
    <w:p>
      <w:pPr>
        <w:ind w:left="320" w:hanging="312"/>
        <w:spacing w:after="0"/>
        <w:tabs>
          <w:tab w:leader="none" w:pos="32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Mokashi’s annual incentive opportunity for fiscal year 2025 was established at a target level equal to 40% of base salary, with a maximum payout opportunity of 200% of target.</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share awards granted in 2025 vest upon achievement of the applicable performance condition at the target level and do not provide for incremental vesting below or above the target level. See “Compensation Discussion and Analysis—2025 Compensation Program Details and Decisions—Hexagon Equity Incentive Plan.”</w:t>
      </w:r>
    </w:p>
    <w:p>
      <w:pPr>
        <w:jc w:val="both"/>
        <w:ind w:left="340" w:hanging="332"/>
        <w:spacing w:after="0" w:line="268"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Hexagon Equity Awards at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35"/>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1"/>
                <w:szCs w:val="11"/>
                <w:color w:val="auto"/>
              </w:rPr>
            </w:pPr>
          </w:p>
        </w:tc>
        <w:tc>
          <w:tcPr>
            <w:tcW w:w="15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198"/>
        </w:trPr>
        <w:tc>
          <w:tcPr>
            <w:tcW w:w="6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18"/>
                <w:szCs w:val="18"/>
                <w:color w:val="auto"/>
              </w:rPr>
              <w:t xml:space="preserve">41,393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43,243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49,751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591,539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56,335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669,823</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6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18"/>
                <w:szCs w:val="18"/>
                <w:color w:val="auto"/>
              </w:rPr>
              <w:t xml:space="preserve">27,969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27,381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325,560</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32,617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387,816</w:t>
            </w:r>
          </w:p>
        </w:tc>
        <w:tc>
          <w:tcPr>
            <w:tcW w:w="0" w:type="dxa"/>
            <w:vAlign w:val="bottom"/>
          </w:tcPr>
          <w:p>
            <w:pPr>
              <w:spacing w:after="0"/>
              <w:rPr>
                <w:sz w:val="1"/>
                <w:szCs w:val="1"/>
                <w:color w:val="auto"/>
              </w:rPr>
            </w:pPr>
          </w:p>
        </w:tc>
      </w:tr>
      <w:tr>
        <w:trPr>
          <w:trHeight w:val="317"/>
        </w:trPr>
        <w:tc>
          <w:tcPr>
            <w:tcW w:w="62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37,873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309" w:name="page310"/>
    <w:bookmarkEnd w:id="309"/>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5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Vested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372,621</w:t>
            </w:r>
          </w:p>
        </w:tc>
        <w:tc>
          <w:tcPr>
            <w:tcW w:w="0" w:type="dxa"/>
            <w:vAlign w:val="bottom"/>
          </w:tcPr>
          <w:p>
            <w:pPr>
              <w:spacing w:after="0"/>
              <w:rPr>
                <w:sz w:val="1"/>
                <w:szCs w:val="1"/>
                <w:color w:val="auto"/>
              </w:rPr>
            </w:pPr>
          </w:p>
        </w:tc>
      </w:tr>
      <w:tr>
        <w:trPr>
          <w:trHeight w:val="22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301,958</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371,016</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performance shares is calculated by multiplying the closing price of Hexagon’s Series B shares on Nasdaq Stockholm as of December 30, 2025 (SEK 109.5) (the last trading day of the year) by the number of shares underlying each award. The values reflect a conversion from Swedish kronor to U.S. dollars using the foreign exchange rate in effect on December 30, 2025 (9.20979), resulting in a share price of $11.89 per share.</w:t>
      </w:r>
    </w:p>
    <w:p>
      <w:pPr>
        <w:jc w:val="both"/>
        <w:ind w:left="340" w:hanging="332"/>
        <w:spacing w:after="0" w:line="256" w:lineRule="auto"/>
        <w:tabs>
          <w:tab w:leader="none" w:pos="332"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2022/2025, which are expected to vest in full in May 2026. Vesting of these performance shares was subject to the satisfaction of a performance condition related to an increase in Hexagon’s earnings per share (excluding non-recurring items) over the measurement period from January 1, 2022 to December 31, 2025, as determined by comparing the financial year 2025 results to those for the financial year 2021. Subject to confirmation that the performance condition has been satisfied, the participants will be entitled to receive the allocated number of Series B shares in Hexagon in accordance with the terms of Hexagon Share Programme 2022/2025.</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2023/2026. Vesting of these performance shares is subject to the satisfaction of a performance condition related to an increase in Hexagon’s earnings per share (excluding non-recurring items) over the measurement period from January 1, 2023 to December 31, 2026, as determined by comparing the financial year 2026 results to those for the financial year 2022. If the performance condition is satisfied, the participants will be entitled to receive the allocated number of Series B shares in Hexagon in accordance with the terms of Hexagon Share Programme 2023/2026.</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2024/2027. Vesting of these performance shares is subject to the satisfaction of a performance condition related to an increase in Hexagon’s earnings per share (excluding adjustments) over the measurement period from January 1, 2024 to December 31, 2027, as determined by comparing the financial year 2027 results to those for the financial year 2023. If the performance condition is satisfied, the participants will be entitled to receive the allocated number of Series B shares in Hexagon in accordance with the terms of Hexagon Share Programme 2024/2027.</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2025/2028. Vesting of these performance shares is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the allocated number of Series B shares in Hexagon in accordance with the terms of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Hexagon Stock Vested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Hexagon Stock Awards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Hexagon</w:t>
            </w:r>
          </w:p>
        </w:tc>
        <w:tc>
          <w:tcPr>
            <w:tcW w:w="1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560" w:type="dxa"/>
            <w:vAlign w:val="bottom"/>
          </w:tcPr>
          <w:p>
            <w:pPr>
              <w:jc w:val="right"/>
              <w:ind w:right="315"/>
              <w:spacing w:after="0" w:line="202"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233,814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of performance shares is calculated by multiplying the closing price of Hexagon’s Series B shares on Nasdaq Stockholm as of May 28, 2025 (SEK 97.62) (the last trading day prior to the vesting date) by the number of shares underlying each award. The values reflect a conversion from Swedish kronor to U.S. dollars using Hexagon’s May 2025 foreign exchange rate applied for financial reporting purposes (9.5985), resulting in a share price of $10.18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payments or benefits payable to our NEOs upon certain terminations of employment or in connection with a change in control. Mr. Mokashi participates only in severance and benefit arrangements that are generally available to all salaried employees, and descriptions of such arrangements are not included in this section.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Equity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plans governing outstanding Hexagon long-term equity incentive awards, the Hexagon Board has discretion to make adjustments to such awards in the event of extraordinary circumstances and, in certain circumstances, to waive the applicable employment condition in the event of a holder’s involuntary termination of employment prior to vesting. Except as noted below pursuant to the spin-off-related transition agreements with Messrs. Maslen and Zana, which will cease to apply upon completion of the Distribution, none of the NEOs has an existing right to accelerated or continued vesting of outstanding Hexagon equity awards in the event of a termination of employment for any reason.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Group Management Severance Practices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applicable contractual arrangements described below that set forth specific severance-related entitlements, Hexagon’s shareholder-approved executive remuneration guidelines permit severance payments of up to 24 months of base salary to members of group management, including Messrs. Stenberg, Maslen and Zana, in connection with an involuntary termination without cause.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Distribution-Related Transition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 and 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Messrs. Maslen and Zana each entered into a transition agreement, dated August 22, 2025, with Hexagon setting forth certain role transition and severance arrangements in connection with the Distribution. These arrangements were provided to facilitate an orderly transition of their roles at Hexagon, including the recruitment, retention and training of successors who would continue to serve in those roles at Hexagon even if the Distribution were not consummated.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Distribution is not consummated, resulting in the termination of Messrs. Maslen’s and Zana’s employment with Hexagon (including constructively), the applicable executive is entitled to receive: (i) a separation payment consisting of 24 months of base salary; (ii) any bonus due for fiscal year 2025 and any prorated bonus for fiscal year 2026; (iii) 24 months of company-paid premiums for health and benefit plans equivalent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their current coverage; (iv) “good leaver” status for purposes of retaining all unvested performance shares granted under Hexagon’s long-term share programmes; and (v) paid outplacement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Employment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Mattias Stenberg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Stenberg’s employment may be terminated by Hexagon with a 12-month notice and by Mr. Stenberg with a six-month notice. In the event of a termination by Hexagon, unless for cause, Mr. Stenberg is entitled to receive continued base salary and continued participation in employee welfare and benefit plans during the applicable notice period. In the event of a termination of employment initiated by Mr. Stenberg, he will receive continued base salary and employment benefits during the applicable notice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Maslen Employment Agreement may be terminated by Mr. Maslen or Hexagon, generally subject to six- or twelve-month notice requirements, respectively. Mr. Maslen is entitled to receive continued salary and all other benefits arising under the Maslen Employment Agreement during the applicable notice period.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Maslen Employment Agreement, Hexagon may terminate Mr. Maslen’s employment (i) at any time (whether or not notice to terminate has already been given) by paying a lump sum equal to his base salary only (as at the date of termination) in lieu of any required notice or balance of such notice; or (ii) if in the opinion of the Hexagon Board, Mr. Maslen is or has been or may be unable to perform duties properly by reason of sickness or injury for a period exceeding an aggregate of three months in any 12-month period, subject to a three-month notice requirement, less the aggregate of any periods during which Mr. Maslen has been paid salary under paid sick leave during the 12 months prior to the giving of such notice. Following termination of Mr. Maslen’s employment by Hexagon without cause (as described in the Maslen Employment Agreement) or by Mr. Maslen in response to Hexagon’s fundamental breach of the Maslen Employment Agreement, Mr. Maslen is entitled to receive pro-rated bonus for the year of termination.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Zana Employment Agreement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of control. Intergraph may, in its discretion, provide Mr. Zana with termination-related payments described below in lieu of the applicable notice period and may waive all or any portion of the 30-day notice period.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Mr. Zana’s employment is terminated by Intergraph for any reason other than for cause (including, without limitation, death, disability, constructively or via direct or indirect change of control of Intergraph), Mr. Zana (or his estate and/or beneficiaries, as the case may be) is entitled to receive: (i) a lump sum payment equal to 12 months of base salary, payable within 30 days of the date of termination; (ii) pro-rated portion of annual bonus as of the date of termination (on target); and (iii) COBRA continuation coverage for up to 12 months following the date of termination.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Scott Moore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Moore Compensation Letter, Mr. Moore is entitled to a severance payment consisting of 12 months of base salary in the event of a termination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 Table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reflects the potential payments to which each of our NEOs would have been entitled upon each termination scenario listed assuming that each event occurred on December 31, 2025. The amounts shown do not include payments or benefits provided under plans that are generally available to all salaried employees.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Death / Disability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 (without</w:t>
            </w:r>
          </w:p>
        </w:tc>
        <w:tc>
          <w:tcPr>
            <w:tcW w:w="1660" w:type="dxa"/>
            <w:vAlign w:val="bottom"/>
            <w:gridSpan w:val="2"/>
            <w:vMerge w:val="continue"/>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Non-Consummation of</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cause)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Change-in-Control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Distribution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2,050,652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640,030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960,045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33,410 </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tcBorders>
              <w:top w:val="single" w:sz="8" w:color="CCEE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570,544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(i) up to 24 months of base salary for Messrs. Stenberg, Maslen and Zana, upon a termination by Hexagon without cause; (ii) 24 months of base salary for Messrs. Maslen and Zana, upon a termination due to non-consummation of Distribution; and (iii) 12 months for Mr. Zana, upon a termination due to death, disability or a change of control.</w:t>
      </w:r>
    </w:p>
    <w:p>
      <w:pPr>
        <w:ind w:left="340" w:right="20" w:hanging="332"/>
        <w:spacing w:after="0" w:line="254" w:lineRule="auto"/>
        <w:tabs>
          <w:tab w:leader="none" w:pos="33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executive’s pro-rated target annual bonus for the year of termination; however, because this table assumes termination of employment occurred on December 31, 2025, the amount shown reflects the full target bonus.</w:t>
      </w:r>
    </w:p>
    <w:p>
      <w:pPr>
        <w:ind w:left="340" w:hanging="332"/>
        <w:spacing w:after="0" w:line="259" w:lineRule="auto"/>
        <w:tabs>
          <w:tab w:leader="none" w:pos="33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outstanding performance shares based on the applicable price per share as of December 31, 2025. Upon such a termination of employment, awards will remain outstanding and eligible to vest in accordance with their terms.</w:t>
      </w:r>
    </w:p>
    <w:p>
      <w:pPr>
        <w:ind w:left="340" w:hanging="332"/>
        <w:spacing w:after="0" w:line="261" w:lineRule="auto"/>
        <w:tabs>
          <w:tab w:leader="none" w:pos="33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continued participation in health and welfare benefit plans during the same severance period as the applicable cash severance payment. Messrs. Maslen and Zana are also entitled to paid outplacement services upon a termination by Hexagon without cause or a termination due to non-consummation of Distribution.</w:t>
      </w:r>
    </w:p>
    <w:p>
      <w:pPr>
        <w:ind w:left="320" w:hanging="312"/>
        <w:spacing w:after="0"/>
        <w:tabs>
          <w:tab w:leader="none" w:pos="32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12 months of base salary.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to be Adopted in Connection with the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develop executive compensation programs to incentivize our NEOs in the long-term and short-term, following the completion of the Distribution. In connection with the completion of the Distribution, we will establish a Compensation Committee, which will establish our go-forward compensation program. By offering compensation to our key employees that is directly linked to the performance of our business following the Distribution, we expect to enhance our ability to attract, retain and motivate qualified personnel and serve the interests of our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equity-based compensation will be an important component of our executive compensation program because we believe it is important to align the interests of our officers, employees, directors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providers with those of our shareholders. Accordingly, prior to the Distribution, we expect to adopt the Octave Intelligence plc Long-Term Incentive Plan, which we refer to as the “LTIP,” and the Octave Intelligence plc Employee Share Purchase Plan, which we refer to as the “ESPP.” The material terms of these plans are set forth below.</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Long-Term Incentive Plan. </w:t>
      </w:r>
      <w:r>
        <w:rPr>
          <w:rFonts w:ascii="Times New Roman" w:cs="Times New Roman" w:eastAsia="Times New Roman" w:hAnsi="Times New Roman"/>
          <w:sz w:val="18"/>
          <w:szCs w:val="18"/>
          <w:color w:val="auto"/>
        </w:rPr>
        <w:t>Our Board of Directors is expected to adopt, and we anticipate our shareholders will approve, the LTIP prior to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LTIP is expected to become effective immediately prior to and contingent upon the date on which the Distribution occurs. In connection with the Distribution, we intend to grant our NEOs equity-based incentive awards in respect of 2026 under the LTIP. Other than equity awards granted by Octave in respect of 2026 and the replacement awards (as defined below), our NEOs are not expected to receive equity-based incentive awards from Hexagon in 2026.</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Awards. </w:t>
      </w:r>
      <w:r>
        <w:rPr>
          <w:rFonts w:ascii="Times New Roman" w:cs="Times New Roman" w:eastAsia="Times New Roman" w:hAnsi="Times New Roman"/>
          <w:sz w:val="18"/>
          <w:szCs w:val="18"/>
          <w:color w:val="auto"/>
        </w:rPr>
        <w:t>The LTIP provides for the grant of incentive share options, or ISOs, nonstatutory share options, or NSOs, share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awards, restricted share unit awards, dividend equivalent rights, and other types of equity-based or equity-related awards as determined by the Compensation Committee, including unrestricted shares and performance share awards, which we refer to collectively as share awards. Additionally, the LTIP provides for the grant of cash-based awards as determined by the Compensation Committee, including performance units settled in cash. ISOs may be granted only to employees. All other awards may be granted to employees, including officers, and to non-employee directors and consultants of us and our subsidiaries.</w:t>
      </w:r>
    </w:p>
    <w:p>
      <w:pPr>
        <w:spacing w:after="0" w:line="1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LTIP provides for a share reserve equal to the sum of (x) 6% of the Octave Shares outstanding immediately following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(y) the number of Octave Class B Ordinary Shares subject to Octave Equity Awards to be issued in respect of outstanding Hexagon Equity Awards held by Octave Employees as of the Distribution Time pursuant to the Employee Matters Agreement (the “replacement awards”), in each case as adjusted in connection with the Distribution.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Reversion of Shares. </w:t>
      </w:r>
      <w:r>
        <w:rPr>
          <w:rFonts w:ascii="Times New Roman" w:cs="Times New Roman" w:eastAsia="Times New Roman" w:hAnsi="Times New Roman"/>
          <w:sz w:val="18"/>
          <w:szCs w:val="18"/>
          <w:color w:val="auto"/>
        </w:rPr>
        <w:t>If a share award granted under the LTIP expires or is settled for cash, the Octave Class B Ordinary Shares not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award again will become available for subsequent issuance under the LTIP. In addition, the following types of shares under the LTIP may become available for the grant of new share awards under the LTIP: (1) Octave Class B Ordinary Shares that are forfeited to or repurchased by us prior to becoming fully vested; (2) Octave Class B Ordinary Shares withheld or reacquired to satisfy income or employment withholding taxes; or (3) Octave Class B Ordinary Shares used to pay the exercise price of a share award. Shares issued under the LTIP may be authorized and unissued shares, treasury shares or shares reacquired by us in any manner. As of the date of this information statement, no awards have been granted and no ordinary shares have been issued under the LTIP.</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Non-Employee Director Compensation Limit. </w:t>
      </w:r>
      <w:r>
        <w:rPr>
          <w:rFonts w:ascii="Times New Roman" w:cs="Times New Roman" w:eastAsia="Times New Roman" w:hAnsi="Times New Roman"/>
          <w:sz w:val="18"/>
          <w:szCs w:val="18"/>
          <w:color w:val="auto"/>
        </w:rPr>
        <w:t>Under the LTIP, the maximum number of Octave Class B Ordinary Shares subject to share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LTIP or otherwise during any one calendar year to any of our non-employee directors will not exceed $750,000 in total value (calculating the value of any such share awards based on the accounting grant date value of such share awards).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has the authority to administer the LTIP. Our Compensation Committee may delegate to any person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 member of the Compensation Committee, or to any administrative group of the Company or any of our subsidiaries, any of its powers, responsibilities or duties as it deems appropriate in its sole discretion in accordance with applicable law and subject to the terms of the Company’s memorandum and articles of association. Our Board of Directors may also, in its sole discretion, grant awards or administer the LTIP. Subject to the terms of the LTIP, our Compensation Committee, referred to herein as the plan administrator, determines recipients, dates of grant, the numbers and types of awards to be granted and the terms and conditions of the awards, including the period of their exercisability and vesting schedule applicable to an award. Subject to the limitations set forth below, the plan administrator will also determine the exercise price of awards granted and the types of consideration to be paid for the award.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administrator has the authority to modify outstanding awards under our LTIP. Subject to the terms of our LTIP, the plan administrator has the authority to determine at any time whether, to what extent and under what circumstances and methods share awards may be settled, exercised, canceled, forfeited or suspended,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exercise price for any share option (other than an ISO unless the plan administrator determines that such a share option will no longer constitute an ISO) or share appreciation right may be reset.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ISOs and NSOs are granted pursuant to share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a share option, within the terms and conditions of the LTIP, provided that the exercise price of a share option generally cannot be less than 100% of the fair market value of our Octave Class B Ordinary Shares on the date of grant. Options granted under the LTIP vest at the rate specified by the plan administrator. The plan administrator determines the term of share options granted under the LTIP, up to a maximum of 10 years.</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consideration for the purchase of Octave Class B Ordinary Shares issued upon the exercise of a share option will be determined by the Company and may include (1) cash, certified or official bank check or personal check, (2) a cashless exercise, (3) the tender of ordinary shares based on the fair market value as of the exercise date, (4) other legal consideration approved by the Company, and (5) any combination of the foregoing.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Share Options. </w:t>
      </w:r>
      <w:r>
        <w:rPr>
          <w:rFonts w:ascii="Times New Roman" w:cs="Times New Roman" w:eastAsia="Times New Roman" w:hAnsi="Times New Roman"/>
          <w:sz w:val="18"/>
          <w:szCs w:val="18"/>
          <w:color w:val="auto"/>
        </w:rPr>
        <w:t>The aggregate fair market value, determined at the time of grant, of our Octave Class B Ordinary Shares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optionholder during any fiscal year under all of our share plans and the share plans of any of our subsidiaries or parent corporation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subsidiaries or parent corporation unless (1) the option exercise price is at least 110% of the fair market value of the shares subject to the option on the date of grant, and (2) the term of the ISO does not exceed five years from the date of grant.</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Restricted share awards are granted pursuant to restricted share award agreements adopted by the plan administrator.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restriction, each grantee of a restricted share award will be the beneficial and record owner of such restricted shares and will have full voting rights thereto. Unless the plan administrator determines otherwise, during the period of restriction, all ordinary cash dividends or other ordinary distributions paid upon any restricted share will be retained by the Company and will be paid to the relevant grantee (without interest) when the restricted share award vests and will revert back to the Company if for any reason the underlying restricted share reverts back to the Company.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 Unit Awards. </w:t>
      </w:r>
      <w:r>
        <w:rPr>
          <w:rFonts w:ascii="Times New Roman" w:cs="Times New Roman" w:eastAsia="Times New Roman" w:hAnsi="Times New Roman"/>
          <w:sz w:val="18"/>
          <w:szCs w:val="18"/>
          <w:color w:val="auto"/>
        </w:rPr>
        <w:t>Restricted share unit awards are granted pursuant to restricted share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On the delivery date specified in the restricted share unit award agreement, the grantee of each restricted share unit not previously forfeited or terminated will receive one ordinary share, cash or other securities or property equal in value to an ordinary share or a combination thereof, as specified by the plan administrator.</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Share appreciation rights are granted pursuant to share appreciation right grant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determines the exercise price for a share appreciation right, which generally cannot be less than 100% of the fair market value of our Octave Class B Ordinary Shares on the date of grant. Upon the exercise of a share appreciation right, we will pay the participant an amount equal to the product of (1) the excess of the per share fair market value of our Octave Class B Ordinary Shares on the date of exercise over the exercise price, multiplied by (2) the number of Octave Class B Ordinary Shares with respect to which the share appreciation right is exercised. A share appreciation right granted under the LTIP vests at the rate specified in the share appreciation right agreement as determined by the plan administrator. The plan administrator determines the term of share appreciation rights granted under the LTIP, up to a maximum of 10 years.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plan administrator may include in the award agreement with respect to any award a dividend equivalent right entitling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receive amounts equal to all or any portion of the regular cash dividends that would be paid on the ordinary shares covered by the award if such Octave Class B Ordinary Shares had been delivered pursuant to the award. The plan administrator determines the form and timing of such payments, provided that unless the plan administrator determines otherwise in an award agreement, no such payments may be made unless and until the underlying award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plan administrator may grant other types of equity-based, equity-related or cash-based awards, including unrestricted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awards and performance units settled in cash. The plan administrator will set the terms and conditions of such awards, which may relate to the achievement of performance goals as determined by the plan administrator at the time of grant.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Awards under our LTIP may not be sold, exchanged, transferred, assigned, pledged, hypothecated or otherwise disposed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hedged by a participant, and all such awards will be exercisable during the life of the participant. However, the plan administrator may permit, in its sole discretion, a participant to transfer any award to any person or entity that the plan administrator so determines.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our capital structure, such as a share split or recapitalization,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will be made to (1) the class and maximum number of shares reserved for issuance under the LTIP, (2) the class and maximum number of shares by which the share reserve may increase automatically each year, (3) the class and maximum number of shares that may be issued upon the exercise of ISOs, (4) the class and maximum number of shares subject to share awards that can be granted in a calendar year and (5) the class and number of shares and exercise price or strike price, if applicable, of any outstanding share awards.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LTIP, unless the plan administrator determines otherwise or as otherwise provided in an award agreement, if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is terminated by the Company without “cause” or by the participant for “good reason” (each as defined in the LTIP) within two years after a “change in control”, (i) all outstanding awards will become fully vested (including the lapsing of all restrictions and conditions) and, as applicable, exercisable, (ii) any ordinary shares deliverable pursuant to restricted stock units will be delivered promptly (but no later than 15 days) following the termination of employment, and (iii) any share-based award subject to performance-based vesting will be deemed achieved at the greater of the target level and the actual performance level and will cease to be subject to any further performance conditions, but will continue to be subject to time-based vesting following the change in control in accordance with the original performance period.</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LTIP, a change in control is generally (1) the acquisition by a person or entity of 50% or more of our combined voting power other than in certain excluded circumstances including pursuant to certain merger, consolidation or similar transaction; (2) the consummation of a merger, takeover, scheme of arrangement, statutory share exchange, consolidation or similar transaction, unless immediately after such transaction our shareholders continue to own more than 50% of the combined voting power of the surviving entity, no person (other than Melker Schörling AB or any employee benefit plan) owns 50% or more of such voting power, and a majority of the resulting board of directors consists of incumbent directors; (3) the consummation of a sale or other disposition of all or substantially of our assets; (4) a complete dissolution or liquidation of the Company other than a liquidation into a parent corporation; or (5) when, during any period of not more than 36 months, a majority of our Board of Directors becomes comprised of individuals who were not serving on our Board of Directors at the beginning of such period, and whose election or nomination was not approved by at least two-thirds of incumbent directors.</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Notwithstanding the foregoing, in the event of a change in control or a merger or other corporate reorganization that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change in control, the plan administrator has the discretion to take any of the following actions with respect to awards:</w:t>
      </w:r>
    </w:p>
    <w:p>
      <w:pPr>
        <w:spacing w:after="0" w:line="106" w:lineRule="exact"/>
        <w:rPr>
          <w:sz w:val="20"/>
          <w:szCs w:val="20"/>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assumption or substitution of an award to substantially preserve the applicable terms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of an award to add events, conditions or circumstances upon which the vesting of such award or lapse of restrictions thereon will accelerate;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for a period of at least 20 days prior to the change in control, any stock option or stock appreciation rights will be exercisable as to all ordinary shares subject thereto, and that any stock options or stock appreciation rights not exercised prior to the consummation of the corporate transaction will terminate and be of no further force and effect as of the consummation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0" w:lineRule="exact"/>
        <w:rPr>
          <w:sz w:val="20"/>
          <w:szCs w:val="20"/>
          <w:color w:val="auto"/>
        </w:rPr>
      </w:pPr>
    </w:p>
    <w:p>
      <w:pPr>
        <w:jc w:val="both"/>
        <w:ind w:left="660" w:hanging="328"/>
        <w:spacing w:after="0" w:line="261" w:lineRule="auto"/>
        <w:tabs>
          <w:tab w:leader="none" w:pos="65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cash or securities equal to the excess, if any, of (a) the value of the consideration the participant would have received upon exercise of the award over (b) the exercise price of the award, provided that the payment may be $0 for any award for which the exercise price equals or exceeds such value, and any such payment may be delayed to the same extent, and subject to the same contingencies, as the consideration payable to holders of ordinary shares in the corporate transaction, and in all cases subject to compliance with Section 409A.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 administrator is not obligated to treat all awards, even those that are of the same type, in the same manner.</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Non-U.S. Awards</w:t>
      </w:r>
      <w:r>
        <w:rPr>
          <w:rFonts w:ascii="Times New Roman" w:cs="Times New Roman" w:eastAsia="Times New Roman" w:hAnsi="Times New Roman"/>
          <w:sz w:val="18"/>
          <w:szCs w:val="18"/>
          <w:color w:val="auto"/>
        </w:rPr>
        <w:t>. The plan administrator may, in its sole discretion and without amendment of our LTIP, establish special rules applicable to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participants who are non-United States nationals and/or are employed outside the United States, in order to comply with local laws or practices of applicable jurisdictions.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has the authority to amend, suspend, or terminate our LTIP,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adversely impair the existing rights of any participant without such participant’s consent. In any case, our LTIP will terminate on the day before the 10th anniversary of its effective date, provided that all awards made under our LTIP before its termination will remain in effect until such awards have been satisfied or terminated in accordance with the terms and provisions of our LTIP and the applicable award agreements.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Clawback and Recoupment</w:t>
      </w:r>
      <w:r>
        <w:rPr>
          <w:rFonts w:ascii="Times New Roman" w:cs="Times New Roman" w:eastAsia="Times New Roman" w:hAnsi="Times New Roman"/>
          <w:sz w:val="18"/>
          <w:szCs w:val="18"/>
          <w:color w:val="auto"/>
        </w:rPr>
        <w:t>. Awards under our LTIP will be subject to any clawback or recapture policy that the Company or any of its subsidiaries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from time to time, including the Octave Intelligence plc Clawback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is expected to adopt the ESPP prior to the Distribution. The ESPP will become effective on the date it is adopted by our Board of Directors, subject to shareholder approval within 12 months following such adoption. We anticipate our shareholders will approve the ESPP prior to the Distribution. The purpose of the ESPP is to provide an opportunity for eligible employees of Octave and its designated affiliates to purchase our ordinary shares at a discount through voluntary contributions, thereby attracting, retaining and rewarding such persons and strengthening the alignment of interest between such persons and our shareholders. The ESPP is intended to qualify as an “employee stock purchase plan” within the meaning of Section 423 of the Code.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ESPP provides for a share reserve equal to 1% of the Octave Shares outstanding immediately following the Distribution.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administers the ESPP. Subject to the terms of the ESPP, our Compensation Committee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the Company’s officers or management team, or other persons any of its powers, authorities and discretions. Our Board of Directors may also exercise any authority or responsibility that, under the terms of the ESPP, may be exercised by our Compensation Committee, subject to applicable law. The ESPP is implemented through a series of offerings under which eligible employees are granted purchase rights to purchase Octave Class B Ordinary Shares on specified dates during such offerings. Under the ESPP, unless otherwise determined by our Compensation Committee, each offering period runs from January 1 through June 30 and from July 1 through December 31 (or the first trading day before or after such dates, as applicable), with each offering period consisting of a single concurrent six-month purchase period. Our Compensation Committee may establish additional or alternative offering periods, each with a duration of not more than 27 months, and may establish a different number or duration of purchase periods within an offering period. Each offering will have one or more purchase dates on which Octave Class B Ordinary Shares will be purchased for employees participating in the offering. An offering under the ESPP may be terminated under certain circumstances.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Generally, all regular employees, including executive officers, employed by us or by any of our designated affiliates, may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and may contribute, normally through payroll deductions, between 1% and 15% of their eligible pay (as defined in the ESPP) for the purchase of our Octave Class B Ordinary Shares under the ESPP. Unless otherwise determined by our Compensation Committee, Octave Class B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will be purchased for the accounts of employees participating in the ESPP at a price per share equal to the lower of (a) 85% of the fair market value of an ordinary share on the first trading day of an offering period or (b) 85% of the fair market value of an ordinary share on the date of purchase.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Employees may have to satisfy one or more of the following service requirements before participating in the ESPP, as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including: (1) being customarily employed for more than 20 hours per week; (2) being customarily employed for more than five months per calendar year; or (3) continuous employment with us or one of our affiliates for at least six months. No employee may purchase shares under the ESPP at a rate in excess of $25,000 worth of our Octave Class B Ordinary Shares (determined at the fair market value of ordinary shares at the time of grant)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Capitalization. </w:t>
      </w:r>
      <w:r>
        <w:rPr>
          <w:rFonts w:ascii="Times New Roman" w:cs="Times New Roman" w:eastAsia="Times New Roman" w:hAnsi="Times New Roman"/>
          <w:sz w:val="18"/>
          <w:szCs w:val="18"/>
          <w:color w:val="auto"/>
        </w:rPr>
        <w:t>In the event of a recapitalization, share split, bonus issue, reverse share split, share dividend, spin-off, split up,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or exchange of ordinary shares, merger, consolidation, rights offering, separation, reorganization or liquidation or any other change in our corporate structure or Octave Class B Ordinary Shares, the Compensation Committee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change in control (which term has the same meaning as under our LTIP), any then-outstanding rights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shares under the ESPP may be assumed, continued or substituted for by any surviving or acquiring entity (or its parent company). If the surviving or acquiring entity (or its parent company) elects not to assume, continue or substitute for such purchase rights or is not a publicly traded corporation, then the participants’ accumulated payroll contributions will be automatically used to purchase Octave Class B Ordinary Shares on a new purchase date determined by the plan administrator, subject to a ten trading day notice requirement and unless the participant has withdrawn from the offering period prior to the new purchase date in accordance with the ESPP.</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Non-U.S. Sub-Plans. </w:t>
      </w:r>
      <w:r>
        <w:rPr>
          <w:rFonts w:ascii="Times New Roman" w:cs="Times New Roman" w:eastAsia="Times New Roman" w:hAnsi="Times New Roman"/>
          <w:sz w:val="18"/>
          <w:szCs w:val="18"/>
          <w:color w:val="auto"/>
        </w:rPr>
        <w:t>Our Compensation Committee may adopt such sub-plans as are necessary or appropriate to permit participation in the ESPP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are non-United States nationals or employed outside the United States and to accommodate specific requirements of local laws and procedures for applicable jurisdictions. To the extent inconsistent with the requirements of Section 423 of the Code, any such sub-plan will be considered part of a non-Section 423 offering.</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Our Board of Directors or our Compensation Committee has the authority to amend or terminate our ESPP,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 of any amendment to our ESPP as required by applicable law or listing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 Following the Distribution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Distribution, we intend to grant each of our NEOs equity-based incentive awards in respect of 2026 in the form of restricted share units, or RSUs, and performance share units, or PSUs, designed to align our NEOs’ interests with those of our shareholders. Approximately 40% of the total award value for each NEO is expected to be delivered in the form of RSUs and approximately 60% in the form of PSUs. Except as otherwise provided in the applicable award agreement or the NEO’s employment agreement, an initial tranche of RSUs is expected to vest on December 31, 2026 and the remaining RSUs will vest in substantially equal quarterly installments over a two year period thereafter. The PSUs are expected to vest based on the level of achievement of the applicable performance metrics over a performance period commencing on the date of the Distribution and ending on December 31, 2028 as follows: (i) 50% will be eligible to vest based on a relative total shareholder return metric assessed at the end of the performance period, (ii) 25% will be eligible to vest in equal installments at the end of each fiscal year in the performance period based on the organic growth in annual recurring revenue and (iii) 25% will be eligible to vest in equal installments at the end of each fiscal year in the performance period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operating income margin year-over-year improvement. The target grant date value of these awards for our NEOs is expected to range from approximately $8,750,000 (in the case of our CEO) to $850,000.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and/or certain of its controlled affiliates have entered or intend to enter into new employment agreements with our NEOs, to be effective upon the completion of the Distribution. The employment agreements with the NEOs will provide for (i) an annual base salary (ranging from $850,000, in the case of our CEO, to $400,000) (ii) eligibility to participate in our annual cash incentive program, with each NEO’s initial target annual cash incentive opportunity equal to 100% of base salary, and (iii) participation in our long-term stock incentive bonus plans. Each NEO will also be entitled to participate in employee benefit plans and programs made available to senior executives. The NEOs’ employment will be at-will. The new employment agreements with our NEOs will provide that, upon a termination by the Company without “Cause” or by the NEO with “Good Reason” (each as defined in the employment agreements) occurring outside the CIC Protection Period (as defined below), then the NEO will be entitled to (i) an amount in cash equal to any earned annual cash incentive for the prior year, based on actual performance, to the extent unpaid, (ii) a pro-rated annual cash incentive for the year of termination, based on actual performance for the full performance period, (iii) a lump sum cash payment equal to a multiple (ranging from 0.5x to 1.5x) of the sum of base salary plus the target annual cash incentive for the then-applicable fiscal year, (iv) a lump sum cash payment equal to the value of 12 to 24 months of continued health, dental and/or vision coverage, (v) accelerated vesting of all time-vesting stock options and stock-based awards, including any replacement awards, and continued eligibility for all performance-vesting stock options and stock-based awards to vest, without regard to continued service, in a pro rata portion of such awards based on actual performance in accordance with the applicable award terms and (vi) extension of the period of time during which the NEO may exercise vested stock options to the longer of six months following termination or seven days after the commencement of the first trading window thereafter, but in no event later than the original expiration date.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 termination by the Company without “Cause” or by the NEO with “Good Reason” occurring during the period beginning 180 days prior to the effective date of a definitive agreement that results in a Change in Control (and is in connection with such Change in Control) and ending 24 months after the consummation of such Change in Control (the “CIC Protection Period”), then the NEO will be entitled to (i) an amount in cash equal to any earned annual cash incentive for the prior year, based on actual performance, to the extent unpaid, (ii) a pro-rated annual cash incentive for the year of termination, based on target performance for the full performance period, (iii) a lump sum cash payment equal to a multiple (ranging from 1x to 2x) of the sum of the NEO’s then-effective base salary (or, if higher, the base salary in effect immediately prior to the Change in Control) plus the target annual cash incentive for the then-applicable fiscal year, (iv) a lump sum cash payment equal to the value of 12 to 24 months of continued health, dental and/or vision coverage and (v) accelerated vesting of any outstanding options or stock-based awards, including any replacement awards, with performance-based awards vesting based on the methodology set forth in our LTIP and applicable award agreements. In the event of a qualifying termination during the 180-day period preceding a Change in Control, the enhanced severance benefits will be paid only to the extent they exceed the amounts payable upon a qualifying termination outside the CIC Protection Period. For purposes of the employment agreements, “Change in Control” has the meaning set forth in our LTIP. Payment of severance benefits, whether during or outside the CIC Protection Period, will be conditioned on the NEO’s execution and non-revocation of a release of claims.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to the new employment agreements, the NEOs will be required to enter into customary non-disclosure, non-compete and/or non-solicitation agreements. The employment agreements also provide for reimbursement of certain legal fees incurred by the NEO in successfully enforcing the employment agreement. In addition, if any payments or benefits constitute “parachute payments” under Section 280G of the Code, such payments will either be delivered in full or reduced to the extent necessary to avoid the excise tax under Section 4999 of the Code, whichever results in the NEO receiving the greatest after-tax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of the Board of Directors of the Company while Hexagon was the Company’s sole shareholder, Hexagon determined the director compensation, which was subsequently ratified and adopted by our Board of Directors. Such compensation consists of the following:</w:t>
      </w:r>
    </w:p>
    <w:p>
      <w:pPr>
        <w:spacing w:after="0" w:line="108" w:lineRule="exact"/>
        <w:rPr>
          <w:sz w:val="20"/>
          <w:szCs w:val="20"/>
          <w:color w:val="auto"/>
        </w:rPr>
      </w:pPr>
    </w:p>
    <w:p>
      <w:pPr>
        <w:ind w:left="660" w:hanging="328"/>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retainer in the amount of $60,000 per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award of RSUs with a grant date fair value of approximately $200,000, to vest in full on the first anniversary of the grant date.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Chair of our Board of Directors will receive an additional cash retainer in the amount of $40,000 per year and the chairs of each of our Audit Committee, Compensation Committee, Nominating and Governance Committee and any other committee of our Board of Directors will receive an additional cash retainer in the amount of $30,000, $20,000, $15,000, and $15,000 per year, respectively. Members of each of our Audit Committee, Compensation Committee, Nominating and Governance Committee and any other committee of our Board of Directors will receive an additional cash retainer in the amount of $15,000, $12,000, $10,000, and $10,000 per year, respectively. In addition to the compensation described above, each director will be reimbursed for business-related travel and covered by Octave’s directors’ and officers’ liability insurance policy. We will not provide directors who are also our employees any additional compensation for serving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Hexagon and Octave After the Distribution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of each of the agreements set forth below are qualified in their entireties by reference to the full text of the applicable agreements, forms of which are filed in as exhibits to the registration statement of which this information statement forms a part.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summaries have been included in this information statement to provide information regarding the terms of these agreements. They are not intended to provide any other factual information about Hexagon, Octave, their respective affiliates or the Octave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Distribution Time and each other entity that becomes a subsidiary of Octave after the Distribution Time (including as a result of any transactions that occur following the Distribution Time in accordance with the separation step plan (as defined in the Distribution Agreement)); (iii) “Hexagon group” means Hexagon and each entity (other than any member of Octave group) that is a direct or indirect subsidiary of Hexagon immediately after the Distribution Time, and each entity that becomes a subsidiary of Hexagon after the Distribution Time (including as a result of transactions that occur following the Distribution Time in accordance with the separation step plan); and (iv) “group” means the Hexagon group or the Octave group, as the context requires.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Octave Assets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vast majority of the “Octave Assets” will be transferred via entity encapsulation and include, among other things and subject to certain exceptions, assets related to the Octave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of the Octave entities;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other governmental authorizations held by Hexagon or any of its subsidiaries that are primarily related to the Octave Business or the Octave Assets;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Octave Business;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networks and hardware (“IT Assets”) primarily used or held for use in the Octave Business, including all software embedded within to the extent described in the Distribution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related to the Octave Business;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Octave entities and the additional entities as of immediately prior to the Distribution Time, and all cash and cash equivalents of the Octave entities and the additional entities as of immediately prior to the Distribution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primarily relates to or is primarily used in connection with the Octave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Octave Asset;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assets of Hexagon and its wholly owned or controlled subsidiaries as of immediately prior to the Distribution Time that are primarily related to or primarily used in connection with or held for the benefit of the Octave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Excluded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Octave and its subsidiaries will transfer to Hexagon or one of its designated subsidiaries (other than Octave and its subsidiaries) all right, title and interest in and to all the Excluded Assets, which include all assets of Hexagon and its subsidiaries other than the Octave Assets, including all equity interests (other than those of the Octave entities), insurance policies, real property, permits, tangible and personal property, contracts, IT Assets and intellectual property, in each case other than those constituting Octave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Octave Liabilities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Octave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any Octave Intellectual Property, including the use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Octave or any of its subsidiaries and affiliates pursuant to any agreement entered into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Octave financing agreements entered into in connection with the Distribution, whenever arising;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any claim or action with respect to the Octave Business and the Octave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Excluded Liabilities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Distribution Agreement provides that Hexagon or one or more of its subsidiaries will be responsible for, and not transfer to Octave or its subsidiaries, the Excluded Liabilities, which include: (i) all liabilities to the extent relating to, arising out of or resulting from the ownership, operation or conduct of the Excluded Assets; (ii) any liability attributable to any Hexagon business conducted at the Octave Owned Real Property or Octave Leased Real Property; and</w:t>
      </w:r>
    </w:p>
    <w:p>
      <w:pPr>
        <w:spacing w:after="0" w:line="1" w:lineRule="exact"/>
        <w:rPr>
          <w:sz w:val="20"/>
          <w:szCs w:val="20"/>
          <w:color w:val="auto"/>
        </w:rPr>
      </w:pPr>
    </w:p>
    <w:p>
      <w:pPr>
        <w:ind w:right="20" w:firstLine="8"/>
        <w:spacing w:after="0" w:line="260" w:lineRule="auto"/>
        <w:tabs>
          <w:tab w:leader="none" w:pos="32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Hexagon or any of its subsidiaries (other than the Octave entities) pursuant to the Distribution Agreement or certain other agreements related to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Contracts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 reasonable efforts to develop and implement arrangements (including subcontracting under the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 sublicensing, subleasing or back-to-back arrangements) to pass along to the Hexagon group or the Octave group, as applicable, the benefits and liabilities of the portion of any such shared contract related to the Hexagon business or the Octave Business,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Hexagon and Octave has agreed, from and after the Distribution, to indemnify members of the other party’s group against any liabilities incurred by reason of or arising out of or in consequence of: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demand for payment made on a member of the other party’s group with respect to any such guarantees;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or other proceeding by any person who is or claims to be entitled to the benefit of or claims to be entitled to payment, reimbursement or indemnity with respect to any such guarantees;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expenses reasonably incurred in connection with any of the liabilities described in the preceding three bullets.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of Claims and Indemnification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Distribution Time. The releases will not extend to obligations or liabilities under any agreements between the parties that remain in effect following the Distribution Time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spacing w:after="0" w:line="140" w:lineRule="exact"/>
        <w:rPr>
          <w:sz w:val="20"/>
          <w:szCs w:val="20"/>
          <w:color w:val="auto"/>
        </w:rPr>
      </w:pPr>
    </w:p>
    <w:p>
      <w:pPr>
        <w:ind w:left="660" w:hanging="328"/>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or alleged liabilities each party assumed or retained pursuant to the Distribution Agreement;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each party, any other member of its group or any other person to pay, perform or otherwise promptly discharge any liabilities assumed or retained pursuant to the Distribution Agreement;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each party’s group of any agreement entered into in connection with the Distribution after the Distribution Date (other than any agreement entered into in connection with the Distribution that expressly contains indemnification provisions).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each party’s indemnification obligations will be subject to reduction by any insurance proceeds (net of premium adjustments and costs) actually covered by the party being indemnified, and no party will be liable for punitive, incidental, consequential, special, indirect, exemplary or similar damages except to the extent such losses are owed to an unaffiliated third party in connection with a third-party claim. The Distribution Agreement also specifies procedures with respect to claims subject to indemnification and related matters. Indemnification with respect to taxes will be governed by the Tax Disaffiliation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although Hexagon is obligated to complete the spin-off after obtaining shareholder approval, the Distribution Agreement provides that until the Distribution Time, Hexagon may, in its sole discretion, terminate the Distribution Agreement and/or abandon the Distribution. After the Distribution Time, the Distribution Agreement may be modified only by written agreement between Octave and Hexagon.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Distribution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Hexagon intend to enter into a Transition Services Agreement in connection with the separation, Pursuant to the Transition Services Agreement, each party will agree to provide to the other certain transitional services (“Services”) that were historically provided in the ordinary course of business prior to the Distribution for specified periods ending on the end date for such Service as set forth in the agreement. The Services are intended to facilitate an orderly separation, and may be terminated early by the recipient or extended in certain circumstances. Services are to be provided in a manner substantially consistent with historical practice and in compliance with applicable law, without warranties, and subject to agreed limitations. In consideration for the Services, the recipient is required to pay the fees set forth in the applicable schedules and any related taxes. It also provides for a royalty-free, non-exclusive license for Octave to use the “Hexagon” brand and related marks for a five-year transition period following the Distribution, subject to Octave’s compliance with Hexagon brand guidelines. The term of the Transition Services Agreement continues until the last to expire end date for the Services, unless earlier terminated.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Transaction Services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Disaffiliation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enter into a Tax Disaffiliation Agreement with Hexagon that will govern Hexagon’s and our respective rights, responsibilities and obligations with respect to taxes and tax benefits, the filing of tax returns, the control of audits and other tax matters. References in this summary description of the Tax Disaffiliation Agreement to the terms “tax” or “taxes” mean taxes as well as any interest, penalties, additions to tax or additional amounts in respect of such taxes.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Tax Disaffiliation Agreement, with certain exceptions, we will be generally responsible for all taxes that are attributable to us or our subsidiaries for any taxable period.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any tax year, we will be generally responsible for filing all separate company tax returns that relate to us or one of our subsidiaries and that do not also include Hexagon or any of its subsidiaries. Hexagon will be generally responsible for filing all separate company tax returns that relate to Hexagon or its subsidiaries (other than tax returns that will be filed by us), and for filing consolidated, combined or unitary returns that include (i) one or more of Hexagon and its subsidiaries and (ii) one or more of us and our subsidiaries. We will generally be entitled to receive refunds, credits and offsets with respect to taxes allocated to us under the Tax Disaffiliation Agreement, and Hexagon will generally be entitled to receive refunds, credits and offsets with respect to taxes allocated to it under the Tax Disaffiliation Agreement.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we will have the authority to conduct all tax proceedings, including tax audits, relating to taxes or any adjustment to taxes for which we are responsible for filing a return under the Tax Disaffiliation Agreement, and Hexagon will have the authority to conduct all tax proceedings, including tax audits, relating to taxes or any adjustment to taxes for which Hexagon will be responsible for filing a return under the Tax Disaffiliation Agreement. However, if one party acknowledges a liability to indemnify the other party for a tax to which such proceeding relates, and provides evidence to the other party of its ability to make such payment, the first-mentioned party will have the authority to conduct such proceeding. The Tax Disaffiliation Agreement will further provide for cooperation between us and Hexagon with respect to tax matters, the exchange of information and the retention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records that may affect the tax liabilities of the parties to the agreement. This description is qualified in its entirety by reference to the full text of the form of Tax Disaffiliation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service providers of each company. The Employee Matters Agreement will also govern the treatment of outstanding Hexagon Equity Awards held by Hexagon Group Employees (as defined in the Employee Matters Agreement) and Octave Group Employees (as defined in the Employee Matters Agreement) at and following the completion of the Distribution. See ‘‘Compensation Discussion and Analysis—Treatment of Outstanding Hexagon Equity Awards.”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Employee Matters Agreement will provide that, following the Distribution, Octave Group Participants (as defined in the Employee Matters Agreement) generally will no longer participate in benefit arrangements sponsored, maintained or contributed to by Hexagon and will instead participate in benefit plans maintained by Octave.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Employee Matters Agreement also will set forth the general principles relating to employee matters relating to the Distribution, including, without limitation, with respect to the transfer of relevant employees and independent contractors, the assumption and retention of employment-related liabilities, participation in employee benefit plans (including health, welfare, retirement and severance plans), treatment of equity and other incentive awards, chargeback of certain costs, employee service recognition, the sharing of employee information and the duplication of benefits. This description is qualified in its entirety by reference to the full text of the form of Employee Matters Agreement, which is filed as an exhibit to the registration statement of which this information statement forms a part.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Melker Schörling AB (“MSAB”), a significant shareholder of Hexagon, intend to enter into a Registration Rights Agreement to govern the relationship between the parties after the Distribution in relation to certain registration rights granted to MSAB with respect to the Octave Class B Ordinary Shares it receives in the Distribution (including any Octave Class B Ordinary Shares issuable upon conversion of Octave Class A Ordinary Shares received by MSAB in the Distribution) and any Octave Class B Ordinary Shares it subsequently acquires from the Company (“Registrable Securities”). Beginning on the first anniversary of the Distribution Date, MSAB may require Octave to effect demand registrations of Registrable Securities, subject to certain limitations, including minimum offering size thresholds, blackout periods and limits on the number of demand registrations in any 12-month period. MSAB is also entitled to customary “piggyback” registration rights to participate in certain registered offerings initiated by Octave or other of its security holders, and after the first anniversary of the Distribution Date, Octave must file and maintain an effective shelf registration statement covering the resale of the Registrable Securities for a specified period, subject to customary suspension rights.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is responsible for customary registration expenses (subject to specified caps for MSAB’s counsel fees), while MSAB bears underwriting discounts and certain other selling expenses. The parties provide customary indemnification and contribution provisions, with Octave indemnifying MSAB and related parties for material misstatements or omissions in registration statements (subject to customary exceptions), and MSAB providing reciprocal indemnification limited to information furnished by it and capped at its net proceeds.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Registration Rights Agreement, which is filed as an exhibit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parties, which we refer to as our “related party policy.” Although Octave will, as a general matter, prefer to avoid related party transactions, it recognizes that certain related party transactions may not be inconsistent with the best interests of Octave and its shareholders. Our related party policy will provide that a “related party transaction” is a transaction, arrangement or relationship, or any series of similar transactions, arrangements, or relationships in which (i) Octave or any of its consolidated subsidiaries was, is, or will be a participant, (ii) the aggregate amount involved will or may reasonably be expected to exceed $120,000, and (iii) any related party has or will have a direct or indirect material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means:</w:t>
      </w:r>
    </w:p>
    <w:p>
      <w:pPr>
        <w:spacing w:after="0" w:line="171" w:lineRule="exact"/>
        <w:rPr>
          <w:sz w:val="20"/>
          <w:szCs w:val="20"/>
          <w:color w:val="auto"/>
        </w:rPr>
      </w:pPr>
    </w:p>
    <w:p>
      <w:pPr>
        <w:ind w:left="660" w:hanging="328"/>
        <w:spacing w:after="0" w:line="282"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Octave’s executive officers or a member of or nominee for the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Octave to be the beneficial owner of more than 5% of any class of our voting shares;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 tenant or employee) sharing the household of such director, executive officer or beneficial owner of more than 5% of our voting shares;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may be a “related person” pursuant to Item 404 of Regulation S-K under the Exchange Act or otherwise under any other applicable laws.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Related Party Transaction Policy and the Nominating and Governance Committee charter, the Nominating and Governance Committee has the responsibility to review related party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 In addition, the Nominating and Governance Committee expects to adopt certain pre-approvals under the Related Party Transaction Policy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spacing w:after="0" w:line="133" w:lineRule="exact"/>
        <w:rPr>
          <w:sz w:val="20"/>
          <w:szCs w:val="20"/>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bank or other institution in stocks and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accrual method taxpayer subject to special accounting rules under Section 451(b) of the Code;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receives Hexagon Shares through the exercise of an employee stock option, through a tax qualified retirement plan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for tax purposes other than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5% or more (by vote or value) of Hexagon Shares, Octave Shares, or Octave SDRs;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entities all of the interests of which are held by qualified foreign pension fund and tax-qualified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ind w:left="660" w:hanging="328"/>
        <w:spacing w:after="0"/>
        <w:tabs>
          <w:tab w:leader="none" w:pos="66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Hexagon Shares, Octave Shares, or Octave SDRs as part of a hedge, straddle, constructive sale, wash sale, conversion or other integrated transaction;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resident of the U.S. subject to U.S. tax as an expatriate.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Hexagon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Qualifies as a Transaction that is Generally Tax-Free under Section 355 of the Code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Distribution qualifies as a transaction that is generally tax-free for U.S. federal income tax purposes under Section 355 of the Code, the U.S. federal income tax consequences of the Distribution generally are as follows: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is Taxable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Tax Consequences of Owning Octave Shares Following the Distribution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holder does not in fact receive the amount withheld. The dividend is taxable to a U.S. Holder when the U.S. Holder receives the dividend, actually or constructively.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not be eligible for the dividends-received deduction allowed to U.S. corporations in respect of dividends received from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w:t>
      </w:r>
    </w:p>
    <w:p>
      <w:pPr>
        <w:spacing w:after="0" w:line="134"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U.S. Holders are strongly urged to consult their own tax advisors regarding the possible impact if Section 904(h) of the Code should apply. </w:t>
      </w:r>
      <w:r>
        <w:rPr>
          <w:rFonts w:ascii="Times New Roman" w:cs="Times New Roman" w:eastAsia="Times New Roman" w:hAnsi="Times New Roman"/>
          <w:sz w:val="18"/>
          <w:szCs w:val="18"/>
          <w:i w:val="1"/>
          <w:iCs w:val="1"/>
          <w:color w:val="auto"/>
        </w:rPr>
        <w:t>Taxation of Capital Gains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Hexagon and Octave believe that the Octave Shares will not be stock of a PFIC for U.S. federal income tax purposes, but this conclusion is based on a factual determination made annually and thus is subject to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would be a PFIC with respect to a U.S. Holder if for any taxable year in which the U.S. Holder held Octave Shares, after the application of applicable “look-through rules”: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Octave’s assets for the taxable year (averaged over the year and determined based upon value) produce or are held for the production of passive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regarding the PFIC rules, and the potential tax consequences to them if Octave were determined to be a PFIC.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w:t>
      </w:r>
    </w:p>
    <w:p>
      <w:pPr>
        <w:spacing w:after="0" w:line="3" w:lineRule="exact"/>
        <w:rPr>
          <w:sz w:val="20"/>
          <w:szCs w:val="20"/>
          <w:color w:val="auto"/>
        </w:rPr>
      </w:pPr>
    </w:p>
    <w:p>
      <w:pPr>
        <w:ind w:firstLine="8"/>
        <w:spacing w:after="0" w:line="260" w:lineRule="auto"/>
        <w:tabs>
          <w:tab w:leader="none" w:pos="33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foreign entities. U.S. Holders are urged to consult their tax advisors regarding the application of this legislation to their ownership of Octave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requirements for a noncorporate U.S. Holder, on IRS Form 1099, will apply to:</w:t>
      </w:r>
    </w:p>
    <w:p>
      <w:pPr>
        <w:spacing w:after="0" w:line="171" w:lineRule="exact"/>
        <w:rPr>
          <w:sz w:val="20"/>
          <w:szCs w:val="20"/>
          <w:color w:val="auto"/>
        </w:rPr>
      </w:pPr>
    </w:p>
    <w:p>
      <w:pPr>
        <w:ind w:left="660" w:hanging="328"/>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or other taxable distributions made to such U.S. Holder within the United States, and</w:t>
      </w:r>
    </w:p>
    <w:p>
      <w:pPr>
        <w:spacing w:after="0" w:line="171" w:lineRule="exact"/>
        <w:rPr>
          <w:rFonts w:ascii="Times New Roman" w:cs="Times New Roman" w:eastAsia="Times New Roman" w:hAnsi="Times New Roman"/>
          <w:sz w:val="18"/>
          <w:szCs w:val="18"/>
          <w:color w:val="auto"/>
        </w:rPr>
      </w:pPr>
    </w:p>
    <w:p>
      <w:pPr>
        <w:ind w:right="2340" w:firstLine="332"/>
        <w:spacing w:after="0" w:line="464" w:lineRule="auto"/>
        <w:tabs>
          <w:tab w:leader="none" w:pos="643"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to such U.S. Holder from the sale of Octave Shares effected at a U.S. office of a broker. Additionally, backup withholding (currently at a 24% rate) may apply to such payments to a noncorporate U.S. Holder that:</w:t>
      </w:r>
    </w:p>
    <w:p>
      <w:pPr>
        <w:ind w:left="660" w:hanging="328"/>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such U.S. Holder has failed to report all interest and dividends required to be shown on such U.S. Holder’s federal income tax returns,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person may obtain a refund of any amounts withheld under the backup withholding rules that exceed the person’s income tax liability by properly filing a refund claim with the IRS.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Octave Shares that is not a U.S. person for U.S. federal income tax purposes.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the non-U.S. Holder’s Octave Shares unless: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is present in the United States for 183 or more days in the taxable year of the sale and certain other conditions exist.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CONSIDERATIONS SUMMARIZED ABOVE ARE FOR GENERAL INFORMATION ONLY. EACH OCTAVE SHAREHOLDER SHOULD CONSULT HIS OR HER TAX ADVISOR AS TO THE PARTICULAR CONSEQUENCES THAT MAY APPLY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high-level summary of the material Irish tax considerations applicable to the purchase, ownership and disposition of our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THEIR TAX POSITION AND / OR MAY BE SUBJECT TO TAXATION IN ANY JURISDICTION OTHER THAN IRELAND ARE STRONGLY RECOMMENDED TO CONSULT AN APPROPRIATELY QUALIFIED INDEPENDENT PROFESSIONAL ADVISER.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of tax on chargeable gains (where applicable) in Ireland is 33%.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that are not resident or ordinarily resident in Ireland for Irish tax purposes and do not hold their shares in connection with a trade or business carried on by such shareholders through an Irish branch or agency will not be within the charge to Irish tax on chargeable gains on the receipt or any subsequent disposal of shares in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the greater of 1% of the price paid or the market value of the shares acquired.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Irish stamp duty arises, it is generally a liability of the transferee. However, in the case of a gift or transfer at less than fair market value, all parties to the transfer are jointly and severally liable.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DTC</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shares effected by means of the debit and credit of book-entry interests representing the shares through DTC is not generally subject to Irish stamp duty.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Shares wishing to transfer their Octave Shares into (or out of) DTC may do so without giving rise to Irish stamp duty, provided that:</w:t>
      </w:r>
    </w:p>
    <w:p>
      <w:pPr>
        <w:spacing w:after="0" w:line="171" w:lineRule="exact"/>
        <w:rPr>
          <w:sz w:val="20"/>
          <w:szCs w:val="20"/>
          <w:color w:val="auto"/>
        </w:rPr>
      </w:pPr>
    </w:p>
    <w:p>
      <w:pPr>
        <w:ind w:left="660" w:hanging="328"/>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potential Irish stamp duty charge on transfers of Octave Shares held outside of DTC, it is strongly recommended that shareholders hold Octave Shares through DTC.</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shareholder transfers Octave Shares outside of DTC, this will generally be subject to Irish stamp duty at a rate of 1% of market value or consideration paid, whichever is greater, and the transfer will not be registered until duly stamped.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Octave SDRs may be subject to the 1% Irish stamp duty. However, Irish Revenue in the past have not sought to collect stamp duty on electronic transfers of similar securities through an electronic system such as the Nasdaq Stockholm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 on Dividends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Withholding Tax (“DWT”) at the standard rate of income tax (currently 25%) must be deducted from dividends paid by a company that is tax resident in Ireland unless the holders of the shares are entitled to an exemption and have submitted a properly completed declaration providing for exemption to the Company.</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Exemptions. </w:t>
      </w:r>
      <w:r>
        <w:rPr>
          <w:rFonts w:ascii="Times New Roman" w:cs="Times New Roman" w:eastAsia="Times New Roman" w:hAnsi="Times New Roman"/>
          <w:sz w:val="18"/>
          <w:szCs w:val="18"/>
          <w:color w:val="auto"/>
        </w:rPr>
        <w:t>Certain classes of non-Irish tax resident holders of our shares may also be entitled to claim exemption from DWT where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a properly completed declaration providing for exemption. Such holders would include:</w:t>
      </w:r>
    </w:p>
    <w:p>
      <w:pPr>
        <w:spacing w:after="0" w:line="106" w:lineRule="exact"/>
        <w:rPr>
          <w:sz w:val="20"/>
          <w:szCs w:val="20"/>
          <w:color w:val="auto"/>
        </w:rPr>
      </w:pPr>
    </w:p>
    <w:p>
      <w:pPr>
        <w:jc w:val="both"/>
        <w:ind w:left="660" w:hanging="328"/>
        <w:spacing w:after="0" w:line="281" w:lineRule="auto"/>
        <w:tabs>
          <w:tab w:leader="none" w:pos="65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shareholder (not being a company) who is neither resident nor ordinarily resident in Ireland and who is resident for tax purposes in a Relevant Territory (In this context, Relevant Territory means (i) a Member State of the European Union (other than Ireland) or (ii) a country with which Ireland has a tax treaty in force by virtue of section 826(1) of the Taxes Consolidation Act (“TCA”) or (iii) a country with which Ireland has a tax treaty that is signed and which will come into force once all the ratification procedures set out in section 826(1) TCA have been completed);</w:t>
      </w:r>
    </w:p>
    <w:p>
      <w:pPr>
        <w:spacing w:after="0" w:line="110"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resident for tax purposes in a Relevant Territory provided that the body corporate is not under the control, whether directly or indirectly, of a person or persons who is or are resident in Ireland;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ultimately controlled, directly or indirectly, by persons resident in a Relevant Territory, who is or are (as the case may be) not controlled, directly or indirectly, by persons who are not resident in a Relevant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0" w:lineRule="exact"/>
        <w:rPr>
          <w:sz w:val="20"/>
          <w:szCs w:val="20"/>
          <w:color w:val="auto"/>
        </w:rPr>
      </w:pPr>
    </w:p>
    <w:p>
      <w:pPr>
        <w:ind w:left="660" w:hanging="328"/>
        <w:spacing w:after="0" w:line="282"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whose principal class of shares (or those of its 75% parent) is substantially and regularly traded on a recognised stock exchange either in a Relevant Territory, Ireland or on such other stock exchange approved by the Minister for Finance;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wholly-owned, directly or indirectly, by two or more companies where the principal class of shares of each of such companies is substantially and regularly traded on a recognised stock exchange in a Relevant Territory, Ireland or on such other stock exchange approved by the Minister for Finance;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provided, in all cases noted above, the shareholder has furnished the relevant Irish Revenue Commissioners’ DWT forms (the “DWT Forms”) to:</w:t>
      </w:r>
    </w:p>
    <w:p>
      <w:pPr>
        <w:spacing w:after="0" w:line="171" w:lineRule="exact"/>
        <w:rPr>
          <w:sz w:val="20"/>
          <w:szCs w:val="20"/>
          <w:color w:val="auto"/>
        </w:rPr>
      </w:pPr>
    </w:p>
    <w:p>
      <w:pPr>
        <w:ind w:left="660" w:hanging="328"/>
        <w:spacing w:after="0" w:line="282" w:lineRule="auto"/>
        <w:tabs>
          <w:tab w:leader="none" w:pos="65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broker (and the relevant information is further transmitted to us or any qualifying intermediary appointed by us) before the record date for the dividend if its shares are held through DTC;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agent at least seven business days before such record date if its shares are held outside of DTC.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Links to the various DWT Forms are available at: https://www.revenue.ie/en/companies-and-charities/dividend-withholding-tax/exemptions-for-non-residents.aspx. The information on, or accessible through, any such website is not part of this information statement and is not incorporated by reference herein.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shareholders that cannot avail themselves of one of Ireland’s domestic law exemptions from DWT, it may be possible for such shareholders to rely on the provisions of a double tax treaty to which Ireland is party to reduce the rate of DWT.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by U.S. Resident Shareholders. </w:t>
      </w:r>
      <w:r>
        <w:rPr>
          <w:rFonts w:ascii="Times New Roman" w:cs="Times New Roman" w:eastAsia="Times New Roman" w:hAnsi="Times New Roman"/>
          <w:sz w:val="18"/>
          <w:szCs w:val="18"/>
          <w:color w:val="auto"/>
        </w:rPr>
        <w:t>Dividends paid in respect of our ordinary shares that are owned by U.S. residents and held through DTC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subject to DWT provided the addresses of the beneficial owners of such shares in the records of the broker holding such shares are in the U.S. It is strongly recommended that such shareholders ensure that their information is properly recorded by their brokers (so that such brokers can further transmit the relevant information to a qualifying intermediary appointed by us).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in respect of our ordinary shares that are owned by residents of the U.S. and held outside of DTC will not be subject to DWT if such shareholders provide a completed W-9 form to Computershare, our transfer agent, to confirm their U.S. residence at least seven business days before the record date for the first dividend payment to which they are entitled. It is strongly recommended that such shareholders complete a W-9 form and provide it to our transfer agent as soon as possible after acquiring their shares.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that is resident in the U.S. receives a dividend from which DWT has been withheld, the shareholder may be entitled to apply for a refund of such DWT from the Irish Revenue Commissioners.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Shares Held by Residents of “Relevant Territories” Other than the U.S</w:t>
      </w:r>
      <w:r>
        <w:rPr>
          <w:rFonts w:ascii="Times New Roman" w:cs="Times New Roman" w:eastAsia="Times New Roman" w:hAnsi="Times New Roman"/>
          <w:sz w:val="18"/>
          <w:szCs w:val="18"/>
          <w:color w:val="auto"/>
        </w:rPr>
        <w:t>. Shareholders that are residents of “Relevant Territories,” other than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such shareholders acquired their shares, must satisfy the conditions of one of the exemptions referred to above under the heading “— General Exemptions,” including the requirement to furnish completed DWT Forms, in order to receive dividends without them being subject to DWT. If such shareholders hold their shares through DTC, they must provide the appropriate DWT Forms to their brokers (so that such brokers can further transmit the relevant information to a qualifying intermediary appointed by us) before the record date for the first dividend to which they are entitled. If such shareholders hold their shares outside of DTC, they must provide the appropriate DWT Forms to our transfer agent at least seven business days before such record date. It is strongly recommended that such shareholders complete the appropriate DWT Forms and provide them to their brokers or our transfer agent, Computershare, as the case may be,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a “Relevant Territory” receives a dividend from which DWT has been withheld, the shareholder may be entitled to a refund of DWT from the Irish Revenue Commissioners.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Shares Held by Residents of Ireland</w:t>
      </w:r>
      <w:r>
        <w:rPr>
          <w:rFonts w:ascii="Times New Roman" w:cs="Times New Roman" w:eastAsia="Times New Roman" w:hAnsi="Times New Roman"/>
          <w:sz w:val="18"/>
          <w:szCs w:val="18"/>
          <w:color w:val="auto"/>
        </w:rPr>
        <w:t>. Most Irish tax resident or ordinarily resident shareholders will be subject to DWT in respect of dividends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that are residents of Ireland, but are entitled to receive dividends without DWT, must complete the appropriate DWT Forms and provide them to their brokers (so that such brokers can further transmit the relevant information to a qualifying intermediary appointed by us) before the record date for the first dividend to which they are entitled (in the case of shares held through DTC), or to our transfer agent Computershare at least seven business days before such record date (in the case of shares held outside of DTC).</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Intermediary. </w:t>
      </w:r>
      <w:r>
        <w:rPr>
          <w:rFonts w:ascii="Times New Roman" w:cs="Times New Roman" w:eastAsia="Times New Roman" w:hAnsi="Times New Roman"/>
          <w:sz w:val="18"/>
          <w:szCs w:val="18"/>
          <w:color w:val="auto"/>
        </w:rPr>
        <w:t>Prior to paying any dividend, we will put in place an agreement with an entity that is recognized by the Irish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Commissioners as a “qualifying intermediary,” which will provide for certain arrangements relating to distributions in respect of our ordinary shares that are held through DTC (the “Deposited Securities”). The agreement will provide that the qualifying intermediary shall distribute or otherwise make available to Cede &amp; Co., as nominee for DTC, any cash dividend or other cash distribution with respect to the Deposited Securities after we deliver or cause to be delivered to the qualifying intermediary the cash to be distributed.</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rely on information received directly or indirectly from our qualifying intermediary, brokers and our transfer agent in determining where shareholders reside, whether they have provided the required U.S. tax information and whether they have provided the required DWT Forms.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that are required to file DWT Forms in order to receive dividends free of DWT should note that such forms are generally valid, subject to a change in circumstances, until December 31 of the fifth full year after the year of issue of the forms.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Acquisitions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capital acquisitions tax (“CAT”) is comprised principally of gift tax and inheritance tax.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w:t>
      </w:r>
    </w:p>
    <w:p>
      <w:pPr>
        <w:spacing w:after="0" w:line="17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consult their own tax advisors as to whether CAT is creditable or deductible in computing any domestic tax liabilities.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Irish tax considerations summarized above are for general information only. Holders of shares should consult with their tax advisors regarding the Irish tax consequences relating to the acquisition, ownership and disposal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SWEDISH TAX CONSEQUENCES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 w:cs="Times New Roman" w:eastAsia="Times New Roman" w:hAnsi="Times New Roman"/>
          <w:sz w:val="18"/>
          <w:szCs w:val="18"/>
          <w:i w:val="1"/>
          <w:iCs w:val="1"/>
          <w:color w:val="auto"/>
        </w:rPr>
        <w:t>inkomstskattelagen</w:t>
      </w:r>
      <w:r>
        <w:rPr>
          <w:rFonts w:ascii="Times New Roman" w:cs="Times New Roman" w:eastAsia="Times New Roman" w:hAnsi="Times New Roman"/>
          <w:sz w:val="18"/>
          <w:szCs w:val="18"/>
          <w:color w:val="auto"/>
        </w:rPr>
        <w:t xml:space="preserve"> (1999:1229)), rulings and other administrative pronouncements issued by the Swedish Tax Agency (Sw. </w:t>
      </w:r>
      <w:r>
        <w:rPr>
          <w:rFonts w:ascii="Times New Roman" w:cs="Times New Roman" w:eastAsia="Times New Roman" w:hAnsi="Times New Roman"/>
          <w:sz w:val="18"/>
          <w:szCs w:val="18"/>
          <w:i w:val="1"/>
          <w:iCs w:val="1"/>
          <w:color w:val="auto"/>
        </w:rPr>
        <w:t>Skatteverket</w:t>
      </w:r>
      <w:r>
        <w:rPr>
          <w:rFonts w:ascii="Times New Roman" w:cs="Times New Roman" w:eastAsia="Times New Roman" w:hAnsi="Times New Roman"/>
          <w:sz w:val="18"/>
          <w:szCs w:val="18"/>
          <w:color w:val="auto"/>
        </w:rPr>
        <w:t>),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 w:cs="Times New Roman" w:eastAsia="Times New Roman" w:hAnsi="Times New Roman"/>
          <w:sz w:val="18"/>
          <w:szCs w:val="18"/>
          <w:i w:val="1"/>
          <w:iCs w:val="1"/>
          <w:color w:val="auto"/>
        </w:rPr>
        <w:t>näringsbetingade andelar</w:t>
      </w:r>
      <w:r>
        <w:rPr>
          <w:rFonts w:ascii="Times New Roman" w:cs="Times New Roman" w:eastAsia="Times New Roman" w:hAnsi="Times New Roman"/>
          <w:sz w:val="18"/>
          <w:szCs w:val="18"/>
          <w:color w:val="auto"/>
        </w:rPr>
        <w:t>) including potential investor deductions; tax consequences on foreign companies taxable in Sweden due to a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establishment; or tax consequences on shares or SDRs that are held in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xml:space="preserve">) or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that are applicable for private individuals. This discussion does not address any tax considerations other than those pertaining to the Swedish income tax.</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may be taxable under such other tax laws, and all holders should consult their own tax advisors with respect to the applicability and effect of any such tax laws.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“Swedish Holder” is any beneficial owner of Hexagon Class A Shares or Hexagon Class B Shares that is, for Swedish income tax purposes:</w:t>
      </w:r>
    </w:p>
    <w:p>
      <w:pPr>
        <w:spacing w:after="0" w:line="108" w:lineRule="exact"/>
        <w:rPr>
          <w:sz w:val="20"/>
          <w:szCs w:val="20"/>
          <w:color w:val="auto"/>
        </w:rPr>
      </w:pPr>
    </w:p>
    <w:p>
      <w:pPr>
        <w:ind w:left="660" w:hanging="328"/>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resident of Sweden for tax purposes;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organized under the laws of Sweden.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has received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Qualifies as a Transaction that is Tax Exempt Under the Lex-ASEA Rule</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Hexagon currently believes that the distribution of shares and SDRs to Swedish Holders of Hexagon is tax exempt. This exemption is conditioned on the following requirements: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made in proportion to the shares held in the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parent company are listed/publicly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company distributes all its shares in the subsidiary;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company belonging to the same group as the parent company may hold any shares in the distributed subsidiary after the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Section 42, Paragraph 16 b of the Swedish Income Tax Act regarding exemption from immediate taxation upon partial demerger are not applicable.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Assuming the Distribution, together with certain related transactions, qualifies as a transaction that is generally tax exempt for Swedish income tax purposes the Swedish income tax consequences of the distribution generally are as follows:</w:t>
      </w:r>
    </w:p>
    <w:p>
      <w:pPr>
        <w:spacing w:after="0" w:line="108" w:lineRule="exact"/>
        <w:rPr>
          <w:sz w:val="20"/>
          <w:szCs w:val="20"/>
          <w:color w:val="auto"/>
        </w:rPr>
      </w:pPr>
    </w:p>
    <w:p>
      <w:pPr>
        <w:ind w:left="660" w:right="20" w:hanging="328"/>
        <w:spacing w:after="0" w:line="282"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Distribution Date.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Received in Lieu of Fractional Shares or SDRs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Swedish holder of Hexagon Class A Shares or Hexagon Class B Shares is entitled to receive a fraction of an Octave Class A Ordinary Share or Octave Class B Ordinary Share, Computershare, in its capacity as transfer and distribution agent, will aggregate such fractional shares into whole shares and then sell the whole shares on Nasdaq New York. SEB, in its capacity as custodian and issuer of the Octave SDRs, will aggregate fractional Octave SDRs into whole Octave SDRs and sell the whole Octave SDRs on Nasdaq Stockholm. In each case, the whole Octave Shares and Octave SDRs will be sold at prevailing rates and Computershare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 individuals and as income from business operations for limited liability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is Taxable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Liability Companies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Tax Withholding Applicable to Swedish Individuals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rule is to withhold preliminary taxes on distributed funds at 30%. However, withholding preliminary taxes on foreign securities, including SDRs, shall be made at an amount that combined with any foreign taxes equals 30%.</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entity obliged to withhold preliminary taxes on a distribution is also required to submit statements of income and expenses (Sw. </w:t>
      </w:r>
      <w:r>
        <w:rPr>
          <w:rFonts w:ascii="Times New Roman" w:cs="Times New Roman" w:eastAsia="Times New Roman" w:hAnsi="Times New Roman"/>
          <w:sz w:val="18"/>
          <w:szCs w:val="18"/>
          <w:i w:val="1"/>
          <w:iCs w:val="1"/>
          <w:color w:val="auto"/>
        </w:rPr>
        <w:t>kontrolluppgifter</w:t>
      </w:r>
      <w:r>
        <w:rPr>
          <w:rFonts w:ascii="Times New Roman" w:cs="Times New Roman" w:eastAsia="Times New Roman" w:hAnsi="Times New Roman"/>
          <w:sz w:val="18"/>
          <w:szCs w:val="18"/>
          <w:color w:val="auto"/>
        </w:rPr>
        <w:t>) concerning the recipient of the payment to the Swedish Tax Agency.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Following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on received Octave Class B Ordinary Shares or Octave SDRs representing the Octave Class B Ordinary Shares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to individuals on publicly-listed shares or SDRs, which the Octave Class B Ordinary Shares and Octave SDRs representing the Octave Class B Ordinary Shares will be, are taxed as capital income at a 30% tax rate.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Capital Gains and Capital Losses upon Divestment by Swedish holders of Octave Class B Ordinary Shares or Octave SDRs representing the Octave Class B Ordinary Shares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Dividends on and Capital Gains and Capital Losses following Divestment of Octave Class A Ordinary Shares, Octave Class B Ordinary Shares or Octave SDRs representing the Octave Class B Ordinary Shares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purposes. A capital loss that cannot be utilized during a certain fiscal year can be carried forward and be deducted against taxable capital gain on shares and other securities following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Income Tax Consequences to other Swedish Associations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36" w:lineRule="exact"/>
        <w:rPr>
          <w:sz w:val="20"/>
          <w:szCs w:val="20"/>
          <w:color w:val="auto"/>
        </w:rPr>
      </w:pPr>
    </w:p>
    <w:p>
      <w:pPr>
        <w:ind w:right="3620" w:firstLine="3615"/>
        <w:spacing w:after="0" w:line="440" w:lineRule="auto"/>
        <w:rPr>
          <w:sz w:val="20"/>
          <w:szCs w:val="20"/>
          <w:color w:val="auto"/>
        </w:rPr>
      </w:pPr>
      <w:r>
        <w:rPr>
          <w:rFonts w:ascii="Times New Roman" w:cs="Times New Roman" w:eastAsia="Times New Roman" w:hAnsi="Times New Roman"/>
          <w:sz w:val="18"/>
          <w:szCs w:val="18"/>
          <w:b w:val="1"/>
          <w:bCs w:val="1"/>
          <w:color w:val="auto"/>
        </w:rPr>
        <w:t>DESCRIPTION OF MATERIAL INDEBTEDNESS Revolving Credit Facility and Term Loan Facility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27, 2026, Octave entered into a credit agreement (the “Credit Agreement”) with Hexagon AB, certain of Octave’s subsidiaries and Bank of America, N.A., as administrative agent, providing for a senior unsecured credit facility consisting of (a) a five-year senior unsecured multi-currency revolving credit facility in an aggregate principal amount of up to $500 million (the “Revolving Credit Facility”) and (b) a four-year senior unsecured term loan facility consisting of (i) a U.S. dollar-denominated term loan in an amount of up to $350 million (the “Dollar Tranche Term Loan”) and (ii) a euro-denominated term loan in an amount of up to €150 million (the “Euro Tranche Term Loan”, together with the Dollar Tranche Term Loan, the “Term Loan Facility” and, together with the Revolving Credit Facility, the “Credit Facilities”). Under the Credit Agreement, Octave is permitted to incur up to $250 million of additional incremental commitments, subject to customary conditions and lender participation. The Credit Facilities are guaranteed by Octave and, solely prior to the consummation of the Distribution, Hexagon AB.</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borrowings under the Credit Facilities are expected to be used to fund a cash payment to Hexagon substantially concurrently with consummation of the Distribution. Proceeds of the Credit Facilities may also be used for working capital and general corporate purposes of Octave.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Facilities will bear interest, at Octave’s option, at variable rates based on Term SOFR or an alternative base rate for loans denominated in U.S. dollars, EURIBOR for loans denominated in euro or Daily Simple SONIA for Revolving Credit Facility loans denominated in pounds sterling, in each case plus an applicable margin. The applicable margin will vary based on Octave’s consolidated leverage ratio and ranges from (i) 125 to 175 basis points in the case of Term SOFR Loans, EURIBOR loans and Daily Simple SONIA loans and (ii) 25 to 75 basis points in the case of loans bearing interest at the alternative base rate.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Octave is required to maintain a maximum consolidated leverage ratio as of the end of each fiscal quarter of no more than 3.50 to 1.00. Octave may elect to increase the maximum permitted consolidated leverage ratio to 4.00 to 1.00 for the fiscal quarter during which a material acquisition occurs and for the following three fiscal quarters.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Credit Agreement, which is filed as an exhibit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will be amended and restated in connection with the Distribution. The rights and restrictions to which our shares will be subject will be prescribed by our memorandum and articles of association. This section summarizes the material terms of our share capital, including certain provisions that will be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name of Octave is Octave Intelligence plc. Octave was incorporated in Ireland on July 5, 2017 as a private limited company, and was re-registered as a public limited company on February 26, 2026. Octave’s fiscal year ends on December 31. Octave’s registered office address is 10 Earlsfort Terrace, Dublin 2, D02 T380, Ireland.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authorized share capital of Octave will be $100,000,000 and €25,000, divided into 4,500,000,000 Octave Class A Ordinary Shares of $0.01 each, 4,500,000,000 Octave Class B Ordinary Shares of $0.01each, 1,000,000,000 preferred shares of $0.01 each and 25,000 deferred shares of €1.00 each. The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save for voting rights and conversion rights. For additional information on voting rights, see “—Voting” below. Each Octave Class A Ordinary Share may be converted into or exchanged for one Octave Class B Ordinary Share at the option of the holder of the Octave Class A Ordinary Share. The 25,000 deferred shares with a nominal value of €1.00 per share are included in the authorized share capital in order to satisfy minimum statutory requirements for Irish public limited companies. These deferred shares will carry no voting or dividend rights (unless the deferred shares are the only class of share in issue). All outstanding deferred shares will be acquired and cancelled by Octave for no consideration contemporaneously with the Distribution being effected.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number of Hexagon Shares outstanding and the number of treasury shares held by Hexagon as of the date of this information statement, and the distribution ratio whereby every ten (10) shares in Hexagon entitle to one (1) share of the corresponding share class in Octave, Octave will have an issued share capital of 11,025,000 Octave Class A Ordinary Shares and 257,412,788 Octave Class B Ordinary Shares immediately after the Distribution.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rights and restrictions to which Octave Shares will be subject will be prescribed in our Articles. Our Articles will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 of the 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will not provide for the issuance of fractional Octave Shares, and the official Irish share register of Octave will not reflect any fractional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and Share Options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Octave will opt out of these pre-emption rights in our Articles as permitted under Irish company law until the date of the next-following annual general meeting, being the 2027 annual general meeting.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any shareholder approval requirement under any laws, regulations or the rules of any stock exchange to which Octave is subject, our Board of Directors will be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Distribution, Octave will not have any distributable reserves. Octave will therefore not have the ability to pay dividends (or make other forms of distributions)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 Octave, has passed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Irish tax issues relating to dividend payments, see “Material Irish Tax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will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 by Octave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 payment on redemption. Redeemable shares may, upon redemption, be cancelled or held in treasury. Shareholder approval will not be required to redeem Octave shares pursuant to our Articles.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also be given an additional general authority by its shareholders to purchase its own shares on-market, which would take effect on the same terms and be subject to the same conditions as applicable to purchases by Octave’s subsidiaries as described below.</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will also be entitled to issue preferred shares, which may be redeemed at the option of either Octave or the shareholder, depending on the terms of such preferred shares. For additional information on preferred shares, see “—Share Capital”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 of Octave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will also provide that bonus shares allotted and issued to shareholders shall be of the same class as shares already held by that shareholder (and in the same proportions).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Liens on Shares, Calls on Shares and Forfeiture of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 and ultimately sold. These provisions are standard inclusions in the articles of association of an Irish public limited company such as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provide that Octave may, by ordinary resolution, consolidate and divide all or any of its share capital into shares of larger nominal value than its existing shares or subdivide its shares into smaller amounts than is fixed by our Articles.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be required to hold an annual general meeting each calendar year no more than nine months after our fiscal year end. Annual general meetings must be held at intervals of no more than 15 months. Our Articles will provide that the Octave directors may convene general meetings of the shareholders at any place they so designate including by way of virtual general meeting. It is expected that Octave’s first annual general meeting as a public company will occur in 2027.</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w:t>
      </w:r>
    </w:p>
    <w:p>
      <w:pPr>
        <w:spacing w:after="0" w:line="3" w:lineRule="exact"/>
        <w:rPr>
          <w:sz w:val="20"/>
          <w:szCs w:val="20"/>
          <w:color w:val="auto"/>
        </w:rPr>
      </w:pPr>
    </w:p>
    <w:p>
      <w:pPr>
        <w:ind w:right="20" w:firstLine="8"/>
        <w:spacing w:after="0" w:line="260" w:lineRule="auto"/>
        <w:tabs>
          <w:tab w:leader="none" w:pos="26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reducing the period of notice to 14 clear days has been passed at the immediately preceding annual general meeting, or at a general meeting held since that meeting.</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Octave shareholders, the proposed purpose of the meeting must be set out in the requisition notice. Upon receipt of any such valid requisition notice, our Board of 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Articles, our Board of Directors may from time to time authorize us to issue preferred shares. These preferred shares may have such voting rights as may be specified in the terms of such preferred shares, except that the holders of any series of preferred shares will not be entitled to exercise more than one vote per preferred share without the consent of the majority of the holders of the Octave Class A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 or shares of the Company that are held by our subsidiaries will not be entitled to be voted at general meetings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Octave;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a person connected with a director;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statutory pre-emption rights on the issuance of new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Octave from a public limited company to a private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our Articles do not provide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Octave shares off-market;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Octave be wound up by the Irish courts;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and as will be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will expressly provide that any issue of preferred shares (whatever the rights attaching to them) will be deemed not to be a variation of the rights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Director Nominations and Proposals of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and our Articles will establish advance notice procedures with respect to shareholder proposals, including nomination of candidates for election as directors other than nominations made by or at the direction of our Board of Directors or a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that shareholders may approve a resolution without a meeting if (i) all shareholders sign the written resolution and (ii) the company’s articles of association permit written resolutions of shareholders. Our Articles provide that no resolution of the members may be passed as a written resolution under the Irish Companies Act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 directors’ and auditors’ reports) which have previously been sent to shareholders prior to an annual general meeting; 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securities were to be listed on a regulated stock exchange in the EU, this threshold would be increased to 90%;</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merger with another Irish company under the Companies Act, which must be approved by a special resolution and by the Irish High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rights apply in the case of a merger of an Irish public limited company into another company to which the provisions of the Irish Companies Act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described above, shareholders of an Irish company generally do not have appraisal rights under Irish law. However, Irish company law does provide for dissenters’ rights in certain situations, as described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spacing w:after="0" w:line="135" w:lineRule="exact"/>
        <w:rPr>
          <w:sz w:val="20"/>
          <w:szCs w:val="20"/>
          <w:color w:val="auto"/>
        </w:rPr>
      </w:pPr>
    </w:p>
    <w:p>
      <w:pPr>
        <w:ind w:left="660" w:hanging="328"/>
        <w:spacing w:after="0" w:line="282" w:lineRule="auto"/>
        <w:tabs>
          <w:tab w:leader="none" w:pos="65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Octave on those shares, whether in respect of capital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SDRs will be considered to be interested in the Octave Shares for the purposes of the Irish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we are in an offer period pursuant to the Irish Takeover Rules, accelerated disclosure provisions apply for persons holding an interest in our securities of 1% or more.</w:t>
      </w:r>
    </w:p>
    <w:p>
      <w:pPr>
        <w:spacing w:after="0" w:line="108" w:lineRule="exact"/>
        <w:rPr>
          <w:sz w:val="20"/>
          <w:szCs w:val="20"/>
          <w:color w:val="auto"/>
        </w:rPr>
      </w:pPr>
    </w:p>
    <w:p>
      <w:pPr>
        <w:ind w:right="840"/>
        <w:spacing w:after="0" w:line="438" w:lineRule="auto"/>
        <w:rPr>
          <w:sz w:val="20"/>
          <w:szCs w:val="20"/>
          <w:color w:val="auto"/>
        </w:rPr>
      </w:pPr>
      <w:r>
        <w:rPr>
          <w:rFonts w:ascii="Times New Roman" w:cs="Times New Roman" w:eastAsia="Times New Roman" w:hAnsi="Times New Roman"/>
          <w:sz w:val="18"/>
          <w:szCs w:val="18"/>
          <w:color w:val="auto"/>
        </w:rPr>
        <w:t xml:space="preserve">In addition, the beneficial ownership disclosures of the U.S. federal securities laws will apply with respect to beneficial ownership of our shares. </w:t>
      </w:r>
      <w:r>
        <w:rPr>
          <w:rFonts w:ascii="Times New Roman" w:cs="Times New Roman" w:eastAsia="Times New Roman" w:hAnsi="Times New Roman"/>
          <w:sz w:val="18"/>
          <w:szCs w:val="18"/>
          <w:b w:val="1"/>
          <w:bCs w:val="1"/>
          <w:color w:val="auto"/>
        </w:rPr>
        <w:t>Anti-Takeover Provisions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section “Anti-Takeover Provisions,” “share” and “shareholder” are also used when reference is made to Octave SDRs and holders of Octave SDRs.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 transaction in which someone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seeks to acquire 30% or more of our voting rights will be governed by the Irish Takeover Rules and will be regulated by the Irish Takeover Panel.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 w:cs="Times New Roman" w:eastAsia="Times New Roman" w:hAnsi="Times New Roman"/>
          <w:sz w:val="18"/>
          <w:szCs w:val="18"/>
          <w:i w:val="1"/>
          <w:iCs w:val="1"/>
          <w:color w:val="auto"/>
        </w:rPr>
        <w:t>lagen (2006:451) om offentliga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uppköpserbjudanden på aktiemarknaden), </w:t>
      </w:r>
      <w:r>
        <w:rPr>
          <w:rFonts w:ascii="Times New Roman" w:cs="Times New Roman" w:eastAsia="Times New Roman" w:hAnsi="Times New Roman"/>
          <w:sz w:val="18"/>
          <w:szCs w:val="18"/>
          <w:color w:val="auto"/>
        </w:rPr>
        <w:t>regarding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important aspects of the Irish Takeover Rules and the Swedish Takeover Rules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Irish Takeover Rules as well as the Swedish Takeover Rules are built on the following general principles derived from Directive 2004/25/EC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Parliament and of the Council of 21 April 2004 on takeover bids (the “General Principles”), which will apply to any offer regarding our shares:</w:t>
      </w:r>
    </w:p>
    <w:p>
      <w:pPr>
        <w:spacing w:after="0" w:line="153" w:lineRule="exact"/>
        <w:rPr>
          <w:sz w:val="20"/>
          <w:szCs w:val="20"/>
          <w:color w:val="auto"/>
        </w:rPr>
      </w:pPr>
    </w:p>
    <w:p>
      <w:pPr>
        <w:ind w:left="660" w:hanging="328"/>
        <w:spacing w:after="0" w:line="282"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of the same class must be afforded equivalent treatment and, if a person acquires control of a company, the other holders of securities must be protected;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it can fulfil in full, any cash consideration, if such is offered, and after taking all reasonable measures to secure the implementation of any other type of consideration;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40" w:lineRule="exact"/>
        <w:rPr>
          <w:sz w:val="20"/>
          <w:szCs w:val="20"/>
          <w:color w:val="auto"/>
        </w:rPr>
      </w:pPr>
    </w:p>
    <w:p>
      <w:pPr>
        <w:ind w:left="660" w:hanging="328"/>
        <w:spacing w:after="0" w:line="282" w:lineRule="auto"/>
        <w:tabs>
          <w:tab w:leader="none" w:pos="65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Provisions in our Articles will provide that where an acquisition of voting rights in Octave, or an increase in the percentage of voting rights in Octave, by any person alone or in concert with other persons causes that person to incur a mandatory offer obligation under the Irish Takeover Rules, the rights in respect of those shares are restricted and have no right to vote at general meetings of Octave but otherwise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Octave Class A Ordinary Shares and Octave Class B Ordinary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on mandatory bid obligations under the Swedish Takeover Act are 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offer period will generally commence from the date of the first announcement of the offer or proposed </w:t>
      </w:r>
      <w:r>
        <w:rPr>
          <w:rFonts w:ascii="Times New Roman" w:cs="Times New Roman" w:eastAsia="Times New Roman" w:hAnsi="Times New Roman"/>
          <w:sz w:val="18"/>
          <w:szCs w:val="18"/>
          <w:i w:val="1"/>
          <w:iCs w:val="1"/>
          <w:color w:val="auto"/>
        </w:rPr>
        <w:t>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Up or Shut Up’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spacing w:after="0" w:line="133" w:lineRule="exact"/>
        <w:rPr>
          <w:sz w:val="20"/>
          <w:szCs w:val="20"/>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50% of the voting rights state in writing that they approve the proposed action and would vote in favor of it at a general meeting;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Takeover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consideration rules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financing, conditions, etc.</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Swedish Takeover Rules provide that a takeover bid may only be made once the Offeror has taken all necessary steps to implement the offer and, in particular, has ensured that it can satisfy any cash consideration in full.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Offeror is generally permitted to withdraw the offer only where the non-satisfaction of a condition is of material importance to its acquisition of the target.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statement by an Offeror that the Offeror will or will not act in a certain manner with respect to its offer is binding if the purpose of the statement is to create legitimate trust on the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duties of the target board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merger-like processes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for a minimum of two directors. Our Articles will provide that the number of directors will be fixed by our Board of Directors, but will not be less than three nor more than fourteen. The minimum or maximum number of directors may be increased or reduced by an ordinary resolution of shareholders, provided however, that any resolution to appoint a director approved by the shareholders that would result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maximum number of directors being exceeded shall be deemed to constitute an ordinary resolution increasing the maximum number of directors to the number that would be in office following such a resolution of appointment.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will provide that directors are elected by the affirmative vote of a majority of the votes cast by shareholders at a general meeting (present in person or by proxy) of the shareholders and will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equaling in number to the number of positions to be filled at the relevant general meeting, that received the highest number of votes) of the shares present in person or represented by proxy at any such meeting and entitled to vote on the election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directors so appointed shall be required to retire at the next annual general meeting of Octave unless he or she is re-elected at such meeting. During any vacancy in our Board of Directors, the remaining directors shall have full power to act as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corporate existence will have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will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Octave Shares have no sinking fund provisions. Under such provision, a company would set aside funds to redeem its shares at a certain price.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to be issued in the Distribution will be duly and validly issued and fully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w:t>
      </w:r>
    </w:p>
    <w:p>
      <w:pPr>
        <w:jc w:val="both"/>
        <w:ind w:firstLine="8"/>
        <w:spacing w:after="0" w:line="255" w:lineRule="auto"/>
        <w:tabs>
          <w:tab w:leader="none" w:pos="18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transfer of Octave shares that is subject to Irish stamp duty will not be registered in the name of the buyer unless an instrument of transfer is duly stamped and provided to the transfer agent. Our Articles will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delegate to our secretary (or any other person designated by our Board of Directors) the authority to execute an instrument of transfer on behalf of a transferring party.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Indemnification of Directors and Officers and Insurance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take out and maintain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will also contain indemnification and expense advancement provisions for current or former executive officers who are not directors or secretaries of Octave.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has applied for authorization to list its Octave Class B Ordinary Shares on Nasdaq New York under the symbol “OCTV.”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Octave’s incorporation on July 5, 2017, Octave issued 100 ordinary shares of nominal value €1.00 which were held by nominees on behalf of a corporate services provider until July 24, 2025 at which time the entire issued share capital was transferred to Hexagon AB. On February 19, 2026, in order to satisfy the minimum capital requirements applicable to a public limited company under Irish law, Octave issued one additional ordinary share of nominal value €1.00, at a subscription price of €24,900, to Hexagon AB. These issuances were not registered under the Securities Act as they did not constitute a public offering and therefore were exempt from registration pursuant to Sections 4(a)(2) and Section 4(a)(1) of the Securities Act,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Octave Class B Ordinary Shares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SWEDISH DEPOSITORY RECEIPTS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of Octave Class B Ordinary Shares, we will register all such Octave Class B Ordinary Shares, other than such shares that are to be distributed to affiliates of Hexagon, in the name of Cede &amp; Co, as nominee for DTC, which will credit beneficial interests in such shares to a sub-custodian of SEB pursuant to the SDR Issuer Agreement that has been entered into between us and SEB. SEB will then issue Octave SDRs representing the Octave Class B Ordinary Shares.</w:t>
      </w:r>
    </w:p>
    <w:p>
      <w:pPr>
        <w:spacing w:after="0" w:line="8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Each Octave SDR will represent one Octave Class B Ordinary Share deposited with SEB’s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provides a general description of the material terms of the Octave SDRs. It does not purport to be complete and is qualified in its entirety by reference to the General Terms and Conditions of the Octave SDRs, which set forth the full legally binding terms governing the Octave SDRs. The General Terms and Conditions of the Octave SDRs are attached as an exhibit to the registration statement of which this information statement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of Octave Class B Ordinary Shares, Issuance of Octave SDRs and CSD Register</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the Distribution, the Octave Class B Ordinary Shares will be distributed in the form of Octave SDRs to Hexagon shareholders, other than affiliates of Hexagon. Such Octave Class B Ordinary Shares will be deposited with SEB, via its designated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For each whole Octave Class B Ordinary Share deposited, SEB will issue one Octave SDR. No fractional Octave Class B Ordinary Shares will be accepted for deposit, and fractional Octave SDRs will not be issued. The Octave SDRs will be denominated in SEK.</w:t>
      </w:r>
    </w:p>
    <w:p>
      <w:pPr>
        <w:spacing w:after="0" w:line="10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b w:val="1"/>
          <w:bCs w:val="1"/>
          <w:color w:val="auto"/>
        </w:rPr>
        <w:t>Octave SDRs will be recorded as electronic 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 entries in the CSD register (the “CSD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and Payment Dates for Dividends and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expect to pay a regular cash dividend in the near future. The payment of any dividends in the future, and the timing and amount thereof, is within the discretion of Octave’s Board of Directors. See “The Separation and the Distribution—Dividend Policy.”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 Dividend amounts for each SDR will be calculated and payable in SEK rounded down to SEK 0.01 per SDR.</w:t>
      </w:r>
    </w:p>
    <w:p>
      <w:pPr>
        <w:spacing w:after="0" w:line="8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distributions (such as property, securities, or rights) may, at SEB’s discretion and subject to practical considerations, be: (i) distributed in kind (if feasible); or (ii) sold, with net proceeds (after costs and taxes) distributed to Octave SDR holders in SEK.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Taxation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legislation in the investor’s home country and in Ireland may affect any income received from Octave Shares or Octave SDRs.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any dividend, as well as capital gains taxation and rules concerning capital losses in connection with disposal of securities, depends on the shareholder’s particular circumstances. Special rules may apply to certain categories of tax payers and certain types of investment forms. Each holder of Octave Shares or Octave SDRs should therefore consult a tax advisor for information on the specific implications that may arise in each individual case, including the applicability and effect of foreign tax rules and double taxation treaties.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at General Meetings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 &amp; 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General Terms and Conditions describe how Octave SDR holders can indirectly exercise their voting rights in respect of the underlying Octave Class B Ordinary Shares at general meetings of shareholders. Octave SDR holders will be provided with information regarding general meetings of shareholders in accordance with the General Terms and Conditions. Octave shall, or ensure that its service provider shall, on behalf of SEB, procure that the relevant notice is provided to all Octave SDR holders by post to the address listed in the CSD Register. The notification shall include information on (i) the type of shareholders’ meeting to be held, (ii) the time and location of the shareholders’ meeting, (iii) information on how to find the convening notice in full, the agenda and other documentation of the shareholders’ meeting as established by SEB, (iv) the record date for Octave SDR holders as determined in accordance with the General Terms and Conditions, (v) instructions regarding any measures to be taken by the Octave SDR holder in order to be able to vote at the shareholders’ meeting by appointing a proxy and (vi) the date and time by which Octave SDR holders are required to submit any vote at the shareholders’ meeting by appointing a proxy (the “SDR Proxy Voting Deadline”).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Octave SDR holders which are registered in the CSD Register on the record date (as determined in accordance with the General Terms and Conditions), which shall be not later than eight (8) business days before the shareholders’ meeting, and who have, no later than the SDR Proxy Voting Deadline, notified Octave or its service provider that they wish to vote at the shareholders’ meeting by appointing a proxy and validly submitted proxy voting instructions in the manner required with respect to such shareholders’ meeting, are entitled to vote by proxy 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SDRs into Octave Class B Ordinary Shares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Octave SDR holders may convert their Octave SDRs into Octave Class B Ordinary Shares, traded on Nasdaq New York. Such conversion of Octave SDRs into Octave Class B Ordinary Shares will be free of charge for Octave SDR holders during the initial six (6) months from and including the first day of trading in the Octave SDRs on Nasdaq Stockholm, and thereafter require payment of a conversion fee by the Octave SDR holder, its nominee or broker. In connection with the Distribution, Octave SDR holders may request conversion of their Octave SDRs into Octave Class B Ordinary Shares on the first day of trading in the Octave SDRs on Nasdaq Stockholm, expected to be on May 25, 2026, with expected delivery of the corresponding number of Octave Class B Ordinary Shares three (3) business days thereafter, i.e. on May 28, 2026. It will thereafter be possible to convert Octave SDRs into Octave Class B Ordinary Shares from time to time within intervals of not less than ten (10) business days. After six (6) months, conversions will be possible from time to time within intervals of not less than five (5) business days. SEB and Octave may agree to amend the conversion schedule, in which case such change will be communicated to Octave SDR holders as set out in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directly registered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Octave Class B Ordinary Shares cannot be distributed to directly registered non-affiliate shareholders. Consequently, if you are a directly registered non-affiliate shareholder and wish to participate in the conversion, you need to transfer your Octave SDRs (or your Hexagon Class B Shares, prior to the Distribution) to a custody account, an investment savings account or an endowment insurance with a nominee with Euroclear Sweden. Otherwise, you cannot participate in the conversion of your Octave SDRs into Octave Class B Ordinary Shares. Please note that service accounts (Sw. </w:t>
      </w:r>
      <w:r>
        <w:rPr>
          <w:rFonts w:ascii="Times New Roman" w:cs="Times New Roman" w:eastAsia="Times New Roman" w:hAnsi="Times New Roman"/>
          <w:sz w:val="18"/>
          <w:szCs w:val="18"/>
          <w:i w:val="1"/>
          <w:iCs w:val="1"/>
          <w:color w:val="auto"/>
        </w:rPr>
        <w:t>servicekonton</w:t>
      </w:r>
      <w:r>
        <w:rPr>
          <w:rFonts w:ascii="Times New Roman" w:cs="Times New Roman" w:eastAsia="Times New Roman" w:hAnsi="Times New Roman"/>
          <w:sz w:val="18"/>
          <w:szCs w:val="18"/>
          <w:color w:val="auto"/>
        </w:rPr>
        <w:t>) with an investment savings account-function at Nordea are also “direct” securities accounts and shareholders with such account must open a custody account, a nominee-registered investment savings account or an endowment insurance account. Thereafter, follow the instructions from your nominee to participate in the conversion of your Octave SDRs into Octave Class B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indirectly registered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holder of Octave SDRs hold its Octave SDRs through a nominee, it should follow the instructions from its nominee to participate in the conversion of its SDRs into Octave Class B Ordinary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Class B Ordinary Shares into Octave SDRs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in Octave may further convert their Class B Ordinary Shares into Octave SDRs, traded on Nasdaq Stockholm, by depositing the beneficial interest in the Octave Class B Ordinary Shares with SEB’s sub-custodian. Upon payment to SEB by the holder depositing the beneficial interest in the Octave Class B Ordinary Shares of all taxes, charges, fees and costs in connection with such deposit, the corresponding number of Octave SDRs will be registered in the CSD Register. Please refer to the General Terms and Conditions for further information. The relevant holder shall bear all fees and costs in connection with the conversion of Octave Class B Ordinary Shares into Octave SDRs.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Actions: Exercise of Rights, Splits, Reorganizations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corporate actions such as rights issues, stock splits (forward or reverse), mergers, acquisitions, or other reorganizations, SEB will use its reasonable efforts to facilitate participation by Octave SDR holders. If rights (e.g., subscription rights, options or similar)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Deposit and Withdrawal</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Octave SDR holders may surrender their Octave SDRs in exchange for book-entry interests in underlying Octave Class B Ordinary Shares through DTC participants, provided that all applicable legal, regulatory and tax obligations are satisfied. SEB and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deemed to be necessary or advisable in the reasonable opinion of SEB or Octave at any time or from time to time because of any requirement of any applicable law or any government or governmental body or commission, or under any provision of Euroclear Sweden’s rules or the Euroclear Sweden agreement or for any other reason. Deposits and registrations of SDRs in the CSD Register may also be suspended for such period of time or no longer permitted at any time prior to termination of the SDR program, in each case to the extent determined to be necessary or desirable in the reasonable opinion of SEB.</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Reports, Notices, and Communications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SEB will endeavor to ensure that Octave SDR holders receive copies of any notices, annual reports, interim financial statements or other communications the Company provides to shareholders in accordance with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SDR holders are responsible for understanding and complying with relevant taxation laws in applicable jurisdictions. SEB and the Company may require Octave SDR holders to submit documentation or information for purposes of withholding, reporting, or regulatory compliance. SEB may withhold amounts from distributions where required by applicable tax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 and Liability of SEB</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SEB’s duties and obligations are limited solely to those expressly set forth in the SDR Issuer Agreement and applicable law. SEB will have no obligation or liability to Octave SDR Holders beyond its duties as custodian and issuer of the Octave SDRs. SEB will not be liable for delays or failures caused by force majeure, Euroclear Sweden’s or the sub-custodian’s acts or omissions, or other circumstances beyond SEB’s reasonable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SDR Issuer Agreement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SDR Issuer Agreement may be amended, supplemented, or terminated by mutual agreement between the Company and SEB and in accordance with the provisions of the SDR Issuer Agreement and the General Terms and Conditions, including that the SDR Issuer Agreement may be terminated by SEB with effect at the end of each yearly quarter (i.e., March 31, June 30, September 30 and December 31), whereby the rights and obligations of SEB and Octave as set out in the SDR Issuer Agreement shall continue to apply for a period of six (6) months thereafter. Notice of any such amendment or termination will be provided to Octave SDR holders in accordance with the General Terms and Conditions. Upon termination, SEB will take reasonable steps to enable Octave SDR holders to surrender Octave SDRs in exchange for underlying Octave Class B Ordinary Shares or their cash equivalent, in accordance with the terms of the SDR Issuer Agreement and the General Terms and Conditions.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Octave Class B Ordinary Shares will be paid pro rata to the holders of such Octave SDRs immediately before the termination of the SDR Issuer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below, we based the share amounts on each person’s beneficial ownership of Hexagon shares as of April 22, 2026, after giving effect to a distribution ratio of one (1) Octave Class A Ordinary Share for every ten (10) Hexagon Class A Shares and one (1) Octave Class B Ordinary Share for every ten (10) Hexagon Class B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Distribution, we estimate that 11,025,000 Octave Class A Ordinary Shares and 257,412,788 Octave Class B Ordinary Shares will be issued and outstanding based on the number of Hexagon Class A Shares and Hexagon Class B Shares outstanding as of the date of this information statement. The actual number of Octave Shares issued in the Distribution will be determined on May 22, 2026, the record date.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Unless otherwise indicated, the address of each named person is 305 Intergraph Way, Madison, Alabama 35758, United States.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Octave Class A Ordinary Shares</w:t>
            </w:r>
          </w:p>
        </w:tc>
        <w:tc>
          <w:tcPr>
            <w:tcW w:w="3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Octave Class B Ordinary Shares</w:t>
            </w:r>
          </w:p>
        </w:tc>
        <w:tc>
          <w:tcPr>
            <w:tcW w:w="80" w:type="dxa"/>
            <w:vAlign w:val="bottom"/>
          </w:tcPr>
          <w:p>
            <w:pPr>
              <w:spacing w:after="0"/>
              <w:rPr>
                <w:sz w:val="16"/>
                <w:szCs w:val="16"/>
                <w:color w:val="auto"/>
              </w:rPr>
            </w:pPr>
          </w:p>
        </w:tc>
        <w:tc>
          <w:tcPr>
            <w:tcW w:w="1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of Total Voting</w:t>
            </w: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gridSpan w:val="2"/>
            <w:vMerge w:val="continue"/>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0" w:type="dxa"/>
            <w:vAlign w:val="bottom"/>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Melker Schörling AB </w:t>
            </w:r>
            <w:r>
              <w:rPr>
                <w:rFonts w:ascii="Times New Roman" w:cs="Times New Roman" w:eastAsia="Times New Roman" w:hAnsi="Times New Roman"/>
                <w:sz w:val="23"/>
                <w:szCs w:val="23"/>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47,408,144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Swedbank Robur Fonder AB </w:t>
            </w:r>
            <w:r>
              <w:rPr>
                <w:rFonts w:ascii="Times New Roman" w:cs="Times New Roman" w:eastAsia="Times New Roman" w:hAnsi="Times New Roman"/>
                <w:sz w:val="23"/>
                <w:szCs w:val="23"/>
                <w:color w:val="auto"/>
                <w:vertAlign w:val="superscript"/>
              </w:rPr>
              <w:t>(2)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17,271,865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All directors, named executive officers and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as a group</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may exercise shared voting and investment control with respect to such securities. The business address of MSAB is Birger Jarlsgatan 13, SE-111 45, Stockholm, Sweden. In addition, Sofia Schörling Högberg will be the direct holder of 1,050 Octave Class B Ordinary Shares, which will be distributed in respect of Hexagon Class B Shares held in her name.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Swedbank Robur Fonder AB will be the holder of record of such Octave Class B Ordinary Shares set forth in the table above. Swedbank Robur Fonder AB is a wholly owned subsidiary of Swedbank Robur AB, which in turn is a wholly owned subsidiary of Swedbank AB (publ), a company listed on Nasdaq Stockholm. Swedbank Robur Fonder AB conducts fund operations pursuant to the Swedish UCITS Act (SFS 2004:46) and the Alternative Investment Funds Managers Act (SFS 2013:561). The business address of Swedbank</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Robur Fonder AB is 105 34 Stockholm, Sweden.</w:t>
      </w:r>
    </w:p>
    <w:p>
      <w:pPr>
        <w:spacing w:after="0" w:line="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The percentage of Octave Shares beneficially owned does not exceed 1% of the class or the voting power,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4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tc>
        <w:tc>
          <w:tcPr>
            <w:tcW w:w="7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440" w:type="dxa"/>
            <w:vAlign w:val="bottom"/>
            <w:gridSpan w:val="7"/>
            <w:vMerge w:val="continue"/>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20" w:type="dxa"/>
            <w:vAlign w:val="bottom"/>
          </w:tcPr>
          <w:p>
            <w:pPr>
              <w:spacing w:after="0"/>
              <w:rPr>
                <w:sz w:val="16"/>
                <w:szCs w:val="16"/>
                <w:color w:val="auto"/>
              </w:rPr>
            </w:pPr>
          </w:p>
        </w:tc>
        <w:tc>
          <w:tcPr>
            <w:tcW w:w="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2025 and 2024</w:t>
            </w:r>
          </w:p>
        </w:tc>
        <w:tc>
          <w:tcPr>
            <w:tcW w:w="59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F-5</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2025, 2024 and 2023</w:t>
            </w: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Combined Statements of Equity for the Years Ended December 31, 2025, 2024 and 2023</w:t>
            </w:r>
          </w:p>
        </w:tc>
        <w:tc>
          <w:tcPr>
            <w:tcW w:w="12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F-7</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F-8</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3740" w:type="dxa"/>
            <w:vAlign w:val="bottom"/>
            <w:gridSpan w:val="4"/>
          </w:tcPr>
          <w:p>
            <w:pPr>
              <w:spacing w:after="0"/>
              <w:rPr>
                <w:sz w:val="18"/>
                <w:szCs w:val="18"/>
                <w:color w:val="auto"/>
              </w:rPr>
            </w:pPr>
          </w:p>
        </w:tc>
        <w:tc>
          <w:tcPr>
            <w:tcW w:w="37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F-9</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369" w:name="page370"/>
    <w:bookmarkEnd w:id="369"/>
    <w:p>
      <w:pPr>
        <w:spacing w:after="0" w:line="1"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Board of Directors of Hexagon AB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Octave business of Hexagon AB (the “Company”) as of December 31, 2025 and 2024 and the related combined statements of operations, comprehensive income, equity, and cash flows for each of the three years in the period ended December 31, 2025, including the related notes (collectively referred to as the “combined financial statements”). In our opinion, the combined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and Note 3 Revenue from contracts with customers to the combined financial statements, the Company recognized total revenue of $1,638 million for the year ended December 31, 2025.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Company’s revenue recognition is a critical audit matter are</w:t>
      </w:r>
    </w:p>
    <w:p>
      <w:pPr>
        <w:spacing w:after="0" w:line="27" w:lineRule="exact"/>
        <w:rPr>
          <w:sz w:val="20"/>
          <w:szCs w:val="20"/>
          <w:color w:val="auto"/>
        </w:rPr>
      </w:pPr>
    </w:p>
    <w:p>
      <w:pPr>
        <w:jc w:val="both"/>
        <w:ind w:firstLine="8"/>
        <w:spacing w:after="0" w:line="255" w:lineRule="auto"/>
        <w:tabs>
          <w:tab w:leader="none" w:pos="22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(i) analytical procedures, including procedures related to large transactions, anomalies, unexpected trends or variation and (ii) detailed tests on a sample basis of major contracts to validate the reasonableness of significant assumptions related to accuracy in revenue recognition.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AB</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24,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6,213,377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560,665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954,875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29"/>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ending December 31, 2025, 2024, and 2023, Cost of subscriptions and licenses include related party cost of subscriptions and licenses of $7.3 million, $7.3 million, and $27.8 million,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311,207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298,368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277,404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254,468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2022 </w:t>
      </w:r>
      <w:r>
        <w:rPr>
          <w:rFonts w:ascii="Times New Roman" w:cs="Times New Roman" w:eastAsia="Times New Roman" w:hAnsi="Times New Roman"/>
          <w:sz w:val="18"/>
          <w:szCs w:val="18"/>
          <w:color w:val="auto"/>
        </w:rPr>
        <w:t>Net income</w:t>
      </w:r>
    </w:p>
    <w:p>
      <w:pPr>
        <w:spacing w:after="0" w:line="268" w:lineRule="auto"/>
        <w:rPr>
          <w:sz w:val="20"/>
          <w:szCs w:val="20"/>
          <w:color w:val="auto"/>
        </w:rPr>
      </w:pPr>
      <w:r>
        <w:rPr>
          <w:rFonts w:ascii="Times New Roman" w:cs="Times New Roman" w:eastAsia="Times New Roman" w:hAnsi="Times New Roman"/>
          <w:sz w:val="18"/>
          <w:szCs w:val="18"/>
          <w:color w:val="auto"/>
        </w:rPr>
        <w:t>Foreign currency translation adjustments Net transfers from Parent</w:t>
      </w:r>
    </w:p>
    <w:p>
      <w:pPr>
        <w:spacing w:after="0" w:line="1"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2023 </w:t>
      </w:r>
      <w:r>
        <w:rPr>
          <w:rFonts w:ascii="Times New Roman" w:cs="Times New Roman" w:eastAsia="Times New Roman" w:hAnsi="Times New Roman"/>
          <w:sz w:val="18"/>
          <w:szCs w:val="18"/>
          <w:color w:val="auto"/>
        </w:rPr>
        <w:t>Net income</w:t>
      </w: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2024 </w:t>
      </w:r>
      <w:r>
        <w:rPr>
          <w:rFonts w:ascii="Times New Roman" w:cs="Times New Roman" w:eastAsia="Times New Roman" w:hAnsi="Times New Roman"/>
          <w:sz w:val="18"/>
          <w:szCs w:val="18"/>
          <w:color w:val="auto"/>
        </w:rPr>
        <w:t>Net income</w:t>
      </w:r>
    </w:p>
    <w:p>
      <w:pPr>
        <w:spacing w:after="0" w:line="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7,515,743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7,418,544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7,801,998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7,713,614</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7,749,558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0" w:type="dxa"/>
            <w:vAlign w:val="bottom"/>
          </w:tcPr>
          <w:p>
            <w:pPr>
              <w:spacing w:after="0"/>
              <w:rPr>
                <w:sz w:val="1"/>
                <w:szCs w:val="1"/>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-2005330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-1705610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-1414145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-1105535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-814070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-479425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2">
            <w:col w:w="2940" w:space="340"/>
            <w:col w:w="7940"/>
          </w:cols>
          <w:pgMar w:left="340" w:top="1440" w:right="339" w:bottom="1440" w:gutter="0" w:footer="0" w:header="0"/>
        </w:sectPr>
      </w:pPr>
    </w:p>
    <w:bookmarkStart w:id="375" w:name="page376"/>
    <w:bookmarkEnd w:id="375"/>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176"/>
        </w:trPr>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126,838</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38,519</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r>
      <w:tr>
        <w:trPr>
          <w:trHeight w:val="230"/>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436,436</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(303,203)</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(432,149)</w:t>
            </w: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(307,196)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(332,348)</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25,225</w:t>
            </w:r>
          </w:p>
        </w:tc>
      </w:tr>
      <w:tr>
        <w:trPr>
          <w:trHeight w:val="22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29,115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97,214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99,519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r>
    </w:tbl>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1440" w:right="519" w:bottom="1440" w:gutter="0" w:footer="0" w:header="0"/>
        </w:sectPr>
      </w:pPr>
    </w:p>
    <w:bookmarkStart w:id="376" w:name="page377"/>
    <w:bookmarkEnd w:id="37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Currency Translation: </w:t>
      </w:r>
      <w:r>
        <w:rPr>
          <w:rFonts w:ascii="Times New Roman" w:cs="Times New Roman" w:eastAsia="Times New Roman" w:hAnsi="Times New Roman"/>
          <w:sz w:val="18"/>
          <w:szCs w:val="18"/>
          <w:color w:val="auto"/>
        </w:rPr>
        <w:t>The Company’s reporting currency is the U.S. dollar (“USD”). Assets and liabilities of non-United States subsidiaries,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(income) expense, net. Transaction gains and losses in determining net income are not 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 cash on hand, demand deposits and all highly liquid investments with original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primarily represent receivables from customers for goods and services that have been invoiced but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as well as unbilled receivables for which the Company has recognized revenue but not yet issued an invoice. Accounts receivables are recorded at their invoiced amounts and generally do not accrue interest.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in the Combined Statement of Operations. Account balances are charged off against the allowance after all means of collection have been exhausted and the potential for recovery is considered remote.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evaluated for expected credit losses using the same methodology, as they share similar risk characteristics with the Company’s trade accounts receivables arising from the same types of contracts.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which are primarily raw materials, are computed at standard costs which approximate actual costs and are valued at the lower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Property and equipment are stated at cost, less accumulated depreciation. Assets placed in service are recorded at cost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30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the estimated useful life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Company records goodwill as the excess of the purchase price over the fair value of the net assets acquired in a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 conducted for the year ended December 31, 2025 utilizing a quantitative assessment, nor were there any goodwill impairments as a result of the Company’s annual impairment assessments conducted for the years ended December 31, 2024, or 2023 utilizing a qualitative assessment. The Company’s quantitative impairment assessment conducted for the year ended December 31, 2025 was performed utilizing a discounted cash flow analysis and resulted in an estimated fair value of the Company’s single reporting unit exceeded its carrying value by approximately 8%.</w:t>
      </w:r>
    </w:p>
    <w:p>
      <w:pPr>
        <w:spacing w:after="0" w:line="1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consist of developed technology, customer relationships, capitalized software development expenses,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and trademarks. These intangible assets are acquired through business combinations, direct purchases, or internally developed capitalized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Development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Specific to internal-use software, costs incurred during the preliminary project stage, which includes activities such as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Specific to costs of software to be sold, leased, or marketed, costs incurred during the detailed program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development project does not meet the criteria for capitalization, all associated costs are expensed as incurred. Additionally, if it is not possible to distinguish between the preliminary and development phases, costs are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development expenses are stated at cost, less accumulated amortization and impairment losses. For the years ended December 31, 2025, 2024, and 2023, total costs capitalized were $136.7 million, $134.9 million, and $122.3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related amortization recorded within Amortization of intangible assets in the Combined Statements of Operations was $82.2 million, $54.9 million, and $36.7 million,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(income) expense, net. There were no impairments during the year ended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years ended December 31, 2025, and 2023, the Company recognized impairment charges of $2.2 million and $3.6 million related to the developed technology of a prior acquisition. These charges were recorded as Other operating (income) expense, net. There were no impairments during the year ended December 31,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 finite-life are amortized on a straight-line basis over their estimated useful lives. The estimated useful lives of major intangible asset classes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 years</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to 25 years</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Acquisitions are recorded using the acquisition method of accounting. The Company includes the operating results of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 Transaction costs related to acquisitions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a lease at inception of the contract, which is the date on which the terms of the contract are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operations are subject to United States federal, state and local and foreign income taxes. In preparing its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Financial 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 the standalone financial statements of each member of the consolidated group as if the group members were separate taxpayers. As a result,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for the transfer of services or products to customers in an amount that reflects the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expects to be entitled in exchange for those services or products. The principle is achieved through the following five-step approach:</w:t>
      </w:r>
    </w:p>
    <w:p>
      <w:pPr>
        <w:spacing w:after="0" w:line="105" w:lineRule="exact"/>
        <w:rPr>
          <w:sz w:val="20"/>
          <w:szCs w:val="20"/>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three categories: (i) subscriptions, (ii) license and (iii) services and other.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the Company’s performance to date. Revenue is recognized net of any taxes collected from customers that are subsequently remitted to governmental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Subscriptions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subscriptions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customers, and these timing differences result in receivables (billed or unbilled), contract assets, or contract liabilities (deferred revenue) in the Combined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asset when revenue is recognized prior to the right to invoice, or deferred revenue when revenue is recognized subsequent to invoicing.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net in the Combined Balance Sheets. As of December 31, 2025 and 2024, unbilled receivables were $80.7 million and $79.7 million, respectively.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significant concentrations of credit risk consist principally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A three-level fair value hierarchy that prioritizes information used in developing assumptions when pricing an asset or liability as follows:</w:t>
      </w:r>
    </w:p>
    <w:p>
      <w:pPr>
        <w:spacing w:after="0" w:line="119" w:lineRule="exact"/>
        <w:rPr>
          <w:sz w:val="20"/>
          <w:szCs w:val="20"/>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where there is little or no market data, which requires the reporting entity to develop its own assumptions.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inputs used to measure fair value fall within different levels of the hierarchy, the level within which the fair value measurement is categorized is based on the lowest level input that is significant to the fair value measurement.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are a reasonable estimate of their fair value due to the short-term nature of these instruments.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classified within level 3, as it is estimated using inputs that are not observable in the market related to future revenue forecast of the business acquired.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Company’s employees have historically participated in the Parent’s stock-based compensation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for stock-based compensation plans using a fair-value based method. Fair value is measured once at the date of grant and is not adjusted for subsequent changes. The Parent’s stock-based compensation plans include programs for performance share awards, which may entitle employees to Class B shares of Hexagon, if performance conditions are met during the measurement period. These are equity classified awards. The Company accounts for forfeitures of awards as they occur.</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a single operating and reportable segment. Operating segments are defined as components of an enterprise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in the Combined Statements of Operations and, therefore, there are no additional segment expense categories to disclose. The CODM does not use segment asset information to evaluate operating performance or allocate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presented in Note 3,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which consists of Property and equipment, net and Operating lease right-of-use-assets,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EMIA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Parent Investment: </w:t>
      </w:r>
      <w:r>
        <w:rPr>
          <w:rFonts w:ascii="Times New Roman" w:cs="Times New Roman" w:eastAsia="Times New Roman" w:hAnsi="Times New Roman"/>
          <w:sz w:val="18"/>
          <w:szCs w:val="18"/>
          <w:color w:val="auto"/>
        </w:rPr>
        <w:t>Net Parent investment in the Combined Balance Sheets represents the Parent’s historical investment in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net earnings after taxes and the net effect of the transactions with and allocations from the Parent. As the Company has no common capital structure for the combined business, it has not presented historical earnings per share.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Combined Financial Statements and related disclosures.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The amendments in ASU 2025-06 remove the concept of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3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currently does not expect a material impact of the adoption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on its Combined Financial Statements and related disclosures.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 categories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The Company adopted this ASU during the year ended December 31, 2025 and provided the required disclosures with retrospective application within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635,851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consists of the following revenue streams: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contract assets relate to performance obligations completed in advance of the right to invoice and are included in Prepaids and other current assets in the Combined Balance Sheets. Contract assets were not material as of December 31, 2025 or 2024.</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2025, and 2024, deferred revenue was $426.1 million and $362.5 million, respectively, and is included within Deferred revenue and Other noncurrent liabilities in the Combined Balance Sheets.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Company’s Deferred revenue balances primarily relates to additional deferrals through new billings and reduced deferrals through revenue recognition. For the year ended December 31, 2025, the Company recognized $288.1 million of revenue that was included in the December 31, 2024 Deferred revenue balance. For the year ended December 31, 2024, the Company recognized $307.0 million of revenue that was included in the December 31, 2023 Deferred revenue balance.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2025, amounts allocated to these remaining performance obligations are $426.1 million, of which the Company expects to recognize approximately 89% over the next 12 months with the remaining amount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Amortization of capitalized commission costs are included in Sales and marketing expense in the Combined Statements of Operations. Capitalized commission costs and the corresponding amortization were not material for the years ended December 31, 2025, 2024, and 2023.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completed two business combinations for aggregate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2025 acquisitions were not material. The financial results of these acquisitions were included in the Combined Financial Statements from their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2024 acquisitions were not material. The financial results of these acquisitions were included in the Combined Financial Statements from their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completed two business combinations, Qognify and Projectmates, for aggregate cash consideration of $348.0 million, net of cash acquired. The contingent consideration for these acquisitions was $44.8 million. The total purchase consideration was allocated as follows: $128.3 million to acquired intangible assets, $241.7 million to goodwill, and $22.0 million to net tangible liabilities. The Company acquired intangible assets consisting of $37.2 million of developed technology, $54.3 million of customer relationships, and $36.8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2023 acquisitions were not material. The financial results of this acquisition were included in the Combined Financial Statements from its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Divestitures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divested two non-core businesses for combined total cash proceeds of $57.0 million. The total divested businesses included $73.6 million of net assets. The Company recorded a loss on divestitures of approximately $16.6 million, which is included in Other (expense) income, net. The Company’s transaction costs related to these 2025 divestitures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Combined Balance Sheets, depending on the expected timing of settlement. Additions to contingent consideration recognized in connection with acquisitions are non-cash in nature. Payments of contingent consideration are cash in nature. Change in fair value is recognized in Other operating (income) expense, net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the Company’s contingent consideration liabilities is as follows: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property and equipment, net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2020" w:hanging="988"/>
        <w:spacing w:after="0"/>
        <w:tabs>
          <w:tab w:leader="none" w:pos="202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41,008</w:t>
      </w:r>
    </w:p>
    <w:p>
      <w:pPr>
        <w:spacing w:after="0" w:line="31"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44,839</w:t>
      </w:r>
    </w:p>
    <w:p>
      <w:pPr>
        <w:spacing w:after="0" w:line="22"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(26,754)</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58,593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(7,576)</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61,017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(54,950)</w:t>
      </w:r>
    </w:p>
    <w:p>
      <w:pPr>
        <w:spacing w:after="0" w:line="27" w:lineRule="exact"/>
        <w:rPr>
          <w:sz w:val="20"/>
          <w:szCs w:val="20"/>
          <w:color w:val="auto"/>
        </w:rPr>
      </w:pPr>
    </w:p>
    <w:p>
      <w:pPr>
        <w:ind w:left="2100" w:hanging="1068"/>
        <w:spacing w:after="0"/>
        <w:tabs>
          <w:tab w:leader="none" w:pos="210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45720</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48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40" w:space="720"/>
            <w:col w:w="258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83,540</w:t>
            </w: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(105,414)</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depreciation expense was $10.9 million, $10.7 million, and $9.7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type w:val="continuous"/>
        </w:sectPr>
      </w:pPr>
    </w:p>
    <w:bookmarkStart w:id="391" w:name="page392"/>
    <w:bookmarkEnd w:id="39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5,955,030</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241,654</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6,203,490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6,213,377</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30"/>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(44,570)</w:t>
            </w:r>
          </w:p>
        </w:tc>
      </w:tr>
      <w:tr>
        <w:trPr>
          <w:trHeight w:val="229"/>
        </w:trPr>
        <w:tc>
          <w:tcPr>
            <w:tcW w:w="96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6,221,366</w:t>
            </w:r>
          </w:p>
        </w:tc>
      </w:tr>
      <w:tr>
        <w:trPr>
          <w:trHeight w:val="21"/>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514,280</w:t>
            </w: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2,225,684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1,181,850</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2,706,918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1,671,816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Combined Statements of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amortization expense for the years following December 31, 2025 is estimated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 expense</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BALANCE SHEET COMPONENTS</w:t>
            </w: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83,830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14 years, some of which include options to extend the leases for five years or more.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operating lease expense, which includes immaterial amounts of short-term leases and variable lease costs, was $20.1 million, $19.5 million, and $19.8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4.0 %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4.7 %</w:t>
            </w:r>
          </w:p>
        </w:tc>
        <w:tc>
          <w:tcPr>
            <w:tcW w:w="0" w:type="dxa"/>
            <w:vAlign w:val="bottom"/>
          </w:tcPr>
          <w:p>
            <w:pPr>
              <w:spacing w:after="0"/>
              <w:rPr>
                <w:sz w:val="1"/>
                <w:szCs w:val="1"/>
                <w:color w:val="auto"/>
              </w:rPr>
            </w:pPr>
          </w:p>
        </w:tc>
      </w:tr>
      <w:tr>
        <w:trPr>
          <w:trHeight w:val="46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maturities of lease liabilities are as follows: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operating lease payments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59,532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 on operating lease liabilities</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52,453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17,505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cost recognized in the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 Hexagon subsidiaries. For the years ended December 31, 2025, 2024, and 2023, the Company’s share of defined contribution plan costs were $34.1 million, $31.1 million, and $27.6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Previously disclosed amounts for the years ended December 31, 2024 and 2023 have been revised to correct the domestic and total amounts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w:t>
            </w: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37,979</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40,624</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Combined Financial Statements for the year ended December 31, 2025; however, management will continue to evaluate the full impact of these legislative changes as more guidance becomes available.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was effective for the Company beginning in 2024; however, the Company is not subject as its average annual AFSI did not exceed $1 billion for the preceding three-year period.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European Union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and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for income taxes in the Combined Financial Statements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revenue, income before income tax, and provision for income taxes in the United States is generally greater than any other single taxing jurisdiction within the worldwide group, the Company’s reconciliation from statutory tax rate to effective income tax rate is presented on the basis of the United States federal statutory income tax rate of 21% as opposed to the Ireland statutory tax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United States federal statutory tax rate to the Company’s effective income tax rate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3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tax rate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tax</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 border transactions: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royalties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Subpart F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(greater than 50%) of state and local income taxes are derived from the following states each year:</w:t>
      </w:r>
    </w:p>
    <w:p>
      <w:pPr>
        <w:spacing w:after="0" w:line="1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2025: California, Connecticut, Illinois, Michigan, Minnesota, Wisconsin</w:t>
      </w:r>
    </w:p>
    <w:p>
      <w:pPr>
        <w:spacing w:after="0" w:line="1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2024: California, Illinois, New York, Pennsylvania, South Carolina, and Virginia</w:t>
      </w:r>
    </w:p>
    <w:p>
      <w:pPr>
        <w:spacing w:after="0" w:line="1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2023: California, Georgia, Illinois, New York, Pennsylvania, and South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149,871</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134,346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131,605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(317,136)</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(373,595)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(346,255)</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(239,249)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are shown in the Combined Balance Sheets netted on a jurisdictional basis.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increased the valuation allowance by $39.9 million, $3.5 million, and $4.4 million, respectively, which was primarily related to taxable losses in various foreign and domestic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reinvested with respect to all foreign earnings. There is no unrecognized deferred tax liability associated with the repatriation of foreign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net of refunds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61,091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has tax credit and net operating loss (“NOL”) carryforwards, primarily related to:</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3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 NOL</w:t>
            </w: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Federal foreign tax credits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State NOL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 NOL</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 unrecognized tax benefits (including interest and penalties). The Company provides for interest and penalties related to unrecognized tax benefits in the provision for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was calculated using the separate return basis, as if the Company filed hypothetical United States Federal, United States state and foreign tax returns. For federal and state tax returns, with few exceptions, the Company is subject to examination from 2019 through 2024.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Subject to Audit</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2023 - 2024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2018 - 2024</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2020 - 2024</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240"/>
          </w:cols>
          <w:pgMar w:left="320" w:top="1440" w:right="339" w:bottom="1440" w:gutter="0" w:footer="0" w:header="0"/>
          <w:type w:val="continuous"/>
        </w:sectPr>
      </w:pPr>
    </w:p>
    <w:bookmarkStart w:id="399" w:name="page400"/>
    <w:bookmarkEnd w:id="39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CHARGES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For the years ended December 31, 2025, 2024, and 2023, the charges incurred were primarily comprised of severance and termination benefits related to headcount reductions as well as lease terminations and are included in Other operating (income) expense, net in the Combined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23,018</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13,775</w:t>
            </w:r>
          </w:p>
        </w:tc>
      </w:tr>
      <w:tr>
        <w:trPr>
          <w:trHeight w:val="21"/>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liabilities for restructuring charges under these plans are included in Other current liabilities in the Combined Balance Sheets as of December 31, 2025 as the Company expects to make cash payments to settle most of these liabilities throughout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For the years ended December 31, 2025, 2024, and 2023, Cost of subscriptions and licenses in the Combined Statement of Operations includes purchases made by the Company from the Parent’s subsidiaries of $7.3 million, $7.3 million, and $27.8 million, respectively. Accounts payable includes $0.5 million and $1.9 million as of December 31, 2025 and 2024, respectively, related to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these services have been allocated to the Company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corporate allocations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for recognition or disclosure through March 24, 2026, the date the Combined Financial Statements were available to be issued. There were no subsequent events that required recognition or disclosure in these Combined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Subsequent to Original Issuance of Combined Financial Statements (Unaudited)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Combined Financial Statements, the Company has evaluated subsequent events through April 27, 2026, the date the Combined Financial Statements were available to be reissued.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2026, the Company became bound to effect a sale-leaseback transaction pursuant to which it will sell its corporate headquarters located in Madison, Alabama, which serves as Octave’s principal executive offices. Concurrently with the closing of the sale, Octave will enter into a lease agreement with the third-party purchaser that will allow Octave to continue to use a portion of the facility. The accounting treatment for this transaction has not been finalized.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April 24, 2026, the general meeting of shareholders of Hexagon approved the spin-off of Octave into a separate publicly traded company named Octave Intelligence plc.</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approval of the Distribution on April 24, 2026, management intends to initiate the phase out of legacy brands and transition the Octave business to a unified Octave brand. As such, the Company will assess the useful life estimates of all trademarks which have historically been carried as indefinite-life intangible assets in the Combined Balance Sheets and had a carrying amount of $481.2 million as of December 31, 2025. If an indefinite-life intangible asset is subsequently determined to have a finite useful life, the asset will be tested for impairment and amortized prospectively over its estimated remaining useful life. The accounting treatment for this assessment has not been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85850"/>
    <w:multiLevelType w:val="hybridMultilevel"/>
    <w:lvl w:ilvl="0">
      <w:lvlJc w:val="left"/>
      <w:lvlText w:val="(%1)"/>
      <w:numFmt w:val="lowerLetter"/>
      <w:start w:val="1"/>
    </w:lvl>
  </w:abstractNum>
  <w:abstractNum w:abstractNumId="1">
    <w:nsid w:val="744939A3"/>
    <w:multiLevelType w:val="hybridMultilevel"/>
    <w:lvl w:ilvl="0">
      <w:lvlJc w:val="left"/>
      <w:lvlText w:val="*"/>
      <w:numFmt w:val="bullet"/>
      <w:start w:val="1"/>
    </w:lvl>
  </w:abstractNum>
  <w:abstractNum w:abstractNumId="2">
    <w:nsid w:val="4FA0D2E3"/>
    <w:multiLevelType w:val="hybridMultilevel"/>
    <w:lvl w:ilvl="0">
      <w:lvlJc w:val="left"/>
      <w:lvlText w:val="(%1)"/>
      <w:numFmt w:val="lowerLetter"/>
      <w:start w:val="1"/>
    </w:lvl>
  </w:abstractNum>
  <w:abstractNum w:abstractNumId="3">
    <w:nsid w:val="6B1D2C14"/>
    <w:multiLevelType w:val="hybridMultilevel"/>
    <w:lvl w:ilvl="0">
      <w:lvlJc w:val="left"/>
      <w:lvlText w:val="(%1)"/>
      <w:numFmt w:val="lowerLetter"/>
      <w:start w:val="61"/>
    </w:lvl>
  </w:abstractNum>
  <w:abstractNum w:abstractNumId="4">
    <w:nsid w:val="68B867D3"/>
    <w:multiLevelType w:val="hybridMultilevel"/>
    <w:lvl w:ilvl="0">
      <w:lvlJc w:val="left"/>
      <w:lvlText w:val="(%1)"/>
      <w:numFmt w:val="lowerLetter"/>
      <w:start w:val="3"/>
    </w:lvl>
  </w:abstractNum>
  <w:abstractNum w:abstractNumId="5">
    <w:nsid w:val="3F7F5DD9"/>
    <w:multiLevelType w:val="hybridMultilevel"/>
    <w:lvl w:ilvl="0">
      <w:lvlJc w:val="left"/>
      <w:lvlText w:val="(%1)"/>
      <w:numFmt w:val="lowerLetter"/>
      <w:start w:val="1"/>
    </w:lvl>
  </w:abstractNum>
  <w:abstractNum w:abstractNumId="6">
    <w:nsid w:val="2AE05A34"/>
    <w:multiLevelType w:val="hybridMultilevel"/>
    <w:lvl w:ilvl="0">
      <w:lvlJc w:val="left"/>
      <w:lvlText w:val="(%1)"/>
      <w:numFmt w:val="lowerLetter"/>
      <w:start w:val="35"/>
    </w:lvl>
  </w:abstractNum>
  <w:abstractNum w:abstractNumId="7">
    <w:nsid w:val="32794FF7"/>
    <w:multiLevelType w:val="hybridMultilevel"/>
    <w:lvl w:ilvl="0">
      <w:lvlJc w:val="left"/>
      <w:lvlText w:val="(%1)"/>
      <w:numFmt w:val="lowerLetter"/>
      <w:start w:val="24"/>
    </w:lvl>
  </w:abstractNum>
  <w:abstractNum w:abstractNumId="8">
    <w:nsid w:val="5454945E"/>
    <w:multiLevelType w:val="hybridMultilevel"/>
    <w:lvl w:ilvl="0">
      <w:lvlJc w:val="left"/>
      <w:lvlText w:val="§"/>
      <w:numFmt w:val="bullet"/>
      <w:start w:val="1"/>
    </w:lvl>
  </w:abstractNum>
  <w:abstractNum w:abstractNumId="9">
    <w:nsid w:val="4DEFDFA0"/>
    <w:multiLevelType w:val="hybridMultilevel"/>
    <w:lvl w:ilvl="0">
      <w:lvlJc w:val="left"/>
      <w:lvlText w:val="(%1)"/>
      <w:numFmt w:val="lowerLetter"/>
      <w:start w:val="3"/>
    </w:lvl>
  </w:abstractNum>
  <w:abstractNum w:abstractNumId="10">
    <w:nsid w:val="2123D5F2"/>
    <w:multiLevelType w:val="hybridMultilevel"/>
    <w:lvl w:ilvl="0">
      <w:lvlJc w:val="left"/>
      <w:lvlText w:val="(%1)"/>
      <w:numFmt w:val="lowerLetter"/>
      <w:start w:val="7"/>
    </w:lvl>
  </w:abstractNum>
  <w:abstractNum w:abstractNumId="11">
    <w:nsid w:val="135B8110"/>
    <w:multiLevelType w:val="hybridMultilevel"/>
    <w:lvl w:ilvl="0">
      <w:lvlJc w:val="left"/>
      <w:lvlText w:val="(%1)"/>
      <w:numFmt w:val="lowerLetter"/>
      <w:start w:val="2"/>
    </w:lvl>
  </w:abstractNum>
  <w:abstractNum w:abstractNumId="12">
    <w:nsid w:val="94927A8"/>
    <w:multiLevelType w:val="hybridMultilevel"/>
    <w:lvl w:ilvl="0">
      <w:lvlJc w:val="left"/>
      <w:lvlText w:val="(%1)"/>
      <w:numFmt w:val="lowerLetter"/>
      <w:start w:val="1"/>
    </w:lvl>
  </w:abstractNum>
  <w:abstractNum w:abstractNumId="13">
    <w:nsid w:val="DCDF8F6"/>
    <w:multiLevelType w:val="hybridMultilevel"/>
    <w:lvl w:ilvl="0">
      <w:lvlJc w:val="left"/>
      <w:lvlText w:val="(%1)"/>
      <w:numFmt w:val="lowerLetter"/>
      <w:start w:val="7"/>
    </w:lvl>
  </w:abstractNum>
  <w:abstractNum w:abstractNumId="14">
    <w:nsid w:val="52D7B105"/>
    <w:multiLevelType w:val="hybridMultilevel"/>
    <w:lvl w:ilvl="0">
      <w:lvlJc w:val="left"/>
      <w:lvlText w:val="(%1)"/>
      <w:numFmt w:val="lowerLetter"/>
      <w:start w:val="3"/>
    </w:lvl>
  </w:abstractNum>
  <w:abstractNum w:abstractNumId="15">
    <w:nsid w:val="2E8A6394"/>
    <w:multiLevelType w:val="hybridMultilevel"/>
    <w:lvl w:ilvl="0">
      <w:lvlJc w:val="left"/>
      <w:lvlText w:val="(%1)"/>
      <w:numFmt w:val="lowerRoman"/>
      <w:start w:val="2"/>
    </w:lvl>
  </w:abstractNum>
  <w:abstractNum w:abstractNumId="16">
    <w:nsid w:val="24E60401"/>
    <w:multiLevelType w:val="hybridMultilevel"/>
    <w:lvl w:ilvl="0">
      <w:lvlJc w:val="left"/>
      <w:lvlText w:val="(%1)"/>
      <w:numFmt w:val="lowerLetter"/>
      <w:start w:val="2"/>
    </w:lvl>
  </w:abstractNum>
  <w:abstractNum w:abstractNumId="17">
    <w:nsid w:val="2A6AD9BE"/>
    <w:multiLevelType w:val="hybridMultilevel"/>
    <w:lvl w:ilvl="0">
      <w:lvlJc w:val="left"/>
      <w:lvlText w:val="(%1)"/>
      <w:numFmt w:val="lowerLetter"/>
      <w:start w:val="2"/>
    </w:lvl>
  </w:abstractNum>
  <w:abstractNum w:abstractNumId="18">
    <w:nsid w:val="BAAC1B4"/>
    <w:multiLevelType w:val="hybridMultilevel"/>
    <w:lvl w:ilvl="0">
      <w:lvlJc w:val="left"/>
      <w:lvlText w:val="(%1)"/>
      <w:numFmt w:val="lowerLetter"/>
      <w:start w:val="2"/>
    </w:lvl>
  </w:abstractNum>
  <w:abstractNum w:abstractNumId="19">
    <w:nsid w:val="36B2ACBC"/>
    <w:multiLevelType w:val="hybridMultilevel"/>
    <w:lvl w:ilvl="0">
      <w:lvlJc w:val="left"/>
      <w:lvlText w:val="(%1)"/>
      <w:numFmt w:val="lowerLetter"/>
      <w:start w:val="4"/>
    </w:lvl>
  </w:abstractNum>
  <w:abstractNum w:abstractNumId="20">
    <w:nsid w:val="779D8544"/>
    <w:multiLevelType w:val="hybridMultilevel"/>
    <w:lvl w:ilvl="0">
      <w:lvlJc w:val="left"/>
      <w:lvlText w:val="(%1)"/>
      <w:numFmt w:val="lowerRoman"/>
      <w:start w:val="1"/>
    </w:lvl>
  </w:abstractNum>
  <w:abstractNum w:abstractNumId="21">
    <w:nsid w:val="4AB26E78"/>
    <w:multiLevelType w:val="hybridMultilevel"/>
    <w:lvl w:ilvl="0">
      <w:lvlJc w:val="left"/>
      <w:lvlText w:val="(%1)"/>
      <w:numFmt w:val="lowerRoman"/>
      <w:start w:val="5"/>
    </w:lvl>
  </w:abstractNum>
  <w:abstractNum w:abstractNumId="22">
    <w:nsid w:val="21FAA2FA"/>
    <w:multiLevelType w:val="hybridMultilevel"/>
    <w:lvl w:ilvl="0">
      <w:lvlJc w:val="left"/>
      <w:lvlText w:val="(%1)"/>
      <w:numFmt w:val="lowerLetter"/>
      <w:start w:val="2"/>
    </w:lvl>
  </w:abstractNum>
  <w:abstractNum w:abstractNumId="23">
    <w:nsid w:val="5451CF49"/>
    <w:multiLevelType w:val="hybridMultilevel"/>
    <w:lvl w:ilvl="0">
      <w:lvlJc w:val="left"/>
      <w:lvlText w:val="(%1)"/>
      <w:numFmt w:val="lowerLetter"/>
      <w:start w:val="2"/>
    </w:lvl>
    <w:lvl w:ilvl="1">
      <w:lvlJc w:val="left"/>
      <w:lvlText w:val="(%2)"/>
      <w:numFmt w:val="lowerRoman"/>
      <w:start w:val="1"/>
    </w:lvl>
  </w:abstractNum>
  <w:abstractNum w:abstractNumId="24">
    <w:nsid w:val="6181EF69"/>
    <w:multiLevelType w:val="hybridMultilevel"/>
    <w:lvl w:ilvl="0">
      <w:lvlJc w:val="left"/>
      <w:lvlText w:val="(%1)"/>
      <w:numFmt w:val="lowerLetter"/>
      <w:start w:val="3"/>
    </w:lvl>
  </w:abstractNum>
  <w:abstractNum w:abstractNumId="25">
    <w:nsid w:val="3E6400E6"/>
    <w:multiLevelType w:val="hybridMultilevel"/>
    <w:lvl w:ilvl="0">
      <w:lvlJc w:val="left"/>
      <w:lvlText w:val="(%1)"/>
      <w:numFmt w:val="lowerLetter"/>
      <w:start w:val="5"/>
    </w:lvl>
  </w:abstractNum>
  <w:abstractNum w:abstractNumId="26">
    <w:nsid w:val="14217E23"/>
    <w:multiLevelType w:val="hybridMultilevel"/>
    <w:lvl w:ilvl="0">
      <w:lvlJc w:val="left"/>
      <w:lvlText w:val="%1"/>
      <w:numFmt w:val="lowerLetter"/>
      <w:start w:val="1"/>
    </w:lvl>
    <w:lvl w:ilvl="1">
      <w:lvlJc w:val="left"/>
      <w:lvlText w:val="(%2)"/>
      <w:numFmt w:val="lowerLetter"/>
      <w:start w:val="2"/>
    </w:lvl>
  </w:abstractNum>
  <w:abstractNum w:abstractNumId="27">
    <w:nsid w:val="710757D0"/>
    <w:multiLevelType w:val="hybridMultilevel"/>
    <w:lvl w:ilvl="0">
      <w:lvlJc w:val="left"/>
      <w:lvlText w:val="(%1)"/>
      <w:numFmt w:val="lowerLetter"/>
      <w:start w:val="9"/>
    </w:lvl>
    <w:lvl w:ilvl="1">
      <w:lvlJc w:val="left"/>
      <w:lvlText w:val="(%2)"/>
      <w:numFmt w:val="lowerLetter"/>
      <w:start w:val="3"/>
    </w:lvl>
  </w:abstractNum>
  <w:abstractNum w:abstractNumId="28">
    <w:nsid w:val="5015CD1A"/>
    <w:multiLevelType w:val="hybridMultilevel"/>
    <w:lvl w:ilvl="0">
      <w:lvlJc w:val="left"/>
      <w:lvlText w:val="(%1)"/>
      <w:numFmt w:val="lowerLetter"/>
      <w:start w:val="2"/>
    </w:lvl>
  </w:abstractNum>
  <w:abstractNum w:abstractNumId="29">
    <w:nsid w:val="424479DA"/>
    <w:multiLevelType w:val="hybridMultilevel"/>
    <w:lvl w:ilvl="0">
      <w:lvlJc w:val="left"/>
      <w:lvlText w:val="(%1)"/>
      <w:numFmt w:val="lowerLetter"/>
      <w:start w:val="2"/>
    </w:lvl>
  </w:abstractNum>
  <w:abstractNum w:abstractNumId="30">
    <w:nsid w:val="1A9A9E69"/>
    <w:multiLevelType w:val="hybridMultilevel"/>
    <w:lvl w:ilvl="0">
      <w:lvlJc w:val="left"/>
      <w:lvlText w:val="(%1)"/>
      <w:numFmt w:val="lowerLetter"/>
      <w:start w:val="3"/>
    </w:lvl>
  </w:abstractNum>
  <w:abstractNum w:abstractNumId="31">
    <w:nsid w:val="475E256A"/>
    <w:multiLevelType w:val="hybridMultilevel"/>
    <w:lvl w:ilvl="0">
      <w:lvlJc w:val="left"/>
      <w:lvlText w:val="(%1)"/>
      <w:numFmt w:val="lowerLetter"/>
      <w:start w:val="2"/>
    </w:lvl>
  </w:abstractNum>
  <w:abstractNum w:abstractNumId="32">
    <w:nsid w:val="368DB37E"/>
    <w:multiLevelType w:val="hybridMultilevel"/>
    <w:lvl w:ilvl="0">
      <w:lvlJc w:val="left"/>
      <w:lvlText w:val="(%1)"/>
      <w:numFmt w:val="lowerLetter"/>
      <w:start w:val="3"/>
    </w:lvl>
  </w:abstractNum>
  <w:abstractNum w:abstractNumId="33">
    <w:nsid w:val="6A3B714C"/>
    <w:multiLevelType w:val="hybridMultilevel"/>
    <w:lvl w:ilvl="0">
      <w:lvlJc w:val="left"/>
      <w:lvlText w:val="(%1)"/>
      <w:numFmt w:val="lowerLetter"/>
      <w:start w:val="2"/>
    </w:lvl>
  </w:abstractNum>
  <w:abstractNum w:abstractNumId="34">
    <w:nsid w:val="327B517E"/>
    <w:multiLevelType w:val="hybridMultilevel"/>
    <w:lvl w:ilvl="0">
      <w:lvlJc w:val="left"/>
      <w:lvlText w:val="(%1)"/>
      <w:numFmt w:val="upperLetter"/>
      <w:start w:val="2"/>
    </w:lvl>
    <w:lvl w:ilvl="1">
      <w:lvlJc w:val="left"/>
      <w:lvlText w:val="(%2)"/>
      <w:numFmt w:val="lowerLetter"/>
      <w:start w:val="2"/>
    </w:lvl>
  </w:abstractNum>
  <w:abstractNum w:abstractNumId="35">
    <w:nsid w:val="1F461B51"/>
    <w:multiLevelType w:val="hybridMultilevel"/>
    <w:lvl w:ilvl="0">
      <w:lvlJc w:val="left"/>
      <w:lvlText w:val="(%1)"/>
      <w:numFmt w:val="lowerRoman"/>
      <w:start w:val="1"/>
    </w:lvl>
  </w:abstractNum>
  <w:abstractNum w:abstractNumId="36">
    <w:nsid w:val="29BACF25"/>
    <w:multiLevelType w:val="hybridMultilevel"/>
    <w:lvl w:ilvl="0">
      <w:lvlJc w:val="left"/>
      <w:lvlText w:val="(%1)"/>
      <w:numFmt w:val="lowerRoman"/>
      <w:start w:val="1"/>
    </w:lvl>
  </w:abstractNum>
  <w:abstractNum w:abstractNumId="37">
    <w:nsid w:val="5D5BABB3"/>
    <w:multiLevelType w:val="hybridMultilevel"/>
    <w:lvl w:ilvl="0">
      <w:lvlJc w:val="left"/>
      <w:lvlText w:val="(%1)"/>
      <w:numFmt w:val="lowerLetter"/>
      <w:start w:val="2"/>
    </w:lvl>
  </w:abstractNum>
  <w:abstractNum w:abstractNumId="38">
    <w:nsid w:val="51BF6B48"/>
    <w:multiLevelType w:val="hybridMultilevel"/>
    <w:lvl w:ilvl="0">
      <w:lvlJc w:val="left"/>
      <w:lvlText w:val="(%1)"/>
      <w:numFmt w:val="lowerLetter"/>
      <w:start w:val="3"/>
    </w:lvl>
  </w:abstractNum>
  <w:abstractNum w:abstractNumId="39">
    <w:nsid w:val="7E0F6384"/>
    <w:multiLevelType w:val="hybridMultilevel"/>
    <w:lvl w:ilvl="0">
      <w:lvlJc w:val="left"/>
      <w:lvlText w:val="(%1)"/>
      <w:numFmt w:val="lowerLetter"/>
      <w:start w:val="6"/>
    </w:lvl>
  </w:abstractNum>
  <w:abstractNum w:abstractNumId="40">
    <w:nsid w:val="2B4B8B53"/>
    <w:multiLevelType w:val="hybridMultilevel"/>
    <w:lvl w:ilvl="0">
      <w:lvlJc w:val="left"/>
      <w:lvlText w:val="(%1)"/>
      <w:numFmt w:val="lowerLetter"/>
      <w:start w:val="2"/>
    </w:lvl>
  </w:abstractNum>
  <w:abstractNum w:abstractNumId="41">
    <w:nsid w:val="72E3413A"/>
    <w:multiLevelType w:val="hybridMultilevel"/>
    <w:lvl w:ilvl="0">
      <w:lvlJc w:val="left"/>
      <w:lvlText w:val="(%1)"/>
      <w:numFmt w:val="lowerLetter"/>
      <w:start w:val="1"/>
    </w:lvl>
  </w:abstractNum>
  <w:abstractNum w:abstractNumId="42">
    <w:nsid w:val="116AE494"/>
    <w:multiLevelType w:val="hybridMultilevel"/>
    <w:lvl w:ilvl="0">
      <w:lvlJc w:val="left"/>
      <w:lvlText w:val="(%1)"/>
      <w:numFmt w:val="lowerLetter"/>
      <w:start w:val="5"/>
    </w:lvl>
  </w:abstractNum>
  <w:abstractNum w:abstractNumId="43">
    <w:nsid w:val="3494B2F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4">
    <w:nsid w:val="B13A31"/>
    <w:multiLevelType w:val="hybridMultilevel"/>
    <w:lvl w:ilvl="0">
      <w:lvlJc w:val="left"/>
      <w:lvlText w:val="(%1)"/>
      <w:numFmt w:val="upperLetter"/>
      <w:start w:val="3"/>
    </w:lvl>
  </w:abstractNum>
  <w:abstractNum w:abstractNumId="45">
    <w:nsid w:val="64429599"/>
    <w:multiLevelType w:val="hybridMultilevel"/>
    <w:lvl w:ilvl="0">
      <w:lvlJc w:val="left"/>
      <w:lvlText w:val="(%1)"/>
      <w:numFmt w:val="lowerLetter"/>
      <w:start w:val="7"/>
    </w:lvl>
    <w:lvl w:ilvl="1">
      <w:lvlJc w:val="left"/>
      <w:lvlText w:val="(%2)"/>
      <w:numFmt w:val="lowerLetter"/>
      <w:start w:val="9"/>
    </w:lvl>
  </w:abstractNum>
  <w:abstractNum w:abstractNumId="46">
    <w:nsid w:val="631F169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7">
    <w:nsid w:val="25973E32"/>
    <w:multiLevelType w:val="hybridMultilevel"/>
    <w:lvl w:ilvl="0">
      <w:lvlJc w:val="left"/>
      <w:lvlText w:val="(%1)"/>
      <w:numFmt w:val="lowerRoman"/>
      <w:start w:val="4"/>
    </w:lvl>
  </w:abstractNum>
  <w:abstractNum w:abstractNumId="48">
    <w:nsid w:val="EAD6F57"/>
    <w:multiLevelType w:val="hybridMultilevel"/>
    <w:lvl w:ilvl="0">
      <w:lvlJc w:val="left"/>
      <w:lvlText w:val="(%1)"/>
      <w:numFmt w:val="lowerRoman"/>
      <w:start w:val="6"/>
    </w:lvl>
    <w:lvl w:ilvl="1">
      <w:lvlJc w:val="left"/>
      <w:lvlText w:val="(%2)"/>
      <w:numFmt w:val="upperLetter"/>
      <w:start w:val="1"/>
    </w:lvl>
  </w:abstractNum>
  <w:abstractNum w:abstractNumId="49">
    <w:nsid w:val="6EC9D844"/>
    <w:multiLevelType w:val="hybridMultilevel"/>
    <w:lvl w:ilvl="0">
      <w:lvlJc w:val="left"/>
      <w:lvlText w:val="(%1)"/>
      <w:numFmt w:val="lowerLetter"/>
      <w:start w:val="8"/>
    </w:lvl>
  </w:abstractNum>
  <w:abstractNum w:abstractNumId="50">
    <w:nsid w:val="5C49EAEE"/>
    <w:multiLevelType w:val="hybridMultilevel"/>
    <w:lvl w:ilvl="0">
      <w:lvlJc w:val="left"/>
      <w:lvlText w:val="(%1)"/>
      <w:numFmt w:val="upperLetter"/>
      <w:start w:val="1"/>
    </w:lvl>
  </w:abstractNum>
  <w:abstractNum w:abstractNumId="51">
    <w:nsid w:val="64AF49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2">
    <w:nsid w:val="397C46B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3">
    <w:nsid w:val="7E448DE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4">
    <w:nsid w:val="5A9CC3E5"/>
    <w:multiLevelType w:val="hybridMultilevel"/>
    <w:lvl w:ilvl="0">
      <w:lvlJc w:val="left"/>
      <w:lvlText w:val="(%1)"/>
      <w:numFmt w:val="lowerLetter"/>
      <w:start w:val="10"/>
    </w:lvl>
    <w:lvl w:ilvl="1">
      <w:lvlJc w:val="left"/>
      <w:lvlText w:val="(%2)"/>
      <w:numFmt w:val="lowerRoman"/>
      <w:start w:val="1"/>
    </w:lvl>
  </w:abstractNum>
  <w:abstractNum w:abstractNumId="55">
    <w:nsid w:val="1AFE3625"/>
    <w:multiLevelType w:val="hybridMultilevel"/>
    <w:lvl w:ilvl="0">
      <w:lvlJc w:val="left"/>
      <w:lvlText w:val="(%1)"/>
      <w:numFmt w:val="lowerRoman"/>
      <w:start w:val="4"/>
    </w:lvl>
  </w:abstractNum>
  <w:abstractNum w:abstractNumId="56">
    <w:nsid w:val="3CA88ECF"/>
    <w:multiLevelType w:val="hybridMultilevel"/>
    <w:lvl w:ilvl="0">
      <w:lvlJc w:val="left"/>
      <w:lvlText w:val="(%1)"/>
      <w:numFmt w:val="lowerLetter"/>
      <w:start w:val="2"/>
    </w:lvl>
  </w:abstractNum>
  <w:abstractNum w:abstractNumId="57">
    <w:nsid w:val="6EBE4208"/>
    <w:multiLevelType w:val="hybridMultilevel"/>
    <w:lvl w:ilvl="0">
      <w:lvlJc w:val="left"/>
      <w:lvlText w:val="(%1)"/>
      <w:numFmt w:val="lowerLetter"/>
      <w:start w:val="5"/>
    </w:lvl>
  </w:abstractNum>
  <w:abstractNum w:abstractNumId="58">
    <w:nsid w:val="C058DF5"/>
    <w:multiLevelType w:val="hybridMultilevel"/>
    <w:lvl w:ilvl="0">
      <w:lvlJc w:val="left"/>
      <w:lvlText w:val="(%1)"/>
      <w:numFmt w:val="lowerLetter"/>
      <w:start w:val="2"/>
    </w:lvl>
  </w:abstractNum>
  <w:abstractNum w:abstractNumId="59">
    <w:nsid w:val="CBE5BE9"/>
    <w:multiLevelType w:val="hybridMultilevel"/>
    <w:lvl w:ilvl="0">
      <w:lvlJc w:val="left"/>
      <w:lvlText w:val="(%1)"/>
      <w:numFmt w:val="lowerLetter"/>
      <w:start w:val="1"/>
    </w:lvl>
  </w:abstractNum>
  <w:abstractNum w:abstractNumId="60">
    <w:nsid w:val="3102BBE2"/>
    <w:multiLevelType w:val="hybridMultilevel"/>
    <w:lvl w:ilvl="0">
      <w:lvlJc w:val="left"/>
      <w:lvlText w:val="(%1)"/>
      <w:numFmt w:val="lowerLetter"/>
      <w:start w:val="3"/>
    </w:lvl>
    <w:lvl w:ilvl="1">
      <w:lvlJc w:val="left"/>
      <w:lvlText w:val="(%2)"/>
      <w:numFmt w:val="lowerRoman"/>
      <w:start w:val="1"/>
    </w:lvl>
  </w:abstractNum>
  <w:abstractNum w:abstractNumId="61">
    <w:nsid w:val="26A02C5E"/>
    <w:multiLevelType w:val="hybridMultilevel"/>
    <w:lvl w:ilvl="0">
      <w:lvlJc w:val="left"/>
      <w:lvlText w:val="(%1)"/>
      <w:numFmt w:val="lowerLetter"/>
      <w:start w:val="4"/>
    </w:lvl>
  </w:abstractNum>
  <w:abstractNum w:abstractNumId="62">
    <w:nsid w:val="541C8153"/>
    <w:multiLevelType w:val="hybridMultilevel"/>
    <w:lvl w:ilvl="0">
      <w:lvlJc w:val="left"/>
      <w:lvlText w:val="%1"/>
      <w:numFmt w:val="lowerRoman"/>
      <w:start w:val="1"/>
    </w:lvl>
    <w:lvl w:ilvl="1">
      <w:lvlJc w:val="left"/>
      <w:lvlText w:val="(%2)"/>
      <w:numFmt w:val="lowerLetter"/>
      <w:start w:val="2"/>
    </w:lvl>
  </w:abstractNum>
  <w:abstractNum w:abstractNumId="63">
    <w:nsid w:val="67906F60"/>
    <w:multiLevelType w:val="hybridMultilevel"/>
    <w:lvl w:ilvl="0">
      <w:lvlJc w:val="left"/>
      <w:lvlText w:val="(%1)"/>
      <w:numFmt w:val="lowerRoman"/>
      <w:start w:val="4"/>
    </w:lvl>
    <w:lvl w:ilvl="1">
      <w:lvlJc w:val="left"/>
      <w:lvlText w:val="%2"/>
      <w:numFmt w:val="lowerLetter"/>
      <w:start w:val="1"/>
    </w:lvl>
  </w:abstractNum>
  <w:abstractNum w:abstractNumId="64">
    <w:nsid w:val="10DB9DAA"/>
    <w:multiLevelType w:val="hybridMultilevel"/>
    <w:lvl w:ilvl="0">
      <w:lvlJc w:val="left"/>
      <w:lvlText w:val="(%1)"/>
      <w:numFmt w:val="lowerLetter"/>
      <w:start w:val="4"/>
    </w:lvl>
  </w:abstractNum>
  <w:abstractNum w:abstractNumId="65">
    <w:nsid w:val="697D2D2"/>
    <w:multiLevelType w:val="hybridMultilevel"/>
    <w:lvl w:ilvl="0">
      <w:lvlJc w:val="left"/>
      <w:lvlText w:val="(%1)"/>
      <w:numFmt w:val="lowerLetter"/>
      <w:start w:val="6"/>
    </w:lvl>
  </w:abstractNum>
  <w:abstractNum w:abstractNumId="66">
    <w:nsid w:val="6D68AB2"/>
    <w:multiLevelType w:val="hybridMultilevel"/>
    <w:lvl w:ilvl="0">
      <w:lvlJc w:val="left"/>
      <w:lvlText w:val="(%1)"/>
      <w:numFmt w:val="lowerLetter"/>
      <w:start w:val="2"/>
    </w:lvl>
  </w:abstractNum>
  <w:abstractNum w:abstractNumId="67">
    <w:nsid w:val="3A966CD0"/>
    <w:multiLevelType w:val="hybridMultilevel"/>
    <w:lvl w:ilvl="0">
      <w:lvlJc w:val="left"/>
      <w:lvlText w:val="%1"/>
      <w:numFmt w:val="lowerLetter"/>
      <w:start w:val="1"/>
    </w:lvl>
    <w:lvl w:ilvl="1">
      <w:lvlJc w:val="left"/>
      <w:lvlText w:val="(%2)"/>
      <w:numFmt w:val="lowerLetter"/>
      <w:start w:val="5"/>
    </w:lvl>
  </w:abstractNum>
  <w:abstractNum w:abstractNumId="68">
    <w:nsid w:val="63F37E85"/>
    <w:multiLevelType w:val="hybridMultilevel"/>
    <w:lvl w:ilvl="0">
      <w:lvlJc w:val="left"/>
      <w:lvlText w:val="(%1)"/>
      <w:numFmt w:val="lowerLetter"/>
      <w:start w:val="9"/>
    </w:lvl>
    <w:lvl w:ilvl="1">
      <w:lvlJc w:val="left"/>
      <w:lvlText w:val="%2"/>
      <w:numFmt w:val="lowerLetter"/>
      <w:start w:val="1"/>
    </w:lvl>
  </w:abstractNum>
  <w:abstractNum w:abstractNumId="69">
    <w:nsid w:val="5895F5FA"/>
    <w:multiLevelType w:val="hybridMultilevel"/>
    <w:lvl w:ilvl="0">
      <w:lvlJc w:val="left"/>
      <w:lvlText w:val="(%1)"/>
      <w:numFmt w:val="lowerLetter"/>
      <w:start w:val="24"/>
    </w:lvl>
    <w:lvl w:ilvl="1">
      <w:lvlJc w:val="left"/>
      <w:lvlText w:val="(%2)"/>
      <w:numFmt w:val="lowerLetter"/>
      <w:start w:val="7"/>
    </w:lvl>
  </w:abstractNum>
  <w:abstractNum w:abstractNumId="70">
    <w:nsid w:val="38A5D054"/>
    <w:multiLevelType w:val="hybridMultilevel"/>
    <w:lvl w:ilvl="0">
      <w:lvlJc w:val="left"/>
      <w:lvlText w:val="(%1)"/>
      <w:numFmt w:val="lowerLetter"/>
      <w:start w:val="1"/>
    </w:lvl>
  </w:abstractNum>
  <w:abstractNum w:abstractNumId="71">
    <w:nsid w:val="F3F09D8"/>
    <w:multiLevelType w:val="hybridMultilevel"/>
    <w:lvl w:ilvl="0">
      <w:lvlJc w:val="left"/>
      <w:lvlText w:val="%1"/>
      <w:numFmt w:val="lowerLetter"/>
      <w:start w:val="1"/>
    </w:lvl>
    <w:lvl w:ilvl="1">
      <w:lvlJc w:val="left"/>
      <w:lvlText w:val="(%2)"/>
      <w:numFmt w:val="lowerLetter"/>
      <w:start w:val="3"/>
    </w:lvl>
  </w:abstractNum>
  <w:abstractNum w:abstractNumId="72">
    <w:nsid w:val="4B793735"/>
    <w:multiLevelType w:val="hybridMultilevel"/>
    <w:lvl w:ilvl="0">
      <w:lvlJc w:val="left"/>
      <w:lvlText w:val="(%1)"/>
      <w:numFmt w:val="lowerLetter"/>
      <w:start w:val="9"/>
    </w:lvl>
    <w:lvl w:ilvl="1">
      <w:lvlJc w:val="left"/>
      <w:lvlText w:val="(%2)"/>
      <w:numFmt w:val="lowerLetter"/>
      <w:start w:val="4"/>
    </w:lvl>
  </w:abstractNum>
  <w:abstractNum w:abstractNumId="73">
    <w:nsid w:val="4A10B4E8"/>
    <w:multiLevelType w:val="hybridMultilevel"/>
    <w:lvl w:ilvl="0">
      <w:lvlJc w:val="left"/>
      <w:lvlText w:val="(%1)"/>
      <w:numFmt w:val="lowerLetter"/>
      <w:start w:val="5"/>
    </w:lvl>
  </w:abstractNum>
  <w:abstractNum w:abstractNumId="74">
    <w:nsid w:val="43D3BCD4"/>
    <w:multiLevelType w:val="hybridMultilevel"/>
    <w:lvl w:ilvl="0">
      <w:lvlJc w:val="left"/>
      <w:lvlText w:val="(%1)"/>
      <w:numFmt w:val="lowerLetter"/>
      <w:start w:val="7"/>
    </w:lvl>
  </w:abstractNum>
  <w:abstractNum w:abstractNumId="75">
    <w:nsid w:val="4C2A7166"/>
    <w:multiLevelType w:val="hybridMultilevel"/>
    <w:lvl w:ilvl="0">
      <w:lvlJc w:val="left"/>
      <w:lvlText w:val="(%1)"/>
      <w:numFmt w:val="lowerLetter"/>
      <w:start w:val="8"/>
    </w:lvl>
  </w:abstractNum>
  <w:abstractNum w:abstractNumId="76">
    <w:nsid w:val="2E534A82"/>
    <w:multiLevelType w:val="hybridMultilevel"/>
    <w:lvl w:ilvl="0">
      <w:lvlJc w:val="left"/>
      <w:lvlText w:val="(%1)"/>
      <w:numFmt w:val="lowerLetter"/>
      <w:start w:val="11"/>
    </w:lvl>
  </w:abstractNum>
  <w:abstractNum w:abstractNumId="77">
    <w:nsid w:val="26F2D364"/>
    <w:multiLevelType w:val="hybridMultilevel"/>
    <w:lvl w:ilvl="0">
      <w:lvlJc w:val="left"/>
      <w:lvlText w:val="(%1)"/>
      <w:numFmt w:val="upperLetter"/>
      <w:start w:val="2"/>
    </w:lvl>
    <w:lvl w:ilvl="1">
      <w:lvlJc w:val="left"/>
      <w:lvlText w:val="(%2)"/>
      <w:numFmt w:val="lowerLetter"/>
      <w:start w:val="14"/>
    </w:lvl>
  </w:abstractNum>
  <w:abstractNum w:abstractNumId="78">
    <w:nsid w:val="71C1AF98"/>
    <w:multiLevelType w:val="hybridMultilevel"/>
    <w:lvl w:ilvl="0">
      <w:lvlJc w:val="left"/>
      <w:lvlText w:val="(%1)"/>
      <w:numFmt w:val="lowerLetter"/>
      <w:start w:val="2"/>
    </w:lvl>
  </w:abstractNum>
  <w:abstractNum w:abstractNumId="79">
    <w:nsid w:val="3D00B9D9"/>
    <w:multiLevelType w:val="hybridMultilevel"/>
    <w:lvl w:ilvl="0">
      <w:lvlJc w:val="left"/>
      <w:lvlText w:val="(%1)"/>
      <w:numFmt w:val="lowerLetter"/>
      <w:start w:val="4"/>
    </w:lvl>
  </w:abstractNum>
  <w:abstractNum w:abstractNumId="80">
    <w:nsid w:val="15BCABA8"/>
    <w:multiLevelType w:val="hybridMultilevel"/>
    <w:lvl w:ilvl="0">
      <w:lvlJc w:val="left"/>
      <w:lvlText w:val="(%1)"/>
      <w:numFmt w:val="lowerLetter"/>
      <w:start w:val="2"/>
    </w:lvl>
  </w:abstractNum>
  <w:abstractNum w:abstractNumId="81">
    <w:nsid w:val="4E0B9A87"/>
    <w:multiLevelType w:val="hybridMultilevel"/>
    <w:lvl w:ilvl="0">
      <w:lvlJc w:val="left"/>
      <w:lvlText w:val="(%1)"/>
      <w:numFmt w:val="lowerLetter"/>
      <w:start w:val="2"/>
    </w:lvl>
  </w:abstractNum>
  <w:abstractNum w:abstractNumId="82">
    <w:nsid w:val="434BAE75"/>
    <w:multiLevelType w:val="hybridMultilevel"/>
    <w:lvl w:ilvl="0">
      <w:lvlJc w:val="left"/>
      <w:lvlText w:val="(%1)"/>
      <w:numFmt w:val="lowerLetter"/>
      <w:start w:val="1"/>
    </w:lvl>
  </w:abstractNum>
  <w:abstractNum w:abstractNumId="83">
    <w:nsid w:val="4F38F265"/>
    <w:multiLevelType w:val="hybridMultilevel"/>
    <w:lvl w:ilvl="0">
      <w:lvlJc w:val="left"/>
      <w:lvlText w:val="(%1)"/>
      <w:numFmt w:val="lowerLetter"/>
      <w:start w:val="1"/>
    </w:lvl>
  </w:abstractNum>
  <w:abstractNum w:abstractNumId="84">
    <w:nsid w:val="4C502870"/>
    <w:multiLevelType w:val="hybridMultilevel"/>
    <w:lvl w:ilvl="0">
      <w:lvlJc w:val="left"/>
      <w:lvlText w:val="(%1)"/>
      <w:numFmt w:val="lowerLetter"/>
      <w:start w:val="2"/>
    </w:lvl>
  </w:abstractNum>
  <w:abstractNum w:abstractNumId="85">
    <w:nsid w:val="1DE8725A"/>
    <w:multiLevelType w:val="hybridMultilevel"/>
    <w:lvl w:ilvl="0">
      <w:lvlJc w:val="left"/>
      <w:lvlText w:val="(%1)"/>
      <w:numFmt w:val="lowerLetter"/>
      <w:start w:val="1"/>
    </w:lvl>
  </w:abstractNum>
  <w:abstractNum w:abstractNumId="86">
    <w:nsid w:val="6A37288A"/>
    <w:multiLevelType w:val="hybridMultilevel"/>
    <w:lvl w:ilvl="0">
      <w:lvlJc w:val="left"/>
      <w:lvlText w:val="(%1)"/>
      <w:numFmt w:val="lowerLetter"/>
      <w:start w:val="6"/>
    </w:lvl>
  </w:abstractNum>
  <w:abstractNum w:abstractNumId="87">
    <w:nsid w:val="8F8B73F"/>
    <w:multiLevelType w:val="hybridMultilevel"/>
    <w:lvl w:ilvl="0">
      <w:lvlJc w:val="left"/>
      <w:lvlText w:val="(%1)"/>
      <w:numFmt w:val="lowerLetter"/>
      <w:start w:val="1"/>
    </w:lvl>
  </w:abstractNum>
  <w:abstractNum w:abstractNumId="88">
    <w:nsid w:val="CA6B462"/>
    <w:multiLevelType w:val="hybridMultilevel"/>
    <w:lvl w:ilvl="0">
      <w:lvlJc w:val="left"/>
      <w:lvlText w:val="(%1)"/>
      <w:numFmt w:val="lowerLetter"/>
      <w:start w:val="1"/>
    </w:lvl>
  </w:abstractNum>
  <w:abstractNum w:abstractNumId="89">
    <w:nsid w:val="763CB680"/>
    <w:multiLevelType w:val="hybridMultilevel"/>
    <w:lvl w:ilvl="0">
      <w:lvlJc w:val="left"/>
      <w:lvlText w:val="(%1)"/>
      <w:numFmt w:val="lowerLetter"/>
      <w:start w:val="1"/>
    </w:lvl>
  </w:abstractNum>
  <w:abstractNum w:abstractNumId="90">
    <w:nsid w:val="15B71329"/>
    <w:multiLevelType w:val="hybridMultilevel"/>
    <w:lvl w:ilvl="0">
      <w:lvlJc w:val="left"/>
      <w:lvlText w:val="(%1)"/>
      <w:numFmt w:val="lowerLetter"/>
      <w:start w:val="4"/>
    </w:lvl>
  </w:abstractNum>
  <w:abstractNum w:abstractNumId="91">
    <w:nsid w:val="3DA97044"/>
    <w:multiLevelType w:val="hybridMultilevel"/>
    <w:lvl w:ilvl="0">
      <w:lvlJc w:val="left"/>
      <w:lvlText w:val="(%1)"/>
      <w:numFmt w:val="lowerLetter"/>
      <w:start w:val="1"/>
    </w:lvl>
  </w:abstractNum>
  <w:abstractNum w:abstractNumId="92">
    <w:nsid w:val="1CDCE2DE"/>
    <w:multiLevelType w:val="hybridMultilevel"/>
    <w:lvl w:ilvl="0">
      <w:lvlJc w:val="left"/>
      <w:lvlText w:val="%1"/>
      <w:numFmt w:val="lowerLetter"/>
      <w:start w:val="1"/>
    </w:lvl>
    <w:lvl w:ilvl="1">
      <w:lvlJc w:val="left"/>
      <w:lvlText w:val="(%2)"/>
      <w:numFmt w:val="lowerLetter"/>
      <w:start w:val="2"/>
    </w:lvl>
  </w:abstractNum>
  <w:abstractNum w:abstractNumId="93">
    <w:nsid w:val="69D3947C"/>
    <w:multiLevelType w:val="hybridMultilevel"/>
    <w:lvl w:ilvl="0">
      <w:lvlJc w:val="left"/>
      <w:lvlText w:val="(%1)"/>
      <w:numFmt w:val="lowerLetter"/>
      <w:start w:val="2"/>
    </w:lvl>
    <w:lvl w:ilvl="1">
      <w:lvlJc w:val="left"/>
      <w:lvlText w:val="%2"/>
      <w:numFmt w:val="lowerLetter"/>
      <w:start w:val="1"/>
    </w:lvl>
  </w:abstractNum>
  <w:abstractNum w:abstractNumId="94">
    <w:nsid w:val="2539DFA5"/>
    <w:multiLevelType w:val="hybridMultilevel"/>
    <w:lvl w:ilvl="0">
      <w:lvlJc w:val="left"/>
      <w:lvlText w:val="(%1)"/>
      <w:numFmt w:val="lowerLetter"/>
      <w:start w:val="1"/>
    </w:lvl>
  </w:abstractNum>
  <w:abstractNum w:abstractNumId="95">
    <w:nsid w:val="2DB88089"/>
    <w:multiLevelType w:val="hybridMultilevel"/>
    <w:lvl w:ilvl="0">
      <w:lvlJc w:val="left"/>
      <w:lvlText w:val="(%1)"/>
      <w:numFmt w:val="upperLetter"/>
      <w:start w:val="3"/>
    </w:lvl>
    <w:lvl w:ilvl="1">
      <w:lvlJc w:val="left"/>
      <w:lvlText w:val="(%2)"/>
      <w:numFmt w:val="lowerLetter"/>
      <w:start w:val="2"/>
    </w:lvl>
  </w:abstractNum>
  <w:abstractNum w:abstractNumId="96">
    <w:nsid w:val="706B674E"/>
    <w:multiLevelType w:val="hybridMultilevel"/>
    <w:lvl w:ilvl="0">
      <w:lvlJc w:val="left"/>
      <w:lvlText w:val="(%1)"/>
      <w:numFmt w:val="lowerLetter"/>
      <w:start w:val="1"/>
    </w:lvl>
  </w:abstractNum>
  <w:abstractNum w:abstractNumId="97">
    <w:nsid w:val="2C106A57"/>
    <w:multiLevelType w:val="hybridMultilevel"/>
    <w:lvl w:ilvl="0">
      <w:lvlJc w:val="left"/>
      <w:lvlText w:val="(%1)"/>
      <w:numFmt w:val="lowerLetter"/>
      <w:start w:val="1"/>
    </w:lvl>
  </w:abstractNum>
  <w:abstractNum w:abstractNumId="98">
    <w:nsid w:val="684EED59"/>
    <w:multiLevelType w:val="hybridMultilevel"/>
    <w:lvl w:ilvl="0">
      <w:lvlJc w:val="left"/>
      <w:lvlText w:val="(%1)"/>
      <w:numFmt w:val="lowerLetter"/>
      <w:start w:val="5"/>
    </w:lvl>
  </w:abstractNum>
  <w:abstractNum w:abstractNumId="99">
    <w:nsid w:val="545EE5D3"/>
    <w:multiLevelType w:val="hybridMultilevel"/>
    <w:lvl w:ilvl="0">
      <w:lvlJc w:val="left"/>
      <w:lvlText w:val="(%1)"/>
      <w:numFmt w:val="lowerLetter"/>
      <w:start w:val="14"/>
    </w:lvl>
  </w:abstractNum>
  <w:abstractNum w:abstractNumId="100">
    <w:nsid w:val="4A66051"/>
    <w:multiLevelType w:val="hybridMultilevel"/>
    <w:lvl w:ilvl="0">
      <w:lvlJc w:val="left"/>
      <w:lvlText w:val="(%1)"/>
      <w:numFmt w:val="lowerLetter"/>
      <w:start w:val="1"/>
    </w:lvl>
  </w:abstractNum>
  <w:abstractNum w:abstractNumId="101">
    <w:nsid w:val="20F4BDAD"/>
    <w:multiLevelType w:val="hybridMultilevel"/>
    <w:lvl w:ilvl="0">
      <w:lvlJc w:val="left"/>
      <w:lvlText w:val="(%1)"/>
      <w:numFmt w:val="lowerLetter"/>
      <w:start w:val="3"/>
    </w:lvl>
  </w:abstractNum>
  <w:abstractNum w:abstractNumId="102">
    <w:nsid w:val="639DEFAC"/>
    <w:multiLevelType w:val="hybridMultilevel"/>
    <w:lvl w:ilvl="0">
      <w:lvlJc w:val="left"/>
      <w:lvlText w:val="(%1)"/>
      <w:numFmt w:val="lowerLetter"/>
      <w:start w:val="11"/>
    </w:lvl>
  </w:abstractNum>
  <w:abstractNum w:abstractNumId="103">
    <w:nsid w:val="501F9786"/>
    <w:multiLevelType w:val="hybridMultilevel"/>
    <w:lvl w:ilvl="0">
      <w:lvlJc w:val="left"/>
      <w:lvlText w:val="(%1)"/>
      <w:numFmt w:val="lowerLetter"/>
      <w:start w:val="1"/>
    </w:lvl>
  </w:abstractNum>
  <w:abstractNum w:abstractNumId="104">
    <w:nsid w:val="6B057295"/>
    <w:multiLevelType w:val="hybridMultilevel"/>
    <w:lvl w:ilvl="0">
      <w:lvlJc w:val="left"/>
      <w:lvlText w:val="(%1)"/>
      <w:numFmt w:val="lowerLetter"/>
      <w:start w:val="3"/>
    </w:lvl>
  </w:abstractNum>
  <w:abstractNum w:abstractNumId="105">
    <w:nsid w:val="2771AC80"/>
    <w:multiLevelType w:val="hybridMultilevel"/>
    <w:lvl w:ilvl="0">
      <w:lvlJc w:val="left"/>
      <w:lvlText w:val="(%1)"/>
      <w:numFmt w:val="lowerLetter"/>
      <w:start w:val="1"/>
    </w:lvl>
  </w:abstractNum>
  <w:abstractNum w:abstractNumId="106">
    <w:nsid w:val="1C4A08EC"/>
    <w:multiLevelType w:val="hybridMultilevel"/>
    <w:lvl w:ilvl="0">
      <w:lvlJc w:val="left"/>
      <w:lvlText w:val="%1"/>
      <w:numFmt w:val="lowerLetter"/>
      <w:start w:val="1"/>
    </w:lvl>
    <w:lvl w:ilvl="1">
      <w:lvlJc w:val="left"/>
      <w:lvlText w:val="(%2)"/>
      <w:numFmt w:val="lowerLetter"/>
      <w:start w:val="1"/>
    </w:lvl>
  </w:abstractNum>
  <w:abstractNum w:abstractNumId="107">
    <w:nsid w:val="1958BD17"/>
    <w:multiLevelType w:val="hybridMultilevel"/>
    <w:lvl w:ilvl="0">
      <w:lvlJc w:val="left"/>
      <w:lvlText w:val="(%1)"/>
      <w:numFmt w:val="lowerLetter"/>
      <w:start w:val="35"/>
    </w:lvl>
    <w:lvl w:ilvl="1">
      <w:lvlJc w:val="left"/>
      <w:lvlText w:val="(%2)"/>
      <w:numFmt w:val="lowerLetter"/>
      <w:start w:val="3"/>
    </w:lvl>
  </w:abstractNum>
  <w:abstractNum w:abstractNumId="108">
    <w:nsid w:val="4E647FE4"/>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abstractNum>
  <w:abstractNum w:abstractNumId="109">
    <w:nsid w:val="E0BB885"/>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110">
    <w:nsid w:val="565976F1"/>
    <w:multiLevelType w:val="hybridMultilevel"/>
    <w:lvl w:ilvl="0">
      <w:lvlJc w:val="left"/>
      <w:lvlText w:val="(%1)"/>
      <w:numFmt w:val="lowerLetter"/>
      <w:start w:val="8"/>
    </w:lvl>
  </w:abstractNum>
  <w:abstractNum w:abstractNumId="111">
    <w:nsid w:val="64212B8C"/>
    <w:multiLevelType w:val="hybridMultilevel"/>
    <w:lvl w:ilvl="0">
      <w:lvlJc w:val="left"/>
      <w:lvlText w:val="(%1)"/>
      <w:numFmt w:val="upperLetter"/>
      <w:start w:val="3"/>
    </w:lvl>
  </w:abstractNum>
  <w:abstractNum w:abstractNumId="112">
    <w:nsid w:val="5C17530C"/>
    <w:multiLevelType w:val="hybridMultilevel"/>
    <w:lvl w:ilvl="0">
      <w:lvlJc w:val="left"/>
      <w:lvlText w:val="(%1)"/>
      <w:numFmt w:val="lowerRoman"/>
      <w:start w:val="4"/>
    </w:lvl>
  </w:abstractNum>
  <w:abstractNum w:abstractNumId="113">
    <w:nsid w:val="19A52566"/>
    <w:multiLevelType w:val="hybridMultilevel"/>
    <w:lvl w:ilvl="0">
      <w:lvlJc w:val="left"/>
      <w:lvlText w:val="(%1)"/>
      <w:numFmt w:val="lowerLetter"/>
      <w:start w:val="1"/>
    </w:lvl>
  </w:abstractNum>
  <w:abstractNum w:abstractNumId="114">
    <w:nsid w:val="335A1DF1"/>
    <w:multiLevelType w:val="hybridMultilevel"/>
    <w:lvl w:ilvl="0">
      <w:lvlJc w:val="left"/>
      <w:lvlText w:val="§"/>
      <w:numFmt w:val="bullet"/>
      <w:start w:val="1"/>
    </w:lvl>
  </w:abstractNum>
  <w:abstractNum w:abstractNumId="115">
    <w:nsid w:val="28677B7C"/>
    <w:multiLevelType w:val="hybridMultilevel"/>
    <w:lvl w:ilvl="0">
      <w:lvlJc w:val="left"/>
      <w:lvlText w:val="(%1)"/>
      <w:numFmt w:val="lowerLetter"/>
      <w:start w:val="11"/>
    </w:lvl>
  </w:abstractNum>
  <w:abstractNum w:abstractNumId="116">
    <w:nsid w:val="378D97C0"/>
    <w:multiLevelType w:val="hybridMultilevel"/>
    <w:lvl w:ilvl="0">
      <w:lvlJc w:val="left"/>
      <w:lvlText w:val="(%1)"/>
      <w:numFmt w:val="lowerRoman"/>
      <w:start w:val="1"/>
    </w:lvl>
  </w:abstractNum>
  <w:abstractNum w:abstractNumId="117">
    <w:nsid w:val="1D91467C"/>
    <w:multiLevelType w:val="hybridMultilevel"/>
    <w:lvl w:ilvl="0">
      <w:lvlJc w:val="left"/>
      <w:lvlText w:val="(%1)"/>
      <w:numFmt w:val="lowerRoman"/>
      <w:start w:val="4"/>
    </w:lvl>
  </w:abstractNum>
  <w:abstractNum w:abstractNumId="118">
    <w:nsid w:val="316032BB"/>
    <w:multiLevelType w:val="hybridMultilevel"/>
    <w:lvl w:ilvl="0">
      <w:lvlJc w:val="left"/>
      <w:lvlText w:val="(%1)"/>
      <w:numFmt w:val="lowerLetter"/>
      <w:start w:val="2"/>
    </w:lvl>
  </w:abstractNum>
  <w:abstractNum w:abstractNumId="119">
    <w:nsid w:val="44344C22"/>
    <w:multiLevelType w:val="hybridMultilevel"/>
    <w:lvl w:ilvl="0">
      <w:lvlJc w:val="left"/>
      <w:lvlText w:val="(%1)"/>
      <w:numFmt w:val="lowerLetter"/>
      <w:start w:val="3"/>
    </w:lvl>
  </w:abstractNum>
  <w:abstractNum w:abstractNumId="120">
    <w:nsid w:val="13CDFCFC"/>
    <w:multiLevelType w:val="hybridMultilevel"/>
    <w:lvl w:ilvl="0">
      <w:lvlJc w:val="left"/>
      <w:lvlText w:val="(%1)"/>
      <w:numFmt w:val="lowerLetter"/>
      <w:start w:val="2"/>
    </w:lvl>
  </w:abstractNum>
  <w:abstractNum w:abstractNumId="121">
    <w:nsid w:val="471745E4"/>
    <w:multiLevelType w:val="hybridMultilevel"/>
    <w:lvl w:ilvl="0">
      <w:lvlJc w:val="left"/>
      <w:lvlText w:val="(%1)"/>
      <w:numFmt w:val="lowerLetter"/>
      <w:start w:val="3"/>
    </w:lvl>
    <w:lvl w:ilvl="1">
      <w:lvlJc w:val="left"/>
      <w:lvlText w:val="(%2)"/>
      <w:numFmt w:val="lowerRoman"/>
      <w:start w:val="1"/>
    </w:lvl>
  </w:abstractNum>
  <w:abstractNum w:abstractNumId="122">
    <w:nsid w:val="1DDBC66"/>
    <w:multiLevelType w:val="hybridMultilevel"/>
    <w:lvl w:ilvl="0">
      <w:lvlJc w:val="left"/>
      <w:lvlText w:val="%1"/>
      <w:numFmt w:val="lowerLetter"/>
      <w:start w:val="1"/>
    </w:lvl>
    <w:lvl w:ilvl="1">
      <w:lvlJc w:val="left"/>
      <w:lvlText w:val="(%2)"/>
      <w:numFmt w:val="lowerRoman"/>
      <w:start w:val="9"/>
    </w:lvl>
  </w:abstractNum>
  <w:abstractNum w:abstractNumId="123">
    <w:nsid w:val="30AADFDA"/>
    <w:multiLevelType w:val="hybridMultilevel"/>
    <w:lvl w:ilvl="0">
      <w:lvlJc w:val="left"/>
      <w:lvlText w:val="(%1)"/>
      <w:numFmt w:val="lowerLetter"/>
      <w:start w:val="4"/>
    </w:lvl>
    <w:lvl w:ilvl="1">
      <w:lvlJc w:val="left"/>
      <w:lvlText w:val="%2"/>
      <w:numFmt w:val="lowerRoman"/>
      <w:start w:val="1"/>
    </w:lvl>
  </w:abstractNum>
  <w:abstractNum w:abstractNumId="124">
    <w:nsid w:val="30EADA61"/>
    <w:multiLevelType w:val="hybridMultilevel"/>
    <w:lvl w:ilvl="0">
      <w:lvlJc w:val="left"/>
      <w:lvlText w:val="(%1)"/>
      <w:numFmt w:val="lowerLetter"/>
      <w:start w:val="2"/>
    </w:lvl>
  </w:abstractNum>
  <w:abstractNum w:abstractNumId="125">
    <w:nsid w:val="27179C0B"/>
    <w:multiLevelType w:val="hybridMultilevel"/>
    <w:lvl w:ilvl="0">
      <w:lvlJc w:val="left"/>
      <w:lvlText w:val="(%1)"/>
      <w:numFmt w:val="lowerLetter"/>
      <w:start w:val="3"/>
    </w:lvl>
  </w:abstractNum>
  <w:abstractNum w:abstractNumId="126">
    <w:nsid w:val="5E636063"/>
    <w:multiLevelType w:val="hybridMultilevel"/>
    <w:lvl w:ilvl="0">
      <w:lvlJc w:val="left"/>
      <w:lvlText w:val="(%1)"/>
      <w:numFmt w:val="lowerLetter"/>
      <w:start w:val="4"/>
    </w:lvl>
  </w:abstractNum>
  <w:abstractNum w:abstractNumId="127">
    <w:nsid w:val="215641AF"/>
    <w:multiLevelType w:val="hybridMultilevel"/>
    <w:lvl w:ilvl="0">
      <w:lvlJc w:val="left"/>
      <w:lvlText w:val="(%1)"/>
      <w:numFmt w:val="lowerLetter"/>
      <w:start w:val="2"/>
    </w:lvl>
    <w:lvl w:ilvl="1">
      <w:lvlJc w:val="left"/>
      <w:lvlText w:val="(%2)"/>
      <w:numFmt w:val="lowerLetter"/>
      <w:start w:val="34"/>
    </w:lvl>
    <w:lvl w:ilvl="2">
      <w:lvlJc w:val="left"/>
      <w:lvlText w:val="(%3)"/>
      <w:numFmt w:val="upperLetter"/>
      <w:start w:val="1"/>
    </w:lvl>
  </w:abstractNum>
  <w:abstractNum w:abstractNumId="128">
    <w:nsid w:val="53280662"/>
    <w:multiLevelType w:val="hybridMultilevel"/>
    <w:lvl w:ilvl="0">
      <w:lvlJc w:val="left"/>
      <w:lvlText w:val="%1"/>
      <w:numFmt w:val="lowerLetter"/>
      <w:start w:val="1"/>
    </w:lvl>
    <w:lvl w:ilvl="1">
      <w:lvlJc w:val="left"/>
      <w:lvlText w:val="(%2)"/>
      <w:numFmt w:val="lowerLetter"/>
      <w:start w:val="26"/>
    </w:lvl>
    <w:lvl w:ilvl="2">
      <w:lvlJc w:val="left"/>
      <w:lvlText w:val="%3"/>
      <w:numFmt w:val="upperLetter"/>
      <w:start w:val="1"/>
    </w:lvl>
  </w:abstractNum>
  <w:abstractNum w:abstractNumId="129">
    <w:nsid w:val="46B24DBC"/>
    <w:multiLevelType w:val="hybridMultilevel"/>
    <w:lvl w:ilvl="0">
      <w:lvlJc w:val="left"/>
      <w:lvlText w:val="%1"/>
      <w:numFmt w:val="lowerRoman"/>
      <w:start w:val="1"/>
    </w:lvl>
    <w:lvl w:ilvl="1">
      <w:lvlJc w:val="left"/>
      <w:lvlText w:val="(%2)"/>
      <w:numFmt w:val="upperLetter"/>
      <w:start w:val="2"/>
    </w:lvl>
  </w:abstractNum>
  <w:abstractNum w:abstractNumId="130">
    <w:nsid w:val="75B52783"/>
    <w:multiLevelType w:val="hybridMultilevel"/>
    <w:lvl w:ilvl="0">
      <w:lvlJc w:val="left"/>
      <w:lvlText w:val="(%1)"/>
      <w:numFmt w:val="lowerRoman"/>
      <w:start w:val="3"/>
    </w:lvl>
    <w:lvl w:ilvl="1">
      <w:lvlJc w:val="left"/>
      <w:lvlText w:val="%2"/>
      <w:numFmt w:val="upperLetter"/>
      <w:start w:val="1"/>
    </w:lvl>
  </w:abstractNum>
  <w:abstractNum w:abstractNumId="131">
    <w:nsid w:val="57CE66B4"/>
    <w:multiLevelType w:val="hybridMultilevel"/>
    <w:lvl w:ilvl="0">
      <w:lvlJc w:val="left"/>
      <w:lvlText w:val="%1"/>
      <w:numFmt w:val="lowerLetter"/>
      <w:start w:val="1"/>
    </w:lvl>
    <w:lvl w:ilvl="1">
      <w:lvlJc w:val="left"/>
      <w:lvlText w:val="(%2)"/>
      <w:numFmt w:val="lowerLetter"/>
      <w:start w:val="22"/>
    </w:lvl>
  </w:abstractNum>
  <w:abstractNum w:abstractNumId="132">
    <w:nsid w:val="67A70B69"/>
    <w:multiLevelType w:val="hybridMultilevel"/>
    <w:lvl w:ilvl="0">
      <w:lvlJc w:val="left"/>
      <w:lvlText w:val="(%1)"/>
      <w:numFmt w:val="lowerLetter"/>
      <w:start w:val="3"/>
    </w:lvl>
    <w:lvl w:ilvl="1">
      <w:lvlJc w:val="left"/>
      <w:lvlText w:val="%2"/>
      <w:numFmt w:val="lowerLetter"/>
      <w:start w:val="1"/>
    </w:lvl>
  </w:abstractNum>
  <w:abstractNum w:abstractNumId="133">
    <w:nsid w:val="5953172F"/>
    <w:multiLevelType w:val="hybridMultilevel"/>
    <w:lvl w:ilvl="0">
      <w:lvlJc w:val="left"/>
      <w:lvlText w:val="(%1)"/>
      <w:numFmt w:val="lowerRoman"/>
      <w:start w:val="2"/>
    </w:lvl>
  </w:abstractNum>
  <w:abstractNum w:abstractNumId="134">
    <w:nsid w:val="27EDFE3A"/>
    <w:multiLevelType w:val="hybridMultilevel"/>
    <w:lvl w:ilvl="0">
      <w:lvlJc w:val="left"/>
      <w:lvlText w:val="(%1)"/>
      <w:numFmt w:val="lowerLetter"/>
      <w:start w:val="4"/>
    </w:lvl>
  </w:abstractNum>
  <w:abstractNum w:abstractNumId="135">
    <w:nsid w:val="52AC7DFF"/>
    <w:multiLevelType w:val="hybridMultilevel"/>
    <w:lvl w:ilvl="0">
      <w:lvlJc w:val="left"/>
      <w:lvlText w:val="(%1)"/>
      <w:numFmt w:val="lowerLetter"/>
      <w:start w:val="2"/>
    </w:lvl>
  </w:abstractNum>
  <w:abstractNum w:abstractNumId="136">
    <w:nsid w:val="C4C3AF"/>
    <w:multiLevelType w:val="hybridMultilevel"/>
    <w:lvl w:ilvl="0">
      <w:lvlJc w:val="left"/>
      <w:lvlText w:val="(%1)"/>
      <w:numFmt w:val="lowerLetter"/>
      <w:start w:val="4"/>
    </w:lvl>
  </w:abstractNum>
  <w:abstractNum w:abstractNumId="137">
    <w:nsid w:val="44380727"/>
    <w:multiLevelType w:val="hybridMultilevel"/>
    <w:lvl w:ilvl="0">
      <w:lvlJc w:val="left"/>
      <w:lvlText w:val="(%1)"/>
      <w:numFmt w:val="lowerLetter"/>
      <w:start w:val="2"/>
    </w:lvl>
  </w:abstractNum>
  <w:abstractNum w:abstractNumId="138">
    <w:nsid w:val="6C053B16"/>
    <w:multiLevelType w:val="hybridMultilevel"/>
    <w:lvl w:ilvl="0">
      <w:lvlJc w:val="left"/>
      <w:lvlText w:val="(%1)"/>
      <w:numFmt w:val="lowerLetter"/>
      <w:start w:val="4"/>
    </w:lvl>
  </w:abstractNum>
  <w:abstractNum w:abstractNumId="139">
    <w:nsid w:val="4F294393"/>
    <w:multiLevelType w:val="hybridMultilevel"/>
    <w:lvl w:ilvl="0">
      <w:lvlJc w:val="left"/>
      <w:lvlText w:val="(%1)"/>
      <w:numFmt w:val="lowerLetter"/>
      <w:start w:val="3"/>
    </w:lvl>
  </w:abstractNum>
  <w:abstractNum w:abstractNumId="140">
    <w:nsid w:val="5243BFAC"/>
    <w:multiLevelType w:val="hybridMultilevel"/>
    <w:lvl w:ilvl="0">
      <w:lvlJc w:val="left"/>
      <w:lvlText w:val="(%1)"/>
      <w:numFmt w:val="lowerLetter"/>
      <w:start w:val="2"/>
    </w:lvl>
  </w:abstractNum>
  <w:abstractNum w:abstractNumId="141">
    <w:nsid w:val="425EB207"/>
    <w:multiLevelType w:val="hybridMultilevel"/>
    <w:lvl w:ilvl="0">
      <w:lvlJc w:val="left"/>
      <w:lvlText w:val="(%1)"/>
      <w:numFmt w:val="lowerLetter"/>
      <w:start w:val="1"/>
    </w:lvl>
    <w:lvl w:ilvl="1">
      <w:lvlJc w:val="left"/>
      <w:lvlText w:val="(%2)"/>
      <w:numFmt w:val="lowerRoman"/>
      <w:start w:val="1"/>
    </w:lvl>
  </w:abstractNum>
  <w:abstractNum w:abstractNumId="142">
    <w:nsid w:val="334A6F1F"/>
    <w:multiLevelType w:val="hybridMultilevel"/>
    <w:lvl w:ilvl="0">
      <w:lvlJc w:val="left"/>
      <w:lvlText w:val="(%1)"/>
      <w:numFmt w:val="decimal"/>
      <w:start w:val="10"/>
    </w:lvl>
  </w:abstractNum>
  <w:abstractNum w:abstractNumId="143">
    <w:nsid w:val="2E5B12B8"/>
    <w:multiLevelType w:val="hybridMultilevel"/>
    <w:lvl w:ilvl="0">
      <w:lvlJc w:val="left"/>
      <w:lvlText w:val="(%1)"/>
      <w:numFmt w:val="lowerLetter"/>
      <w:start w:val="2"/>
    </w:lvl>
  </w:abstractNum>
  <w:abstractNum w:abstractNumId="144">
    <w:nsid w:val="5C03D76D"/>
    <w:multiLevelType w:val="hybridMultilevel"/>
    <w:lvl w:ilvl="0">
      <w:lvlJc w:val="left"/>
      <w:lvlText w:val="©"/>
      <w:numFmt w:val="bullet"/>
      <w:start w:val="1"/>
    </w:lvl>
  </w:abstractNum>
  <w:abstractNum w:abstractNumId="145">
    <w:nsid w:val="66A48D11"/>
    <w:multiLevelType w:val="hybridMultilevel"/>
    <w:lvl w:ilvl="0">
      <w:lvlJc w:val="left"/>
      <w:lvlText w:val="•"/>
      <w:numFmt w:val="bullet"/>
      <w:start w:val="1"/>
    </w:lvl>
  </w:abstractNum>
  <w:abstractNum w:abstractNumId="146">
    <w:nsid w:val="56C28E34"/>
    <w:multiLevelType w:val="hybridMultilevel"/>
    <w:lvl w:ilvl="0">
      <w:lvlJc w:val="left"/>
      <w:lvlText w:val="%1:"/>
      <w:numFmt w:val="upperLetter"/>
      <w:start w:val="17"/>
    </w:lvl>
  </w:abstractNum>
  <w:abstractNum w:abstractNumId="147">
    <w:nsid w:val="13916F2D"/>
    <w:multiLevelType w:val="hybridMultilevel"/>
    <w:lvl w:ilvl="0">
      <w:lvlJc w:val="left"/>
      <w:lvlText w:val="%1:"/>
      <w:numFmt w:val="upperLetter"/>
      <w:start w:val="1"/>
    </w:lvl>
  </w:abstractNum>
  <w:abstractNum w:abstractNumId="148">
    <w:nsid w:val="435D38D"/>
    <w:multiLevelType w:val="hybridMultilevel"/>
    <w:lvl w:ilvl="0">
      <w:lvlJc w:val="left"/>
      <w:lvlText w:val="%1:"/>
      <w:numFmt w:val="upperLetter"/>
      <w:start w:val="17"/>
    </w:lvl>
  </w:abstractNum>
  <w:abstractNum w:abstractNumId="149">
    <w:nsid w:val="822C0EF"/>
    <w:multiLevelType w:val="hybridMultilevel"/>
    <w:lvl w:ilvl="0">
      <w:lvlJc w:val="left"/>
      <w:lvlText w:val="%1:"/>
      <w:numFmt w:val="upperLetter"/>
      <w:start w:val="1"/>
    </w:lvl>
  </w:abstractNum>
  <w:abstractNum w:abstractNumId="150">
    <w:nsid w:val="57C5BB4F"/>
    <w:multiLevelType w:val="hybridMultilevel"/>
    <w:lvl w:ilvl="0">
      <w:lvlJc w:val="left"/>
      <w:lvlText w:val="%1:"/>
      <w:numFmt w:val="upperLetter"/>
      <w:start w:val="17"/>
    </w:lvl>
  </w:abstractNum>
  <w:abstractNum w:abstractNumId="151">
    <w:nsid w:val="1803D089"/>
    <w:multiLevelType w:val="hybridMultilevel"/>
    <w:lvl w:ilvl="0">
      <w:lvlJc w:val="left"/>
      <w:lvlText w:val="%1:"/>
      <w:numFmt w:val="upperLetter"/>
      <w:start w:val="1"/>
    </w:lvl>
  </w:abstractNum>
  <w:abstractNum w:abstractNumId="152">
    <w:nsid w:val="4F3A06D4"/>
    <w:multiLevelType w:val="hybridMultilevel"/>
    <w:lvl w:ilvl="0">
      <w:lvlJc w:val="left"/>
      <w:lvlText w:val="%1:"/>
      <w:numFmt w:val="upperLetter"/>
      <w:start w:val="17"/>
    </w:lvl>
  </w:abstractNum>
  <w:abstractNum w:abstractNumId="153">
    <w:nsid w:val="59A377B6"/>
    <w:multiLevelType w:val="hybridMultilevel"/>
    <w:lvl w:ilvl="0">
      <w:lvlJc w:val="left"/>
      <w:lvlText w:val="%1:"/>
      <w:numFmt w:val="upperLetter"/>
      <w:start w:val="1"/>
    </w:lvl>
  </w:abstractNum>
  <w:abstractNum w:abstractNumId="154">
    <w:nsid w:val="48AEB063"/>
    <w:multiLevelType w:val="hybridMultilevel"/>
    <w:lvl w:ilvl="0">
      <w:lvlJc w:val="left"/>
      <w:lvlText w:val="%1:"/>
      <w:numFmt w:val="upperLetter"/>
      <w:start w:val="17"/>
    </w:lvl>
  </w:abstractNum>
  <w:abstractNum w:abstractNumId="155">
    <w:nsid w:val="24E135"/>
    <w:multiLevelType w:val="hybridMultilevel"/>
    <w:lvl w:ilvl="0">
      <w:lvlJc w:val="left"/>
      <w:lvlText w:val="%1:"/>
      <w:numFmt w:val="upperLetter"/>
      <w:start w:val="1"/>
    </w:lvl>
  </w:abstractNum>
  <w:abstractNum w:abstractNumId="156">
    <w:nsid w:val="BB13C1"/>
    <w:multiLevelType w:val="hybridMultilevel"/>
    <w:lvl w:ilvl="0">
      <w:lvlJc w:val="left"/>
      <w:lvlText w:val="%1:"/>
      <w:numFmt w:val="upperLetter"/>
      <w:start w:val="17"/>
    </w:lvl>
  </w:abstractNum>
  <w:abstractNum w:abstractNumId="157">
    <w:nsid w:val="271210C7"/>
    <w:multiLevelType w:val="hybridMultilevel"/>
    <w:lvl w:ilvl="0">
      <w:lvlJc w:val="left"/>
      <w:lvlText w:val="%1:"/>
      <w:numFmt w:val="upperLetter"/>
      <w:start w:val="1"/>
    </w:lvl>
  </w:abstractNum>
  <w:abstractNum w:abstractNumId="158">
    <w:nsid w:val="217B22E4"/>
    <w:multiLevelType w:val="hybridMultilevel"/>
    <w:lvl w:ilvl="0">
      <w:lvlJc w:val="left"/>
      <w:lvlText w:val="%1:"/>
      <w:numFmt w:val="upperLetter"/>
      <w:start w:val="17"/>
    </w:lvl>
  </w:abstractNum>
  <w:abstractNum w:abstractNumId="159">
    <w:nsid w:val="53E31A24"/>
    <w:multiLevelType w:val="hybridMultilevel"/>
    <w:lvl w:ilvl="0">
      <w:lvlJc w:val="left"/>
      <w:lvlText w:val="%1:"/>
      <w:numFmt w:val="upperLetter"/>
      <w:start w:val="1"/>
    </w:lvl>
  </w:abstractNum>
  <w:abstractNum w:abstractNumId="160">
    <w:nsid w:val="6DC45E83"/>
    <w:multiLevelType w:val="hybridMultilevel"/>
    <w:lvl w:ilvl="0">
      <w:lvlJc w:val="left"/>
      <w:lvlText w:val="%1:"/>
      <w:numFmt w:val="upperLetter"/>
      <w:start w:val="17"/>
    </w:lvl>
  </w:abstractNum>
  <w:abstractNum w:abstractNumId="161">
    <w:nsid w:val="17304A67"/>
    <w:multiLevelType w:val="hybridMultilevel"/>
    <w:lvl w:ilvl="0">
      <w:lvlJc w:val="left"/>
      <w:lvlText w:val="%1:"/>
      <w:numFmt w:val="upperLetter"/>
      <w:start w:val="1"/>
    </w:lvl>
  </w:abstractNum>
  <w:abstractNum w:abstractNumId="162">
    <w:nsid w:val="2BB180D8"/>
    <w:multiLevelType w:val="hybridMultilevel"/>
    <w:lvl w:ilvl="0">
      <w:lvlJc w:val="left"/>
      <w:lvlText w:val="%1:"/>
      <w:numFmt w:val="upperLetter"/>
      <w:start w:val="17"/>
    </w:lvl>
  </w:abstractNum>
  <w:abstractNum w:abstractNumId="163">
    <w:nsid w:val="556B69ED"/>
    <w:multiLevelType w:val="hybridMultilevel"/>
    <w:lvl w:ilvl="0">
      <w:lvlJc w:val="left"/>
      <w:lvlText w:val="%1:"/>
      <w:numFmt w:val="upperLetter"/>
      <w:start w:val="1"/>
    </w:lvl>
  </w:abstractNum>
  <w:abstractNum w:abstractNumId="164">
    <w:nsid w:val="70836196"/>
    <w:multiLevelType w:val="hybridMultilevel"/>
    <w:lvl w:ilvl="0">
      <w:lvlJc w:val="left"/>
      <w:lvlText w:val="%1:"/>
      <w:numFmt w:val="upperLetter"/>
      <w:start w:val="17"/>
    </w:lvl>
  </w:abstractNum>
  <w:abstractNum w:abstractNumId="165">
    <w:nsid w:val="539F7F12"/>
    <w:multiLevelType w:val="hybridMultilevel"/>
    <w:lvl w:ilvl="0">
      <w:lvlJc w:val="left"/>
      <w:lvlText w:val="%1:"/>
      <w:numFmt w:val="upperLetter"/>
      <w:start w:val="1"/>
    </w:lvl>
  </w:abstractNum>
  <w:abstractNum w:abstractNumId="166">
    <w:nsid w:val="2817E7EC"/>
    <w:multiLevelType w:val="hybridMultilevel"/>
    <w:lvl w:ilvl="0">
      <w:lvlJc w:val="left"/>
      <w:lvlText w:val="%1:"/>
      <w:numFmt w:val="upperLetter"/>
      <w:start w:val="17"/>
    </w:lvl>
  </w:abstractNum>
  <w:abstractNum w:abstractNumId="167">
    <w:nsid w:val="71482545"/>
    <w:multiLevelType w:val="hybridMultilevel"/>
    <w:lvl w:ilvl="0">
      <w:lvlJc w:val="left"/>
      <w:lvlText w:val="%1:"/>
      <w:numFmt w:val="upperLetter"/>
      <w:start w:val="1"/>
    </w:lvl>
  </w:abstractNum>
  <w:abstractNum w:abstractNumId="168">
    <w:nsid w:val="17D78639"/>
    <w:multiLevelType w:val="hybridMultilevel"/>
    <w:lvl w:ilvl="0">
      <w:lvlJc w:val="left"/>
      <w:lvlText w:val="%1:"/>
      <w:numFmt w:val="upperLetter"/>
      <w:start w:val="17"/>
    </w:lvl>
  </w:abstractNum>
  <w:abstractNum w:abstractNumId="169">
    <w:nsid w:val="141D2302"/>
    <w:multiLevelType w:val="hybridMultilevel"/>
    <w:lvl w:ilvl="0">
      <w:lvlJc w:val="left"/>
      <w:lvlText w:val="%1:"/>
      <w:numFmt w:val="upperLetter"/>
      <w:start w:val="1"/>
    </w:lvl>
  </w:abstractNum>
  <w:abstractNum w:abstractNumId="170">
    <w:nsid w:val="407168D8"/>
    <w:multiLevelType w:val="hybridMultilevel"/>
    <w:lvl w:ilvl="0">
      <w:lvlJc w:val="left"/>
      <w:lvlText w:val="%1:"/>
      <w:numFmt w:val="upperLetter"/>
      <w:start w:val="17"/>
    </w:lvl>
  </w:abstractNum>
  <w:abstractNum w:abstractNumId="171">
    <w:nsid w:val="6A1B45E5"/>
    <w:multiLevelType w:val="hybridMultilevel"/>
    <w:lvl w:ilvl="0">
      <w:lvlJc w:val="left"/>
      <w:lvlText w:val="%1:"/>
      <w:numFmt w:val="upperLetter"/>
      <w:start w:val="1"/>
    </w:lvl>
  </w:abstractNum>
  <w:abstractNum w:abstractNumId="172">
    <w:nsid w:val="567BD50A"/>
    <w:multiLevelType w:val="hybridMultilevel"/>
    <w:lvl w:ilvl="0">
      <w:lvlJc w:val="left"/>
      <w:lvlText w:val="%1:"/>
      <w:numFmt w:val="upperLetter"/>
      <w:start w:val="17"/>
    </w:lvl>
  </w:abstractNum>
  <w:abstractNum w:abstractNumId="173">
    <w:nsid w:val="73BBD7F8"/>
    <w:multiLevelType w:val="hybridMultilevel"/>
    <w:lvl w:ilvl="0">
      <w:lvlJc w:val="left"/>
      <w:lvlText w:val="%1:"/>
      <w:numFmt w:val="upperLetter"/>
      <w:start w:val="1"/>
    </w:lvl>
  </w:abstractNum>
  <w:abstractNum w:abstractNumId="174">
    <w:nsid w:val="1876589D"/>
    <w:multiLevelType w:val="hybridMultilevel"/>
    <w:lvl w:ilvl="0">
      <w:lvlJc w:val="left"/>
      <w:lvlText w:val="%1:"/>
      <w:numFmt w:val="upperLetter"/>
      <w:start w:val="17"/>
    </w:lvl>
  </w:abstractNum>
  <w:abstractNum w:abstractNumId="175">
    <w:nsid w:val="327FAC77"/>
    <w:multiLevelType w:val="hybridMultilevel"/>
    <w:lvl w:ilvl="0">
      <w:lvlJc w:val="left"/>
      <w:lvlText w:val="%1:"/>
      <w:numFmt w:val="upperLetter"/>
      <w:start w:val="1"/>
    </w:lvl>
  </w:abstractNum>
  <w:abstractNum w:abstractNumId="176">
    <w:nsid w:val="5A606509"/>
    <w:multiLevelType w:val="hybridMultilevel"/>
    <w:lvl w:ilvl="0">
      <w:lvlJc w:val="left"/>
      <w:lvlText w:val="%1:"/>
      <w:numFmt w:val="upperLetter"/>
      <w:start w:val="17"/>
    </w:lvl>
  </w:abstractNum>
  <w:abstractNum w:abstractNumId="177">
    <w:nsid w:val="6F38E6D1"/>
    <w:multiLevelType w:val="hybridMultilevel"/>
    <w:lvl w:ilvl="0">
      <w:lvlJc w:val="left"/>
      <w:lvlText w:val="%1:"/>
      <w:numFmt w:val="upperLetter"/>
      <w:start w:val="1"/>
    </w:lvl>
  </w:abstractNum>
  <w:abstractNum w:abstractNumId="178">
    <w:nsid w:val="46111BA5"/>
    <w:multiLevelType w:val="hybridMultilevel"/>
    <w:lvl w:ilvl="0">
      <w:lvlJc w:val="left"/>
      <w:lvlText w:val="%1:"/>
      <w:numFmt w:val="upperLetter"/>
      <w:start w:val="17"/>
    </w:lvl>
  </w:abstractNum>
  <w:abstractNum w:abstractNumId="179">
    <w:nsid w:val="5E963896"/>
    <w:multiLevelType w:val="hybridMultilevel"/>
    <w:lvl w:ilvl="0">
      <w:lvlJc w:val="left"/>
      <w:lvlText w:val="%1:"/>
      <w:numFmt w:val="upperLetter"/>
      <w:start w:val="1"/>
    </w:lvl>
  </w:abstractNum>
  <w:abstractNum w:abstractNumId="180">
    <w:nsid w:val="775BA7C1"/>
    <w:multiLevelType w:val="hybridMultilevel"/>
    <w:lvl w:ilvl="0">
      <w:lvlJc w:val="left"/>
      <w:lvlText w:val="%1:"/>
      <w:numFmt w:val="upperLetter"/>
      <w:start w:val="16"/>
    </w:lvl>
    <w:lvl w:ilvl="1">
      <w:lvlJc w:val="left"/>
      <w:lvlText w:val="•"/>
      <w:numFmt w:val="bullet"/>
      <w:start w:val="1"/>
    </w:lvl>
  </w:abstractNum>
  <w:abstractNum w:abstractNumId="181">
    <w:nsid w:val="1DD6D6F4"/>
    <w:multiLevelType w:val="hybridMultilevel"/>
    <w:lvl w:ilvl="0">
      <w:lvlJc w:val="left"/>
      <w:lvlText w:val="%1:"/>
      <w:numFmt w:val="upperLetter"/>
      <w:start w:val="1"/>
    </w:lvl>
  </w:abstractNum>
  <w:abstractNum w:abstractNumId="182">
    <w:nsid w:val="769A091F"/>
    <w:multiLevelType w:val="hybridMultilevel"/>
    <w:lvl w:ilvl="0">
      <w:lvlJc w:val="left"/>
      <w:lvlText w:val="%1:"/>
      <w:numFmt w:val="upperLetter"/>
      <w:start w:val="17"/>
    </w:lvl>
  </w:abstractNum>
  <w:abstractNum w:abstractNumId="183">
    <w:nsid w:val="4695AE95"/>
    <w:multiLevelType w:val="hybridMultilevel"/>
    <w:lvl w:ilvl="0">
      <w:lvlJc w:val="left"/>
      <w:lvlText w:val="%1:"/>
      <w:numFmt w:val="upperLetter"/>
      <w:start w:val="1"/>
    </w:lvl>
    <w:lvl w:ilvl="1">
      <w:lvlJc w:val="left"/>
      <w:lvlText w:val="•"/>
      <w:numFmt w:val="bullet"/>
      <w:start w:val="1"/>
    </w:lvl>
  </w:abstractNum>
  <w:abstractNum w:abstractNumId="184">
    <w:nsid w:val="777A4EAA"/>
    <w:multiLevelType w:val="hybridMultilevel"/>
    <w:lvl w:ilvl="0">
      <w:lvlJc w:val="left"/>
      <w:lvlText w:val="%1:"/>
      <w:numFmt w:val="upperLetter"/>
      <w:start w:val="17"/>
    </w:lvl>
  </w:abstractNum>
  <w:abstractNum w:abstractNumId="185">
    <w:nsid w:val="3F48B982"/>
    <w:multiLevelType w:val="hybridMultilevel"/>
    <w:lvl w:ilvl="0">
      <w:lvlJc w:val="left"/>
      <w:lvlText w:val="%1:"/>
      <w:numFmt w:val="upperLetter"/>
      <w:start w:val="1"/>
    </w:lvl>
  </w:abstractNum>
  <w:abstractNum w:abstractNumId="186">
    <w:nsid w:val="46BA8FCA"/>
    <w:multiLevelType w:val="hybridMultilevel"/>
    <w:lvl w:ilvl="0">
      <w:lvlJc w:val="left"/>
      <w:lvlText w:val="%1:"/>
      <w:numFmt w:val="upperLetter"/>
      <w:start w:val="17"/>
    </w:lvl>
  </w:abstractNum>
  <w:abstractNum w:abstractNumId="187">
    <w:nsid w:val="7835626C"/>
    <w:multiLevelType w:val="hybridMultilevel"/>
    <w:lvl w:ilvl="0">
      <w:lvlJc w:val="left"/>
      <w:lvlText w:val="%1:"/>
      <w:numFmt w:val="upperLetter"/>
      <w:start w:val="1"/>
    </w:lvl>
  </w:abstractNum>
  <w:abstractNum w:abstractNumId="188">
    <w:nsid w:val="665ACA49"/>
    <w:multiLevelType w:val="hybridMultilevel"/>
    <w:lvl w:ilvl="0">
      <w:lvlJc w:val="left"/>
      <w:lvlText w:val="%1:"/>
      <w:numFmt w:val="upperLetter"/>
      <w:start w:val="17"/>
    </w:lvl>
  </w:abstractNum>
  <w:abstractNum w:abstractNumId="189">
    <w:nsid w:val="6835B2AE"/>
    <w:multiLevelType w:val="hybridMultilevel"/>
    <w:lvl w:ilvl="0">
      <w:lvlJc w:val="left"/>
      <w:lvlText w:val="%1:"/>
      <w:numFmt w:val="upperLetter"/>
      <w:start w:val="1"/>
    </w:lvl>
  </w:abstractNum>
  <w:abstractNum w:abstractNumId="190">
    <w:nsid w:val="4C187C90"/>
    <w:multiLevelType w:val="hybridMultilevel"/>
    <w:lvl w:ilvl="0">
      <w:lvlJc w:val="left"/>
      <w:lvlText w:val="%1:"/>
      <w:numFmt w:val="upperLetter"/>
      <w:start w:val="17"/>
    </w:lvl>
  </w:abstractNum>
  <w:abstractNum w:abstractNumId="191">
    <w:nsid w:val="541F28CD"/>
    <w:multiLevelType w:val="hybridMultilevel"/>
    <w:lvl w:ilvl="0">
      <w:lvlJc w:val="left"/>
      <w:lvlText w:val="%1:"/>
      <w:numFmt w:val="upperLetter"/>
      <w:start w:val="1"/>
    </w:lvl>
  </w:abstractNum>
  <w:abstractNum w:abstractNumId="192">
    <w:nsid w:val="7F65FD16"/>
    <w:multiLevelType w:val="hybridMultilevel"/>
    <w:lvl w:ilvl="0">
      <w:lvlJc w:val="left"/>
      <w:lvlText w:val="%1:"/>
      <w:numFmt w:val="upperLetter"/>
      <w:start w:val="17"/>
    </w:lvl>
  </w:abstractNum>
  <w:abstractNum w:abstractNumId="193">
    <w:nsid w:val="77C9FD68"/>
    <w:multiLevelType w:val="hybridMultilevel"/>
    <w:lvl w:ilvl="0">
      <w:lvlJc w:val="left"/>
      <w:lvlText w:val="%1:"/>
      <w:numFmt w:val="upperLetter"/>
      <w:start w:val="1"/>
    </w:lvl>
  </w:abstractNum>
  <w:abstractNum w:abstractNumId="194">
    <w:nsid w:val="298A92BA"/>
    <w:multiLevelType w:val="hybridMultilevel"/>
    <w:lvl w:ilvl="0">
      <w:lvlJc w:val="left"/>
      <w:lvlText w:val="%1:"/>
      <w:numFmt w:val="upperLetter"/>
      <w:start w:val="17"/>
    </w:lvl>
  </w:abstractNum>
  <w:abstractNum w:abstractNumId="195">
    <w:nsid w:val="6FE95EAC"/>
    <w:multiLevelType w:val="hybridMultilevel"/>
    <w:lvl w:ilvl="0">
      <w:lvlJc w:val="left"/>
      <w:lvlText w:val="%1:"/>
      <w:numFmt w:val="upperLetter"/>
      <w:start w:val="1"/>
    </w:lvl>
  </w:abstractNum>
  <w:abstractNum w:abstractNumId="196">
    <w:nsid w:val="4B697C7A"/>
    <w:multiLevelType w:val="hybridMultilevel"/>
    <w:lvl w:ilvl="0">
      <w:lvlJc w:val="left"/>
      <w:lvlText w:val="%1:"/>
      <w:numFmt w:val="upperLetter"/>
      <w:start w:val="17"/>
    </w:lvl>
  </w:abstractNum>
  <w:abstractNum w:abstractNumId="197">
    <w:nsid w:val="51A27AA6"/>
    <w:multiLevelType w:val="hybridMultilevel"/>
    <w:lvl w:ilvl="0">
      <w:lvlJc w:val="left"/>
      <w:lvlText w:val="%1:"/>
      <w:numFmt w:val="upperLetter"/>
      <w:start w:val="1"/>
    </w:lvl>
  </w:abstractNum>
  <w:abstractNum w:abstractNumId="198">
    <w:nsid w:val="613183F2"/>
    <w:multiLevelType w:val="hybridMultilevel"/>
    <w:lvl w:ilvl="0">
      <w:lvlJc w:val="left"/>
      <w:lvlText w:val="%1:"/>
      <w:numFmt w:val="upperLetter"/>
      <w:start w:val="17"/>
    </w:lvl>
  </w:abstractNum>
  <w:abstractNum w:abstractNumId="199">
    <w:nsid w:val="634102B4"/>
    <w:multiLevelType w:val="hybridMultilevel"/>
    <w:lvl w:ilvl="0">
      <w:lvlJc w:val="left"/>
      <w:lvlText w:val="%1:"/>
      <w:numFmt w:val="upperLetter"/>
      <w:start w:val="1"/>
    </w:lvl>
  </w:abstractNum>
  <w:abstractNum w:abstractNumId="200">
    <w:nsid w:val="65BF9DA8"/>
    <w:multiLevelType w:val="hybridMultilevel"/>
    <w:lvl w:ilvl="0">
      <w:lvlJc w:val="left"/>
      <w:lvlText w:val="%1:"/>
      <w:numFmt w:val="upperLetter"/>
      <w:start w:val="17"/>
    </w:lvl>
  </w:abstractNum>
  <w:abstractNum w:abstractNumId="201">
    <w:nsid w:val="21A2ECCA"/>
    <w:multiLevelType w:val="hybridMultilevel"/>
    <w:lvl w:ilvl="0">
      <w:lvlJc w:val="left"/>
      <w:lvlText w:val="%1:"/>
      <w:numFmt w:val="upperLetter"/>
      <w:start w:val="1"/>
    </w:lvl>
  </w:abstractNum>
  <w:abstractNum w:abstractNumId="202">
    <w:nsid w:val="4D5C4899"/>
    <w:multiLevelType w:val="hybridMultilevel"/>
    <w:lvl w:ilvl="0">
      <w:lvlJc w:val="left"/>
      <w:lvlText w:val="%1:"/>
      <w:numFmt w:val="upperLetter"/>
      <w:start w:val="17"/>
    </w:lvl>
  </w:abstractNum>
  <w:abstractNum w:abstractNumId="203">
    <w:nsid w:val="3C3B72B2"/>
    <w:multiLevelType w:val="hybridMultilevel"/>
    <w:lvl w:ilvl="0">
      <w:lvlJc w:val="left"/>
      <w:lvlText w:val="%1:"/>
      <w:numFmt w:val="upperLetter"/>
      <w:start w:val="1"/>
    </w:lvl>
  </w:abstractNum>
  <w:abstractNum w:abstractNumId="204">
    <w:nsid w:val="155EC4C2"/>
    <w:multiLevelType w:val="hybridMultilevel"/>
    <w:lvl w:ilvl="0">
      <w:lvlJc w:val="left"/>
      <w:lvlText w:val="%1:"/>
      <w:numFmt w:val="upperLetter"/>
      <w:start w:val="17"/>
    </w:lvl>
  </w:abstractNum>
  <w:abstractNum w:abstractNumId="205">
    <w:nsid w:val="65D2A137"/>
    <w:multiLevelType w:val="hybridMultilevel"/>
    <w:lvl w:ilvl="0">
      <w:lvlJc w:val="left"/>
      <w:lvlText w:val="%1:"/>
      <w:numFmt w:val="upperLetter"/>
      <w:start w:val="1"/>
    </w:lvl>
  </w:abstractNum>
  <w:abstractNum w:abstractNumId="206">
    <w:nsid w:val="6EBB1F2A"/>
    <w:multiLevelType w:val="hybridMultilevel"/>
    <w:lvl w:ilvl="0">
      <w:lvlJc w:val="left"/>
      <w:lvlText w:val="%1:"/>
      <w:numFmt w:val="upperLetter"/>
      <w:start w:val="17"/>
    </w:lvl>
  </w:abstractNum>
  <w:abstractNum w:abstractNumId="207">
    <w:nsid w:val="6FBF29CB"/>
    <w:multiLevelType w:val="hybridMultilevel"/>
    <w:lvl w:ilvl="0">
      <w:lvlJc w:val="left"/>
      <w:lvlText w:val="%1:"/>
      <w:numFmt w:val="upperLetter"/>
      <w:start w:val="1"/>
    </w:lvl>
  </w:abstractNum>
  <w:abstractNum w:abstractNumId="208">
    <w:nsid w:val="550B8808"/>
    <w:multiLevelType w:val="hybridMultilevel"/>
    <w:lvl w:ilvl="0">
      <w:lvlJc w:val="left"/>
      <w:lvlText w:val="%1:"/>
      <w:numFmt w:val="upperLetter"/>
      <w:start w:val="17"/>
    </w:lvl>
  </w:abstractNum>
  <w:abstractNum w:abstractNumId="209">
    <w:nsid w:val="34CC3ACF"/>
    <w:multiLevelType w:val="hybridMultilevel"/>
    <w:lvl w:ilvl="0">
      <w:lvlJc w:val="left"/>
      <w:lvlText w:val="%1:"/>
      <w:numFmt w:val="upperLetter"/>
      <w:start w:val="1"/>
    </w:lvl>
  </w:abstractNum>
  <w:abstractNum w:abstractNumId="210">
    <w:nsid w:val="4E556261"/>
    <w:multiLevelType w:val="hybridMultilevel"/>
    <w:lvl w:ilvl="0">
      <w:lvlJc w:val="left"/>
      <w:lvlText w:val="%1:"/>
      <w:numFmt w:val="upperLetter"/>
      <w:start w:val="17"/>
    </w:lvl>
  </w:abstractNum>
  <w:abstractNum w:abstractNumId="211">
    <w:nsid w:val="4C672FC9"/>
    <w:multiLevelType w:val="hybridMultilevel"/>
    <w:lvl w:ilvl="0">
      <w:lvlJc w:val="left"/>
      <w:lvlText w:val="%1:"/>
      <w:numFmt w:val="upperLetter"/>
      <w:start w:val="1"/>
    </w:lvl>
  </w:abstractNum>
  <w:abstractNum w:abstractNumId="212">
    <w:nsid w:val="52A311C3"/>
    <w:multiLevelType w:val="hybridMultilevel"/>
    <w:lvl w:ilvl="0">
      <w:lvlJc w:val="left"/>
      <w:lvlText w:val="•"/>
      <w:numFmt w:val="bullet"/>
      <w:start w:val="1"/>
    </w:lvl>
  </w:abstractNum>
  <w:abstractNum w:abstractNumId="213">
    <w:nsid w:val="44EF6B80"/>
    <w:multiLevelType w:val="hybridMultilevel"/>
    <w:lvl w:ilvl="0">
      <w:lvlJc w:val="left"/>
      <w:lvlText w:val="•"/>
      <w:numFmt w:val="bullet"/>
      <w:start w:val="1"/>
    </w:lvl>
  </w:abstractNum>
  <w:abstractNum w:abstractNumId="214">
    <w:nsid w:val="12FCDE5E"/>
    <w:multiLevelType w:val="hybridMultilevel"/>
    <w:lvl w:ilvl="0">
      <w:lvlJc w:val="left"/>
      <w:lvlText w:val="•"/>
      <w:numFmt w:val="bullet"/>
      <w:start w:val="1"/>
    </w:lvl>
  </w:abstractNum>
  <w:abstractNum w:abstractNumId="215">
    <w:nsid w:val="4A1D606E"/>
    <w:multiLevelType w:val="hybridMultilevel"/>
    <w:lvl w:ilvl="0">
      <w:lvlJc w:val="left"/>
      <w:lvlText w:val="•"/>
      <w:numFmt w:val="bullet"/>
      <w:start w:val="1"/>
    </w:lvl>
  </w:abstractNum>
  <w:abstractNum w:abstractNumId="216">
    <w:nsid w:val="4382503"/>
    <w:multiLevelType w:val="hybridMultilevel"/>
    <w:lvl w:ilvl="0">
      <w:lvlJc w:val="left"/>
      <w:lvlText w:val="•"/>
      <w:numFmt w:val="bullet"/>
      <w:start w:val="1"/>
    </w:lvl>
  </w:abstractNum>
  <w:abstractNum w:abstractNumId="217">
    <w:nsid w:val="59B76E28"/>
    <w:multiLevelType w:val="hybridMultilevel"/>
    <w:lvl w:ilvl="0">
      <w:lvlJc w:val="left"/>
      <w:lvlText w:val="•"/>
      <w:numFmt w:val="bullet"/>
      <w:start w:val="1"/>
    </w:lvl>
  </w:abstractNum>
  <w:abstractNum w:abstractNumId="218">
    <w:nsid w:val="4252C2DA"/>
    <w:multiLevelType w:val="hybridMultilevel"/>
    <w:lvl w:ilvl="0">
      <w:lvlJc w:val="left"/>
      <w:lvlText w:val="•"/>
      <w:numFmt w:val="bullet"/>
      <w:start w:val="1"/>
    </w:lvl>
  </w:abstractNum>
  <w:abstractNum w:abstractNumId="219">
    <w:nsid w:val="6A92EF4C"/>
    <w:multiLevelType w:val="hybridMultilevel"/>
    <w:lvl w:ilvl="0">
      <w:lvlJc w:val="left"/>
      <w:lvlText w:val="•"/>
      <w:numFmt w:val="bullet"/>
      <w:start w:val="1"/>
    </w:lvl>
  </w:abstractNum>
  <w:abstractNum w:abstractNumId="220">
    <w:nsid w:val="41ED20D7"/>
    <w:multiLevelType w:val="hybridMultilevel"/>
    <w:lvl w:ilvl="0">
      <w:lvlJc w:val="left"/>
      <w:lvlText w:val="(%1)"/>
      <w:numFmt w:val="decimal"/>
      <w:start w:val="1"/>
    </w:lvl>
  </w:abstractNum>
  <w:abstractNum w:abstractNumId="221">
    <w:nsid w:val="E6B3F6A"/>
    <w:multiLevelType w:val="hybridMultilevel"/>
    <w:lvl w:ilvl="0">
      <w:lvlJc w:val="left"/>
      <w:lvlText w:val="(%1)"/>
      <w:numFmt w:val="decimal"/>
      <w:start w:val="10"/>
    </w:lvl>
  </w:abstractNum>
  <w:abstractNum w:abstractNumId="222">
    <w:nsid w:val="3EB21819"/>
    <w:multiLevelType w:val="hybridMultilevel"/>
    <w:lvl w:ilvl="0">
      <w:lvlJc w:val="left"/>
      <w:lvlText w:val="•"/>
      <w:numFmt w:val="bullet"/>
      <w:start w:val="1"/>
    </w:lvl>
  </w:abstractNum>
  <w:abstractNum w:abstractNumId="223">
    <w:nsid w:val="41531DED"/>
    <w:multiLevelType w:val="hybridMultilevel"/>
    <w:lvl w:ilvl="0">
      <w:lvlJc w:val="left"/>
      <w:lvlText w:val="•"/>
      <w:numFmt w:val="bullet"/>
      <w:start w:val="1"/>
    </w:lvl>
  </w:abstractNum>
  <w:abstractNum w:abstractNumId="224">
    <w:nsid w:val="6353CD2"/>
    <w:multiLevelType w:val="hybridMultilevel"/>
    <w:lvl w:ilvl="0">
      <w:lvlJc w:val="left"/>
      <w:lvlText w:val="•"/>
      <w:numFmt w:val="bullet"/>
      <w:start w:val="1"/>
    </w:lvl>
  </w:abstractNum>
  <w:abstractNum w:abstractNumId="225">
    <w:nsid w:val="683CAAD3"/>
    <w:multiLevelType w:val="hybridMultilevel"/>
    <w:lvl w:ilvl="0">
      <w:lvlJc w:val="left"/>
      <w:lvlText w:val="•"/>
      <w:numFmt w:val="bullet"/>
      <w:start w:val="1"/>
    </w:lvl>
  </w:abstractNum>
  <w:abstractNum w:abstractNumId="226">
    <w:nsid w:val="313C7C99"/>
    <w:multiLevelType w:val="hybridMultilevel"/>
    <w:lvl w:ilvl="0">
      <w:lvlJc w:val="left"/>
      <w:lvlText w:val="•"/>
      <w:numFmt w:val="bullet"/>
      <w:start w:val="1"/>
    </w:lvl>
  </w:abstractNum>
  <w:abstractNum w:abstractNumId="227">
    <w:nsid w:val="519EB94C"/>
    <w:multiLevelType w:val="hybridMultilevel"/>
    <w:lvl w:ilvl="0">
      <w:lvlJc w:val="left"/>
      <w:lvlText w:val="•"/>
      <w:numFmt w:val="bullet"/>
      <w:start w:val="1"/>
    </w:lvl>
  </w:abstractNum>
  <w:abstractNum w:abstractNumId="228">
    <w:nsid w:val="39DF2579"/>
    <w:multiLevelType w:val="hybridMultilevel"/>
    <w:lvl w:ilvl="0">
      <w:lvlJc w:val="left"/>
      <w:lvlText w:val="•"/>
      <w:numFmt w:val="bullet"/>
      <w:start w:val="1"/>
    </w:lvl>
  </w:abstractNum>
  <w:abstractNum w:abstractNumId="229">
    <w:nsid w:val="126E008B"/>
    <w:multiLevelType w:val="hybridMultilevel"/>
    <w:lvl w:ilvl="0">
      <w:lvlJc w:val="left"/>
      <w:lvlText w:val="•"/>
      <w:numFmt w:val="bullet"/>
      <w:start w:val="1"/>
    </w:lvl>
  </w:abstractNum>
  <w:abstractNum w:abstractNumId="230">
    <w:nsid w:val="34DFBC00"/>
    <w:multiLevelType w:val="hybridMultilevel"/>
    <w:lvl w:ilvl="0">
      <w:lvlJc w:val="left"/>
      <w:lvlText w:val="•"/>
      <w:numFmt w:val="bullet"/>
      <w:start w:val="1"/>
    </w:lvl>
  </w:abstractNum>
  <w:abstractNum w:abstractNumId="231">
    <w:nsid w:val="1F9EC322"/>
    <w:multiLevelType w:val="hybridMultilevel"/>
    <w:lvl w:ilvl="0">
      <w:lvlJc w:val="left"/>
      <w:lvlText w:val="•"/>
      <w:numFmt w:val="bullet"/>
      <w:start w:val="1"/>
    </w:lvl>
  </w:abstractNum>
  <w:abstractNum w:abstractNumId="232">
    <w:nsid w:val="3410ED56"/>
    <w:multiLevelType w:val="hybridMultilevel"/>
    <w:lvl w:ilvl="0">
      <w:lvlJc w:val="left"/>
      <w:lvlText w:val="•"/>
      <w:numFmt w:val="bullet"/>
      <w:start w:val="1"/>
    </w:lvl>
  </w:abstractNum>
  <w:abstractNum w:abstractNumId="233">
    <w:nsid w:val="23C049A"/>
    <w:multiLevelType w:val="hybridMultilevel"/>
    <w:lvl w:ilvl="0">
      <w:lvlJc w:val="left"/>
      <w:lvlText w:val="•"/>
      <w:numFmt w:val="bullet"/>
      <w:start w:val="1"/>
    </w:lvl>
  </w:abstractNum>
  <w:abstractNum w:abstractNumId="234">
    <w:nsid w:val="5BDA35D4"/>
    <w:multiLevelType w:val="hybridMultilevel"/>
    <w:lvl w:ilvl="0">
      <w:lvlJc w:val="left"/>
      <w:lvlText w:val="(%1)"/>
      <w:numFmt w:val="lowerRoman"/>
      <w:start w:val="2"/>
    </w:lvl>
  </w:abstractNum>
  <w:abstractNum w:abstractNumId="235">
    <w:nsid w:val="496FB218"/>
    <w:multiLevelType w:val="hybridMultilevel"/>
    <w:lvl w:ilvl="0">
      <w:lvlJc w:val="left"/>
      <w:lvlText w:val="•"/>
      <w:numFmt w:val="bullet"/>
      <w:start w:val="1"/>
    </w:lvl>
  </w:abstractNum>
  <w:abstractNum w:abstractNumId="236">
    <w:nsid w:val="680EA5D1"/>
    <w:multiLevelType w:val="hybridMultilevel"/>
    <w:lvl w:ilvl="0">
      <w:lvlJc w:val="left"/>
      <w:lvlText w:val="•"/>
      <w:numFmt w:val="bullet"/>
      <w:start w:val="1"/>
    </w:lvl>
  </w:abstractNum>
  <w:abstractNum w:abstractNumId="237">
    <w:nsid w:val="4A9554FE"/>
    <w:multiLevelType w:val="hybridMultilevel"/>
    <w:lvl w:ilvl="0">
      <w:lvlJc w:val="left"/>
      <w:lvlText w:val="•"/>
      <w:numFmt w:val="bullet"/>
      <w:start w:val="1"/>
    </w:lvl>
  </w:abstractNum>
  <w:abstractNum w:abstractNumId="238">
    <w:nsid w:val="392EDBE4"/>
    <w:multiLevelType w:val="hybridMultilevel"/>
    <w:lvl w:ilvl="0">
      <w:lvlJc w:val="left"/>
      <w:lvlText w:val="•"/>
      <w:numFmt w:val="bullet"/>
      <w:start w:val="1"/>
    </w:lvl>
  </w:abstractNum>
  <w:abstractNum w:abstractNumId="239">
    <w:nsid w:val="3D1A2DD9"/>
    <w:multiLevelType w:val="hybridMultilevel"/>
    <w:lvl w:ilvl="0">
      <w:lvlJc w:val="left"/>
      <w:lvlText w:val="•"/>
      <w:numFmt w:val="bullet"/>
      <w:start w:val="1"/>
    </w:lvl>
  </w:abstractNum>
  <w:abstractNum w:abstractNumId="240">
    <w:nsid w:val="7F618FCD"/>
    <w:multiLevelType w:val="hybridMultilevel"/>
    <w:lvl w:ilvl="0">
      <w:lvlJc w:val="left"/>
      <w:lvlText w:val="•"/>
      <w:numFmt w:val="bullet"/>
      <w:start w:val="1"/>
    </w:lvl>
  </w:abstractNum>
  <w:abstractNum w:abstractNumId="241">
    <w:nsid w:val="7843E45"/>
    <w:multiLevelType w:val="hybridMultilevel"/>
    <w:lvl w:ilvl="0">
      <w:lvlJc w:val="left"/>
      <w:lvlText w:val="•"/>
      <w:numFmt w:val="bullet"/>
      <w:start w:val="1"/>
    </w:lvl>
  </w:abstractNum>
  <w:abstractNum w:abstractNumId="242">
    <w:nsid w:val="9815DA3"/>
    <w:multiLevelType w:val="hybridMultilevel"/>
    <w:lvl w:ilvl="0">
      <w:lvlJc w:val="left"/>
      <w:lvlText w:val="•"/>
      <w:numFmt w:val="bullet"/>
      <w:start w:val="1"/>
    </w:lvl>
  </w:abstractNum>
  <w:abstractNum w:abstractNumId="243">
    <w:nsid w:val="5204A191"/>
    <w:multiLevelType w:val="hybridMultilevel"/>
    <w:lvl w:ilvl="0">
      <w:lvlJc w:val="left"/>
      <w:lvlText w:val="(%1)"/>
      <w:numFmt w:val="lowerLetter"/>
      <w:start w:val="1"/>
    </w:lvl>
  </w:abstractNum>
  <w:abstractNum w:abstractNumId="244">
    <w:nsid w:val="4C73A9C6"/>
    <w:multiLevelType w:val="hybridMultilevel"/>
    <w:lvl w:ilvl="0">
      <w:lvlJc w:val="left"/>
      <w:lvlText w:val="(%1)"/>
      <w:numFmt w:val="lowerLetter"/>
      <w:start w:val="2"/>
    </w:lvl>
  </w:abstractNum>
  <w:abstractNum w:abstractNumId="245">
    <w:nsid w:val="1C7E3C01"/>
    <w:multiLevelType w:val="hybridMultilevel"/>
    <w:lvl w:ilvl="0">
      <w:lvlJc w:val="left"/>
      <w:lvlText w:val="(%1)"/>
      <w:numFmt w:val="lowerLetter"/>
      <w:start w:val="3"/>
    </w:lvl>
  </w:abstractNum>
  <w:abstractNum w:abstractNumId="246">
    <w:nsid w:val="1C2201FF"/>
    <w:multiLevelType w:val="hybridMultilevel"/>
    <w:lvl w:ilvl="0">
      <w:lvlJc w:val="left"/>
      <w:lvlText w:val="$"/>
      <w:numFmt w:val="bullet"/>
      <w:start w:val="1"/>
    </w:lvl>
  </w:abstractNum>
  <w:abstractNum w:abstractNumId="247">
    <w:nsid w:val="50ABCEC9"/>
    <w:multiLevelType w:val="hybridMultilevel"/>
    <w:lvl w:ilvl="0">
      <w:lvlJc w:val="left"/>
      <w:lvlText w:val="$"/>
      <w:numFmt w:val="bullet"/>
      <w:start w:val="1"/>
    </w:lvl>
  </w:abstractNum>
  <w:abstractNum w:abstractNumId="248">
    <w:nsid w:val="7635AA2A"/>
    <w:multiLevelType w:val="hybridMultilevel"/>
    <w:lvl w:ilvl="0">
      <w:lvlJc w:val="left"/>
      <w:lvlText w:val="(%1)"/>
      <w:numFmt w:val="lowerLetter"/>
      <w:start w:val="4"/>
    </w:lvl>
  </w:abstractNum>
  <w:abstractNum w:abstractNumId="249">
    <w:nsid w:val="5E74C4D9"/>
    <w:multiLevelType w:val="hybridMultilevel"/>
    <w:lvl w:ilvl="0">
      <w:lvlJc w:val="left"/>
      <w:lvlText w:val="(%1)"/>
      <w:numFmt w:val="lowerLetter"/>
      <w:start w:val="8"/>
    </w:lvl>
  </w:abstractNum>
  <w:abstractNum w:abstractNumId="250">
    <w:nsid w:val="3B3EBE15"/>
    <w:multiLevelType w:val="hybridMultilevel"/>
    <w:lvl w:ilvl="0">
      <w:lvlJc w:val="left"/>
      <w:lvlText w:val="(%1)"/>
      <w:numFmt w:val="lowerRoman"/>
      <w:start w:val="1"/>
    </w:lvl>
  </w:abstractNum>
  <w:abstractNum w:abstractNumId="251">
    <w:nsid w:val="3822CB01"/>
    <w:multiLevelType w:val="hybridMultilevel"/>
    <w:lvl w:ilvl="0">
      <w:lvlJc w:val="left"/>
      <w:lvlText w:val="(%1)"/>
      <w:numFmt w:val="lowerLetter"/>
      <w:start w:val="10"/>
    </w:lvl>
  </w:abstractNum>
  <w:abstractNum w:abstractNumId="252">
    <w:nsid w:val="6CE00443"/>
    <w:multiLevelType w:val="hybridMultilevel"/>
    <w:lvl w:ilvl="0">
      <w:lvlJc w:val="left"/>
      <w:lvlText w:val="(%1)"/>
      <w:numFmt w:val="lowerLetter"/>
      <w:start w:val="11"/>
    </w:lvl>
  </w:abstractNum>
  <w:abstractNum w:abstractNumId="253">
    <w:nsid w:val="79F0D62F"/>
    <w:multiLevelType w:val="hybridMultilevel"/>
    <w:lvl w:ilvl="0">
      <w:lvlJc w:val="left"/>
      <w:lvlText w:val="(%1)"/>
      <w:numFmt w:val="lowerLetter"/>
      <w:start w:val="12"/>
    </w:lvl>
  </w:abstractNum>
  <w:abstractNum w:abstractNumId="254">
    <w:nsid w:val="7975E8EE"/>
    <w:multiLevelType w:val="hybridMultilevel"/>
    <w:lvl w:ilvl="0">
      <w:lvlJc w:val="left"/>
      <w:lvlText w:val="•"/>
      <w:numFmt w:val="bullet"/>
      <w:start w:val="1"/>
    </w:lvl>
  </w:abstractNum>
  <w:abstractNum w:abstractNumId="255">
    <w:nsid w:val="73154115"/>
    <w:multiLevelType w:val="hybridMultilevel"/>
    <w:lvl w:ilvl="0">
      <w:lvlJc w:val="left"/>
      <w:lvlText w:val="(%1)"/>
      <w:numFmt w:val="decimal"/>
      <w:start w:val="1"/>
    </w:lvl>
  </w:abstractNum>
  <w:abstractNum w:abstractNumId="256">
    <w:nsid w:val="622D8102"/>
    <w:multiLevelType w:val="hybridMultilevel"/>
    <w:lvl w:ilvl="0">
      <w:lvlJc w:val="left"/>
      <w:lvlText w:val="•"/>
      <w:numFmt w:val="bullet"/>
      <w:start w:val="1"/>
    </w:lvl>
  </w:abstractNum>
  <w:abstractNum w:abstractNumId="257">
    <w:nsid w:val="2AB26587"/>
    <w:multiLevelType w:val="hybridMultilevel"/>
    <w:lvl w:ilvl="0">
      <w:lvlJc w:val="left"/>
      <w:lvlText w:val="•"/>
      <w:numFmt w:val="bullet"/>
      <w:start w:val="1"/>
    </w:lvl>
  </w:abstractNum>
  <w:abstractNum w:abstractNumId="258">
    <w:nsid w:val="44B3FA61"/>
    <w:multiLevelType w:val="hybridMultilevel"/>
    <w:lvl w:ilvl="0">
      <w:lvlJc w:val="left"/>
      <w:lvlText w:val="•"/>
      <w:numFmt w:val="bullet"/>
      <w:start w:val="1"/>
    </w:lvl>
  </w:abstractNum>
  <w:abstractNum w:abstractNumId="259">
    <w:nsid w:val="1C0CA67C"/>
    <w:multiLevelType w:val="hybridMultilevel"/>
    <w:lvl w:ilvl="0">
      <w:lvlJc w:val="left"/>
      <w:lvlText w:val="•"/>
      <w:numFmt w:val="bullet"/>
      <w:start w:val="1"/>
    </w:lvl>
  </w:abstractNum>
  <w:abstractNum w:abstractNumId="260">
    <w:nsid w:val="3D206613"/>
    <w:multiLevelType w:val="hybridMultilevel"/>
    <w:lvl w:ilvl="0">
      <w:lvlJc w:val="left"/>
      <w:lvlText w:val="•"/>
      <w:numFmt w:val="bullet"/>
      <w:start w:val="1"/>
    </w:lvl>
  </w:abstractNum>
  <w:abstractNum w:abstractNumId="261">
    <w:nsid w:val="7993B662"/>
    <w:multiLevelType w:val="hybridMultilevel"/>
    <w:lvl w:ilvl="0">
      <w:lvlJc w:val="left"/>
      <w:lvlText w:val="•"/>
      <w:numFmt w:val="bullet"/>
      <w:start w:val="1"/>
    </w:lvl>
  </w:abstractNum>
  <w:abstractNum w:abstractNumId="262">
    <w:nsid w:val="3BAB699E"/>
    <w:multiLevelType w:val="hybridMultilevel"/>
    <w:lvl w:ilvl="0">
      <w:lvlJc w:val="left"/>
      <w:lvlText w:val="•"/>
      <w:numFmt w:val="bullet"/>
      <w:start w:val="1"/>
    </w:lvl>
  </w:abstractNum>
  <w:abstractNum w:abstractNumId="263">
    <w:nsid w:val="71315369"/>
    <w:multiLevelType w:val="hybridMultilevel"/>
    <w:lvl w:ilvl="0">
      <w:lvlJc w:val="left"/>
      <w:lvlText w:val="•"/>
      <w:numFmt w:val="bullet"/>
      <w:start w:val="1"/>
    </w:lvl>
  </w:abstractNum>
  <w:abstractNum w:abstractNumId="264">
    <w:nsid w:val="7BCFBAFC"/>
    <w:multiLevelType w:val="hybridMultilevel"/>
    <w:lvl w:ilvl="0">
      <w:lvlJc w:val="left"/>
      <w:lvlText w:val="•"/>
      <w:numFmt w:val="bullet"/>
      <w:start w:val="1"/>
    </w:lvl>
  </w:abstractNum>
  <w:abstractNum w:abstractNumId="265">
    <w:nsid w:val="17859F72"/>
    <w:multiLevelType w:val="hybridMultilevel"/>
    <w:lvl w:ilvl="0">
      <w:lvlJc w:val="left"/>
      <w:lvlText w:val="•"/>
      <w:numFmt w:val="bullet"/>
      <w:start w:val="1"/>
    </w:lvl>
  </w:abstractNum>
  <w:abstractNum w:abstractNumId="266">
    <w:nsid w:val="3AA10581"/>
    <w:multiLevelType w:val="hybridMultilevel"/>
    <w:lvl w:ilvl="0">
      <w:lvlJc w:val="left"/>
      <w:lvlText w:val="•"/>
      <w:numFmt w:val="bullet"/>
      <w:start w:val="1"/>
    </w:lvl>
  </w:abstractNum>
  <w:abstractNum w:abstractNumId="267">
    <w:nsid w:val="63DE60CD"/>
    <w:multiLevelType w:val="hybridMultilevel"/>
    <w:lvl w:ilvl="0">
      <w:lvlJc w:val="left"/>
      <w:lvlText w:val="•"/>
      <w:numFmt w:val="bullet"/>
      <w:start w:val="1"/>
    </w:lvl>
  </w:abstractNum>
  <w:abstractNum w:abstractNumId="268">
    <w:nsid w:val="621AF471"/>
    <w:multiLevelType w:val="hybridMultilevel"/>
    <w:lvl w:ilvl="0">
      <w:lvlJc w:val="left"/>
      <w:lvlText w:val="•"/>
      <w:numFmt w:val="bullet"/>
      <w:start w:val="1"/>
    </w:lvl>
  </w:abstractNum>
  <w:abstractNum w:abstractNumId="269">
    <w:nsid w:val="73CFE165"/>
    <w:multiLevelType w:val="hybridMultilevel"/>
    <w:lvl w:ilvl="0">
      <w:lvlJc w:val="left"/>
      <w:lvlText w:val="•"/>
      <w:numFmt w:val="bullet"/>
      <w:start w:val="1"/>
    </w:lvl>
  </w:abstractNum>
  <w:abstractNum w:abstractNumId="270">
    <w:nsid w:val="20F88EA6"/>
    <w:multiLevelType w:val="hybridMultilevel"/>
    <w:lvl w:ilvl="0">
      <w:lvlJc w:val="left"/>
      <w:lvlText w:val="•"/>
      <w:numFmt w:val="bullet"/>
      <w:start w:val="1"/>
    </w:lvl>
  </w:abstractNum>
  <w:abstractNum w:abstractNumId="271">
    <w:nsid w:val="617C843E"/>
    <w:multiLevelType w:val="hybridMultilevel"/>
    <w:lvl w:ilvl="0">
      <w:lvlJc w:val="left"/>
      <w:lvlText w:val="(%1)"/>
      <w:numFmt w:val="decimal"/>
      <w:start w:val="1"/>
    </w:lvl>
  </w:abstractNum>
  <w:abstractNum w:abstractNumId="272">
    <w:nsid w:val="7B541FAB"/>
    <w:multiLevelType w:val="hybridMultilevel"/>
    <w:lvl w:ilvl="0">
      <w:lvlJc w:val="left"/>
      <w:lvlText w:val="(%1)"/>
      <w:numFmt w:val="decimal"/>
      <w:start w:val="1"/>
    </w:lvl>
  </w:abstractNum>
  <w:abstractNum w:abstractNumId="273">
    <w:nsid w:val="2A79EC49"/>
    <w:multiLevelType w:val="hybridMultilevel"/>
    <w:lvl w:ilvl="0">
      <w:lvlJc w:val="left"/>
      <w:lvlText w:val="•"/>
      <w:numFmt w:val="bullet"/>
      <w:start w:val="1"/>
    </w:lvl>
  </w:abstractNum>
  <w:abstractNum w:abstractNumId="274">
    <w:nsid w:val="338125CF"/>
    <w:multiLevelType w:val="hybridMultilevel"/>
    <w:lvl w:ilvl="0">
      <w:lvlJc w:val="left"/>
      <w:lvlText w:val="•"/>
      <w:numFmt w:val="bullet"/>
      <w:start w:val="1"/>
    </w:lvl>
  </w:abstractNum>
  <w:abstractNum w:abstractNumId="275">
    <w:nsid w:val="47C7C971"/>
    <w:multiLevelType w:val="hybridMultilevel"/>
    <w:lvl w:ilvl="0">
      <w:lvlJc w:val="left"/>
      <w:lvlText w:val="•"/>
      <w:numFmt w:val="bullet"/>
      <w:start w:val="1"/>
    </w:lvl>
  </w:abstractNum>
  <w:abstractNum w:abstractNumId="276">
    <w:nsid w:val="46F8284B"/>
    <w:multiLevelType w:val="hybridMultilevel"/>
    <w:lvl w:ilvl="0">
      <w:lvlJc w:val="left"/>
      <w:lvlText w:val="•"/>
      <w:numFmt w:val="bullet"/>
      <w:start w:val="1"/>
    </w:lvl>
  </w:abstractNum>
  <w:abstractNum w:abstractNumId="277">
    <w:nsid w:val="4FA327CE"/>
    <w:multiLevelType w:val="hybridMultilevel"/>
    <w:lvl w:ilvl="0">
      <w:lvlJc w:val="left"/>
      <w:lvlText w:val="•"/>
      <w:numFmt w:val="bullet"/>
      <w:start w:val="1"/>
    </w:lvl>
  </w:abstractNum>
  <w:abstractNum w:abstractNumId="278">
    <w:nsid w:val="1873983A"/>
    <w:multiLevelType w:val="hybridMultilevel"/>
    <w:lvl w:ilvl="0">
      <w:lvlJc w:val="left"/>
      <w:lvlText w:val="(%1)"/>
      <w:numFmt w:val="decimal"/>
      <w:start w:val="1"/>
    </w:lvl>
  </w:abstractNum>
  <w:abstractNum w:abstractNumId="279">
    <w:nsid w:val="3D2DD275"/>
    <w:multiLevelType w:val="hybridMultilevel"/>
    <w:lvl w:ilvl="0">
      <w:lvlJc w:val="left"/>
      <w:lvlText w:val="(%1)"/>
      <w:numFmt w:val="decimal"/>
      <w:start w:val="1"/>
    </w:lvl>
  </w:abstractNum>
  <w:abstractNum w:abstractNumId="280">
    <w:nsid w:val="2E17ECA7"/>
    <w:multiLevelType w:val="hybridMultilevel"/>
    <w:lvl w:ilvl="0">
      <w:lvlJc w:val="left"/>
      <w:lvlText w:val="(%1)"/>
      <w:numFmt w:val="decimal"/>
      <w:start w:val="1"/>
    </w:lvl>
  </w:abstractNum>
  <w:abstractNum w:abstractNumId="281">
    <w:nsid w:val="53B2564F"/>
    <w:multiLevelType w:val="hybridMultilevel"/>
    <w:lvl w:ilvl="0">
      <w:lvlJc w:val="left"/>
      <w:lvlText w:val="(%1)"/>
      <w:numFmt w:val="decimal"/>
      <w:start w:val="1"/>
    </w:lvl>
  </w:abstractNum>
  <w:abstractNum w:abstractNumId="282">
    <w:nsid w:val="75509D76"/>
    <w:multiLevelType w:val="hybridMultilevel"/>
    <w:lvl w:ilvl="0">
      <w:lvlJc w:val="left"/>
      <w:lvlText w:val="(%1)"/>
      <w:numFmt w:val="decimal"/>
      <w:start w:val="1"/>
    </w:lvl>
  </w:abstractNum>
  <w:abstractNum w:abstractNumId="283">
    <w:nsid w:val="1AF7F0EA"/>
    <w:multiLevelType w:val="hybridMultilevel"/>
    <w:lvl w:ilvl="0">
      <w:lvlJc w:val="left"/>
      <w:lvlText w:val="(%1)"/>
      <w:numFmt w:val="decimal"/>
      <w:start w:val="1"/>
    </w:lvl>
  </w:abstractNum>
  <w:abstractNum w:abstractNumId="284">
    <w:nsid w:val="4DA32C7E"/>
    <w:multiLevelType w:val="hybridMultilevel"/>
    <w:lvl w:ilvl="0">
      <w:lvlJc w:val="left"/>
      <w:lvlText w:val="(%1)"/>
      <w:numFmt w:val="decimal"/>
      <w:start w:val="1"/>
    </w:lvl>
  </w:abstractNum>
  <w:abstractNum w:abstractNumId="285">
    <w:nsid w:val="6EC68664"/>
    <w:multiLevelType w:val="hybridMultilevel"/>
    <w:lvl w:ilvl="0">
      <w:lvlJc w:val="left"/>
      <w:lvlText w:val="•"/>
      <w:numFmt w:val="bullet"/>
      <w:start w:val="1"/>
    </w:lvl>
  </w:abstractNum>
  <w:abstractNum w:abstractNumId="286">
    <w:nsid w:val="E0D31FF"/>
    <w:multiLevelType w:val="hybridMultilevel"/>
    <w:lvl w:ilvl="0">
      <w:lvlJc w:val="left"/>
      <w:lvlText w:val="•"/>
      <w:numFmt w:val="bullet"/>
      <w:start w:val="1"/>
    </w:lvl>
  </w:abstractNum>
  <w:abstractNum w:abstractNumId="287">
    <w:nsid w:val="2FD0AD81"/>
    <w:multiLevelType w:val="hybridMultilevel"/>
    <w:lvl w:ilvl="0">
      <w:lvlJc w:val="left"/>
      <w:lvlText w:val="•"/>
      <w:numFmt w:val="bullet"/>
      <w:start w:val="1"/>
    </w:lvl>
  </w:abstractNum>
  <w:abstractNum w:abstractNumId="288">
    <w:nsid w:val="1978EBEB"/>
    <w:multiLevelType w:val="hybridMultilevel"/>
    <w:lvl w:ilvl="0">
      <w:lvlJc w:val="left"/>
      <w:lvlText w:val="•"/>
      <w:numFmt w:val="bullet"/>
      <w:start w:val="1"/>
    </w:lvl>
  </w:abstractNum>
  <w:abstractNum w:abstractNumId="289">
    <w:nsid w:val="52C12C61"/>
    <w:multiLevelType w:val="hybridMultilevel"/>
    <w:lvl w:ilvl="0">
      <w:lvlJc w:val="left"/>
      <w:lvlText w:val="•"/>
      <w:numFmt w:val="bullet"/>
      <w:start w:val="1"/>
    </w:lvl>
  </w:abstractNum>
  <w:abstractNum w:abstractNumId="290">
    <w:nsid w:val="4BDD53FD"/>
    <w:multiLevelType w:val="hybridMultilevel"/>
    <w:lvl w:ilvl="0">
      <w:lvlJc w:val="left"/>
      <w:lvlText w:val="(%1)"/>
      <w:numFmt w:val="lowerRoman"/>
      <w:start w:val="3"/>
    </w:lvl>
  </w:abstractNum>
  <w:abstractNum w:abstractNumId="291">
    <w:nsid w:val="569951FE"/>
    <w:multiLevelType w:val="hybridMultilevel"/>
    <w:lvl w:ilvl="0">
      <w:lvlJc w:val="left"/>
      <w:lvlText w:val="•"/>
      <w:numFmt w:val="bullet"/>
      <w:start w:val="1"/>
    </w:lvl>
  </w:abstractNum>
  <w:abstractNum w:abstractNumId="292">
    <w:nsid w:val="4C54E2C3"/>
    <w:multiLevelType w:val="hybridMultilevel"/>
    <w:lvl w:ilvl="0">
      <w:lvlJc w:val="left"/>
      <w:lvlText w:val="•"/>
      <w:numFmt w:val="bullet"/>
      <w:start w:val="1"/>
    </w:lvl>
  </w:abstractNum>
  <w:abstractNum w:abstractNumId="293">
    <w:nsid w:val="788BD9B"/>
    <w:multiLevelType w:val="hybridMultilevel"/>
    <w:lvl w:ilvl="0">
      <w:lvlJc w:val="left"/>
      <w:lvlText w:val="•"/>
      <w:numFmt w:val="bullet"/>
      <w:start w:val="1"/>
    </w:lvl>
  </w:abstractNum>
  <w:abstractNum w:abstractNumId="294">
    <w:nsid w:val="47CAA567"/>
    <w:multiLevelType w:val="hybridMultilevel"/>
    <w:lvl w:ilvl="0">
      <w:lvlJc w:val="left"/>
      <w:lvlText w:val="•"/>
      <w:numFmt w:val="bullet"/>
      <w:start w:val="1"/>
    </w:lvl>
  </w:abstractNum>
  <w:abstractNum w:abstractNumId="295">
    <w:nsid w:val="48249DBF"/>
    <w:multiLevelType w:val="hybridMultilevel"/>
    <w:lvl w:ilvl="0">
      <w:lvlJc w:val="left"/>
      <w:lvlText w:val="•"/>
      <w:numFmt w:val="bullet"/>
      <w:start w:val="1"/>
    </w:lvl>
  </w:abstractNum>
  <w:abstractNum w:abstractNumId="296">
    <w:nsid w:val="1F0E5D0D"/>
    <w:multiLevelType w:val="hybridMultilevel"/>
    <w:lvl w:ilvl="0">
      <w:lvlJc w:val="left"/>
      <w:lvlText w:val="•"/>
      <w:numFmt w:val="bullet"/>
      <w:start w:val="1"/>
    </w:lvl>
  </w:abstractNum>
  <w:abstractNum w:abstractNumId="297">
    <w:nsid w:val="26BAAE9"/>
    <w:multiLevelType w:val="hybridMultilevel"/>
    <w:lvl w:ilvl="0">
      <w:lvlJc w:val="left"/>
      <w:lvlText w:val="•"/>
      <w:numFmt w:val="bullet"/>
      <w:start w:val="1"/>
    </w:lvl>
  </w:abstractNum>
  <w:abstractNum w:abstractNumId="298">
    <w:nsid w:val="2C02FE8C"/>
    <w:multiLevelType w:val="hybridMultilevel"/>
    <w:lvl w:ilvl="0">
      <w:lvlJc w:val="left"/>
      <w:lvlText w:val="•"/>
      <w:numFmt w:val="bullet"/>
      <w:start w:val="1"/>
    </w:lvl>
  </w:abstractNum>
  <w:abstractNum w:abstractNumId="299">
    <w:nsid w:val="129517E"/>
    <w:multiLevelType w:val="hybridMultilevel"/>
    <w:lvl w:ilvl="0">
      <w:lvlJc w:val="left"/>
      <w:lvlText w:val="(%1)"/>
      <w:numFmt w:val="lowerRoman"/>
      <w:start w:val="3"/>
    </w:lvl>
  </w:abstractNum>
  <w:abstractNum w:abstractNumId="300">
    <w:nsid w:val="763B8C4E"/>
    <w:multiLevelType w:val="hybridMultilevel"/>
    <w:lvl w:ilvl="0">
      <w:lvlJc w:val="left"/>
      <w:lvlText w:val="•"/>
      <w:numFmt w:val="bullet"/>
      <w:start w:val="1"/>
    </w:lvl>
  </w:abstractNum>
  <w:abstractNum w:abstractNumId="301">
    <w:nsid w:val="4CFB8D32"/>
    <w:multiLevelType w:val="hybridMultilevel"/>
    <w:lvl w:ilvl="0">
      <w:lvlJc w:val="left"/>
      <w:lvlText w:val="•"/>
      <w:numFmt w:val="bullet"/>
      <w:start w:val="1"/>
    </w:lvl>
  </w:abstractNum>
  <w:abstractNum w:abstractNumId="302">
    <w:nsid w:val="62A5D5BD"/>
    <w:multiLevelType w:val="hybridMultilevel"/>
    <w:lvl w:ilvl="0">
      <w:lvlJc w:val="left"/>
      <w:lvlText w:val="•"/>
      <w:numFmt w:val="bullet"/>
      <w:start w:val="1"/>
    </w:lvl>
  </w:abstractNum>
  <w:abstractNum w:abstractNumId="303">
    <w:nsid w:val="718FABF9"/>
    <w:multiLevelType w:val="hybridMultilevel"/>
    <w:lvl w:ilvl="0">
      <w:lvlJc w:val="left"/>
      <w:lvlText w:val="•"/>
      <w:numFmt w:val="bullet"/>
      <w:start w:val="1"/>
    </w:lvl>
  </w:abstractNum>
  <w:abstractNum w:abstractNumId="304">
    <w:nsid w:val="7775797C"/>
    <w:multiLevelType w:val="hybridMultilevel"/>
    <w:lvl w:ilvl="0">
      <w:lvlJc w:val="left"/>
      <w:lvlText w:val="•"/>
      <w:numFmt w:val="bullet"/>
      <w:start w:val="1"/>
    </w:lvl>
  </w:abstractNum>
  <w:abstractNum w:abstractNumId="305">
    <w:nsid w:val="1626FB8C"/>
    <w:multiLevelType w:val="hybridMultilevel"/>
    <w:lvl w:ilvl="0">
      <w:lvlJc w:val="left"/>
      <w:lvlText w:val="•"/>
      <w:numFmt w:val="bullet"/>
      <w:start w:val="1"/>
    </w:lvl>
  </w:abstractNum>
  <w:abstractNum w:abstractNumId="306">
    <w:nsid w:val="3957756A"/>
    <w:multiLevelType w:val="hybridMultilevel"/>
    <w:lvl w:ilvl="0">
      <w:lvlJc w:val="left"/>
      <w:lvlText w:val="•"/>
      <w:numFmt w:val="bullet"/>
      <w:start w:val="1"/>
    </w:lvl>
  </w:abstractNum>
  <w:abstractNum w:abstractNumId="307">
    <w:nsid w:val="3E6DA1C7"/>
    <w:multiLevelType w:val="hybridMultilevel"/>
    <w:lvl w:ilvl="0">
      <w:lvlJc w:val="left"/>
      <w:lvlText w:val="•"/>
      <w:numFmt w:val="bullet"/>
      <w:start w:val="1"/>
    </w:lvl>
  </w:abstractNum>
  <w:abstractNum w:abstractNumId="308">
    <w:nsid w:val="65CA235B"/>
    <w:multiLevelType w:val="hybridMultilevel"/>
    <w:lvl w:ilvl="0">
      <w:lvlJc w:val="left"/>
      <w:lvlText w:val="•"/>
      <w:numFmt w:val="bullet"/>
      <w:start w:val="1"/>
    </w:lvl>
  </w:abstractNum>
  <w:abstractNum w:abstractNumId="309">
    <w:nsid w:val="51CB0DA4"/>
    <w:multiLevelType w:val="hybridMultilevel"/>
    <w:lvl w:ilvl="0">
      <w:lvlJc w:val="left"/>
      <w:lvlText w:val="(%1)"/>
      <w:numFmt w:val="lowerRoman"/>
      <w:start w:val="2"/>
    </w:lvl>
  </w:abstractNum>
  <w:abstractNum w:abstractNumId="310">
    <w:nsid w:val="7B9B743C"/>
    <w:multiLevelType w:val="hybridMultilevel"/>
    <w:lvl w:ilvl="0">
      <w:lvlJc w:val="left"/>
      <w:lvlText w:val="•"/>
      <w:numFmt w:val="bullet"/>
      <w:start w:val="1"/>
    </w:lvl>
  </w:abstractNum>
  <w:abstractNum w:abstractNumId="311">
    <w:nsid w:val="13E21002"/>
    <w:multiLevelType w:val="hybridMultilevel"/>
    <w:lvl w:ilvl="0">
      <w:lvlJc w:val="left"/>
      <w:lvlText w:val="•"/>
      <w:numFmt w:val="bullet"/>
      <w:start w:val="1"/>
    </w:lvl>
  </w:abstractNum>
  <w:abstractNum w:abstractNumId="312">
    <w:nsid w:val="257D63F4"/>
    <w:multiLevelType w:val="hybridMultilevel"/>
    <w:lvl w:ilvl="0">
      <w:lvlJc w:val="left"/>
      <w:lvlText w:val="•"/>
      <w:numFmt w:val="bullet"/>
      <w:start w:val="1"/>
    </w:lvl>
  </w:abstractNum>
  <w:abstractNum w:abstractNumId="313">
    <w:nsid w:val="70EC11B2"/>
    <w:multiLevelType w:val="hybridMultilevel"/>
    <w:lvl w:ilvl="0">
      <w:lvlJc w:val="left"/>
      <w:lvlText w:val="•"/>
      <w:numFmt w:val="bullet"/>
      <w:start w:val="1"/>
    </w:lvl>
  </w:abstractNum>
  <w:abstractNum w:abstractNumId="314">
    <w:nsid w:val="2EDA00ED"/>
    <w:multiLevelType w:val="hybridMultilevel"/>
    <w:lvl w:ilvl="0">
      <w:lvlJc w:val="left"/>
      <w:lvlText w:val="•"/>
      <w:numFmt w:val="bullet"/>
      <w:start w:val="1"/>
    </w:lvl>
  </w:abstractNum>
  <w:abstractNum w:abstractNumId="315">
    <w:nsid w:val="73209072"/>
    <w:multiLevelType w:val="hybridMultilevel"/>
    <w:lvl w:ilvl="0">
      <w:lvlJc w:val="left"/>
      <w:lvlText w:val="•"/>
      <w:numFmt w:val="bullet"/>
      <w:start w:val="1"/>
    </w:lvl>
    <w:lvl w:ilvl="1">
      <w:lvlJc w:val="left"/>
      <w:lvlText w:val="◦"/>
      <w:numFmt w:val="bullet"/>
      <w:start w:val="1"/>
    </w:lvl>
  </w:abstractNum>
  <w:abstractNum w:abstractNumId="316">
    <w:nsid w:val="5FB29816"/>
    <w:multiLevelType w:val="hybridMultilevel"/>
    <w:lvl w:ilvl="0">
      <w:lvlJc w:val="left"/>
      <w:lvlText w:val="&amp;"/>
      <w:numFmt w:val="bullet"/>
      <w:start w:val="1"/>
    </w:lvl>
  </w:abstractNum>
  <w:abstractNum w:abstractNumId="317">
    <w:nsid w:val="3CE732EC"/>
    <w:multiLevelType w:val="hybridMultilevel"/>
    <w:lvl w:ilvl="0">
      <w:lvlJc w:val="left"/>
      <w:lvlText w:val="(%1)"/>
      <w:numFmt w:val="decimal"/>
      <w:start w:val="1"/>
    </w:lvl>
  </w:abstractNum>
  <w:abstractNum w:abstractNumId="318">
    <w:nsid w:val="22F13DF3"/>
    <w:multiLevelType w:val="hybridMultilevel"/>
    <w:lvl w:ilvl="0">
      <w:lvlJc w:val="left"/>
      <w:lvlText w:val="(%1)"/>
      <w:numFmt w:val="lowerRoman"/>
      <w:start w:val="1"/>
    </w:lvl>
  </w:abstractNum>
  <w:abstractNum w:abstractNumId="319">
    <w:nsid w:val="792B8401"/>
    <w:multiLevelType w:val="hybridMultilevel"/>
    <w:lvl w:ilvl="0">
      <w:lvlJc w:val="left"/>
      <w:lvlText w:val="(%1)"/>
      <w:numFmt w:val="decimal"/>
      <w:start w:val="1"/>
    </w:lvl>
  </w:abstractNum>
  <w:abstractNum w:abstractNumId="320">
    <w:nsid w:val="FA85F4D"/>
    <w:multiLevelType w:val="hybridMultilevel"/>
    <w:lvl w:ilvl="0">
      <w:lvlJc w:val="left"/>
      <w:lvlText w:val="•"/>
      <w:numFmt w:val="bullet"/>
      <w:start w:val="1"/>
    </w:lvl>
  </w:abstractNum>
  <w:abstractNum w:abstractNumId="321">
    <w:nsid w:val="6ECE91F0"/>
    <w:multiLevelType w:val="hybridMultilevel"/>
    <w:lvl w:ilvl="0">
      <w:lvlJc w:val="left"/>
      <w:lvlText w:val="•"/>
      <w:numFmt w:val="bullet"/>
      <w:start w:val="1"/>
    </w:lvl>
  </w:abstractNum>
  <w:abstractNum w:abstractNumId="322">
    <w:nsid w:val="4FC4D600"/>
    <w:multiLevelType w:val="hybridMultilevel"/>
    <w:lvl w:ilvl="0">
      <w:lvlJc w:val="left"/>
      <w:lvlText w:val="(%1)"/>
      <w:numFmt w:val="decimal"/>
      <w:start w:val="1"/>
    </w:lvl>
  </w:abstractNum>
  <w:abstractNum w:abstractNumId="323">
    <w:nsid w:val="5BFD4210"/>
    <w:multiLevelType w:val="hybridMultilevel"/>
    <w:lvl w:ilvl="0">
      <w:lvlJc w:val="left"/>
      <w:lvlText w:val="(%1)"/>
      <w:numFmt w:val="decimal"/>
      <w:start w:val="1"/>
    </w:lvl>
  </w:abstractNum>
  <w:abstractNum w:abstractNumId="324">
    <w:nsid w:val="76574F8B"/>
    <w:multiLevelType w:val="hybridMultilevel"/>
    <w:lvl w:ilvl="0">
      <w:lvlJc w:val="left"/>
      <w:lvlText w:val="(%1)"/>
      <w:numFmt w:val="decimal"/>
      <w:start w:val="1"/>
    </w:lvl>
  </w:abstractNum>
  <w:abstractNum w:abstractNumId="325">
    <w:nsid w:val="178F7B67"/>
    <w:multiLevelType w:val="hybridMultilevel"/>
    <w:lvl w:ilvl="0">
      <w:lvlJc w:val="left"/>
      <w:lvlText w:val="$"/>
      <w:numFmt w:val="bullet"/>
      <w:start w:val="1"/>
    </w:lvl>
  </w:abstractNum>
  <w:abstractNum w:abstractNumId="326">
    <w:nsid w:val="2421DFCF"/>
    <w:multiLevelType w:val="hybridMultilevel"/>
    <w:lvl w:ilvl="0">
      <w:lvlJc w:val="left"/>
      <w:lvlText w:val="$"/>
      <w:numFmt w:val="bullet"/>
      <w:start w:val="1"/>
    </w:lvl>
  </w:abstractNum>
  <w:abstractNum w:abstractNumId="327">
    <w:nsid w:val="1565AC99"/>
    <w:multiLevelType w:val="hybridMultilevel"/>
    <w:lvl w:ilvl="0">
      <w:lvlJc w:val="left"/>
      <w:lvlText w:val="(%1)"/>
      <w:numFmt w:val="decimal"/>
      <w:start w:val="1"/>
    </w:lvl>
  </w:abstractNum>
  <w:abstractNum w:abstractNumId="328">
    <w:nsid w:val="19FB26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18" Type="http://schemas.openxmlformats.org/officeDocument/2006/relationships/hyperlink" Target="https://www.sec.gov/Archives/edgar/data/2083632/000162828026020815/exhibit21-form10x12ba.htm" TargetMode="External"/><Relationship Id="rId19" Type="http://schemas.openxmlformats.org/officeDocument/2006/relationships/hyperlink" Target="https://www.sec.gov/Archives/edgar/data/2083632/000162828026024528/exhibit31-form10x12ba2.htm" TargetMode="External"/><Relationship Id="rId20" Type="http://schemas.openxmlformats.org/officeDocument/2006/relationships/hyperlink" Target="https://www.sec.gov/Archives/edgar/data/2083632/000162828026020815/exhibit41-form10x12ba.htm" TargetMode="External"/><Relationship Id="rId21" Type="http://schemas.openxmlformats.org/officeDocument/2006/relationships/hyperlink" Target="https://www.sec.gov/Archives/edgar/data/2083632/000162828026024528/exhibit101-form10x12ba2.htm" TargetMode="External"/><Relationship Id="rId22" Type="http://schemas.openxmlformats.org/officeDocument/2006/relationships/hyperlink" Target="https://www.sec.gov/Archives/edgar/data/2083632/000162828026020815/exhibit102-form10x12ba.htm" TargetMode="External"/><Relationship Id="rId23" Type="http://schemas.openxmlformats.org/officeDocument/2006/relationships/hyperlink" Target="https://www.sec.gov/Archives/edgar/data/2083632/000162828026020815/exhibit103-form10x12ba.htm" TargetMode="External"/><Relationship Id="rId24" Type="http://schemas.openxmlformats.org/officeDocument/2006/relationships/hyperlink" Target="https://www.sec.gov/Archives/edgar/data/2083632/000162828026020815/exhibit104-form10x12ba.htm" TargetMode="External"/><Relationship Id="rId25" Type="http://schemas.openxmlformats.org/officeDocument/2006/relationships/hyperlink" Target="https://www.sec.gov/Archives/edgar/data/2083632/000162828026020815/exhibit105-form10x12ba.htm" TargetMode="External"/><Relationship Id="rId26" Type="http://schemas.openxmlformats.org/officeDocument/2006/relationships/hyperlink" Target="https://www.sec.gov/Archives/edgar/data/2083632/000162828026020815/exhibit106-form10x12ba.htm" TargetMode="External"/><Relationship Id="rId27" Type="http://schemas.openxmlformats.org/officeDocument/2006/relationships/hyperlink" Target="https://www.sec.gov/Archives/edgar/data/2083632/000162828026020815/exhibit107-form10x12ba.htm" TargetMode="External"/><Relationship Id="rId28" Type="http://schemas.openxmlformats.org/officeDocument/2006/relationships/hyperlink" Target="https://www.sec.gov/Archives/edgar/data/2083632/000162828026020815/exhibit108-form10x12ba.htm" TargetMode="External"/><Relationship Id="rId29" Type="http://schemas.openxmlformats.org/officeDocument/2006/relationships/hyperlink" Target="https://www.sec.gov/Archives/edgar/data/2083632/000162828026024528/exhibit109-form10x12ba2.htm" TargetMode="External"/><Relationship Id="rId30" Type="http://schemas.openxmlformats.org/officeDocument/2006/relationships/hyperlink" Target="https://www.sec.gov/Archives/edgar/data/2083632/000162828026024528/exhibit1010-form10x12b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2026-04-27T16:43:52Z</dcterms:created>
  <dcterms:modified xsi:type="dcterms:W3CDTF">2026-04-27T16:43:52Z</dcterms:modified>
</cp:coreProperties>
</file>