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710" w:type="dxa"/>
        <w:jc w:val="center"/>
        <w:tblInd w:w="0" w:type="dxa"/>
        <w:tblLayout w:type="fixed"/>
        <w:tblCellMar>
          <w:top w:w="28" w:type="dxa"/>
          <w:left w:w="28" w:type="dxa"/>
          <w:bottom w:w="28" w:type="dxa"/>
          <w:right w:w="28" w:type="dxa"/>
        </w:tblCellMar>
      </w:tblPr>
      <w:tblGrid>
        <w:gridCol w:w="547"/>
        <w:gridCol w:w="481"/>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12, 2026</w:t>
      </w:r>
    </w:p>
    <w:p>
      <w:pPr>
        <w:pStyle w:val="TextBody"/>
        <w:bidi w:val="0"/>
        <w:spacing w:before="0" w:after="240"/>
        <w:jc w:val="center"/>
        <w:rPr/>
      </w:pPr>
      <w:r>
        <w:rPr/>
        <w:drawing>
          <wp:inline distT="0" distB="0" distL="0" distR="0">
            <wp:extent cx="12001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790575"/>
                    </a:xfrm>
                    <a:prstGeom prst="rect">
                      <a:avLst/>
                    </a:prstGeom>
                  </pic:spPr>
                </pic:pic>
              </a:graphicData>
            </a:graphic>
          </wp:inline>
        </w:drawing>
      </w:r>
      <w:bookmarkStart w:id="0" w:name="i-1"/>
      <w:bookmarkEnd w:id="0"/>
    </w:p>
    <w:tbl>
      <w:tblPr>
        <w:tblW w:w="4664" w:type="dxa"/>
        <w:jc w:val="center"/>
        <w:tblInd w:w="0" w:type="dxa"/>
        <w:tblLayout w:type="fixed"/>
        <w:tblCellMar>
          <w:top w:w="28" w:type="dxa"/>
          <w:left w:w="28" w:type="dxa"/>
          <w:bottom w:w="28" w:type="dxa"/>
          <w:right w:w="28" w:type="dxa"/>
        </w:tblCellMar>
      </w:tblPr>
      <w:tblGrid>
        <w:gridCol w:w="1494"/>
        <w:gridCol w:w="1313"/>
        <w:gridCol w:w="185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Octave Intelligence plc</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7213" w:type="dxa"/>
        <w:jc w:val="center"/>
        <w:tblInd w:w="0" w:type="dxa"/>
        <w:tblLayout w:type="fixed"/>
        <w:tblCellMar>
          <w:top w:w="28" w:type="dxa"/>
          <w:left w:w="28" w:type="dxa"/>
          <w:bottom w:w="28" w:type="dxa"/>
          <w:right w:w="28" w:type="dxa"/>
        </w:tblCellMar>
      </w:tblPr>
      <w:tblGrid>
        <w:gridCol w:w="994"/>
        <w:gridCol w:w="872"/>
        <w:gridCol w:w="878"/>
        <w:gridCol w:w="792"/>
        <w:gridCol w:w="792"/>
        <w:gridCol w:w="800"/>
        <w:gridCol w:w="609"/>
        <w:gridCol w:w="609"/>
        <w:gridCol w:w="867"/>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001-43124</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98-1878833</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43" w:after="283"/>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2085" w:type="dxa"/>
            <w:gridSpan w:val="3"/>
            <w:tcBorders/>
            <w:tcMar>
              <w:top w:w="0" w:type="dxa"/>
              <w:left w:w="0" w:type="dxa"/>
              <w:bottom w:w="0" w:type="dxa"/>
              <w:right w:w="0" w:type="dxa"/>
            </w:tcMar>
            <w:vAlign w:val="center"/>
          </w:tcPr>
          <w:p>
            <w:pPr>
              <w:pStyle w:val="TableContents"/>
              <w:bidi w:val="0"/>
              <w:spacing w:lineRule="auto" w:line="240" w:before="43" w:after="283"/>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 Intergraph Way, Madison, Alabama 35758</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 730-2000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042" w:type="dxa"/>
        <w:jc w:val="center"/>
        <w:tblInd w:w="0" w:type="dxa"/>
        <w:tblLayout w:type="fixed"/>
        <w:tblCellMar>
          <w:top w:w="28" w:type="dxa"/>
          <w:left w:w="28" w:type="dxa"/>
          <w:bottom w:w="28" w:type="dxa"/>
          <w:right w:w="28" w:type="dxa"/>
        </w:tblCellMar>
      </w:tblPr>
      <w:tblGrid>
        <w:gridCol w:w="1332"/>
        <w:gridCol w:w="1165"/>
        <w:gridCol w:w="1178"/>
        <w:gridCol w:w="109"/>
        <w:gridCol w:w="109"/>
        <w:gridCol w:w="109"/>
        <w:gridCol w:w="564"/>
        <w:gridCol w:w="564"/>
        <w:gridCol w:w="566"/>
        <w:gridCol w:w="109"/>
        <w:gridCol w:w="109"/>
        <w:gridCol w:w="109"/>
        <w:gridCol w:w="1177"/>
        <w:gridCol w:w="1177"/>
        <w:gridCol w:w="1665"/>
      </w:tblGrid>
      <w:tr>
        <w:trPr/>
        <w:tc>
          <w:tcPr>
            <w:tcW w:w="133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 Ordinary Shares,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 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12, 2026, Octave Intelligence plc issued a press release announcing its financial results for the fiscal quarter ended June 30, 2026. A copy of the press release is furnished as Exhibit 99.1 to this Current Report on Form 8-K and incorporated herein by reference in its entirety.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40" w:before="0" w:after="120"/>
        <w:ind w:left="0" w:right="0" w:firstLine="187"/>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ind w:left="0" w:right="0" w:firstLine="180"/>
        <w:jc w:val="both"/>
        <w:rPr>
          <w:rFonts w:ascii="Times New Roman;serif" w:hAnsi="Times New Roman;serif"/>
          <w:b/>
          <w:color w:val="000000"/>
          <w:sz w:val="20"/>
        </w:rPr>
      </w:pPr>
      <w:r>
        <w:rPr>
          <w:rFonts w:ascii="Times New Roman;serif" w:hAnsi="Times New Roman;serif"/>
          <w:b/>
          <w:color w:val="000000"/>
          <w:sz w:val="20"/>
        </w:rPr>
        <w:t>(d) Exhibits</w:t>
      </w:r>
    </w:p>
    <w:tbl>
      <w:tblPr>
        <w:tblW w:w="646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514"/>
        <w:gridCol w:w="1514"/>
        <w:gridCol w:w="216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397"/>
              <w:jc w:val="both"/>
              <w:rPr/>
            </w:pPr>
            <w:hyperlink w:anchor="exhibit991q2fy26.htm">
              <w:r>
                <w:rPr>
                  <w:rStyle w:val="InternetLink"/>
                  <w:rFonts w:ascii="Times New Roman;serif" w:hAnsi="Times New Roman;serif"/>
                  <w:b w:val="false"/>
                  <w:color w:val="000080"/>
                  <w:sz w:val="20"/>
                  <w:u w:val="single"/>
                </w:rPr>
                <w:t>Press release of Octave Intelligence plc</w:t>
              </w:r>
            </w:hyperlink>
            <w:hyperlink w:anchor="exhibit991q2fy26.htm">
              <w:r>
                <w:rPr>
                  <w:rStyle w:val="InternetLink"/>
                  <w:rFonts w:ascii="Times New Roman;serif" w:hAnsi="Times New Roman;serif"/>
                  <w:b w:val="false"/>
                  <w:color w:val="000080"/>
                  <w:sz w:val="20"/>
                  <w:u w:val="single"/>
                </w:rPr>
                <w:t xml:space="preserve"> dated August 12,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9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0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225"/>
        <w:gridCol w:w="225"/>
        <w:gridCol w:w="225"/>
        <w:gridCol w:w="275"/>
        <w:gridCol w:w="275"/>
        <w:gridCol w:w="275"/>
        <w:gridCol w:w="602"/>
        <w:gridCol w:w="602"/>
        <w:gridCol w:w="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Octave Intelligence plc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Mattias Stenberg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Mattias Stenberg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drawing>
          <wp:inline distT="0" distB="0" distL="0" distR="0">
            <wp:extent cx="1200150" cy="7905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00150" cy="790575"/>
                    </a:xfrm>
                    <a:prstGeom prst="rect">
                      <a:avLst/>
                    </a:prstGeom>
                  </pic:spPr>
                </pic:pic>
              </a:graphicData>
            </a:graphic>
          </wp:inline>
        </w:drawing>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color w:val="000000"/>
          <w:sz w:val="28"/>
        </w:rPr>
      </w:pPr>
      <w:r>
        <w:rPr>
          <w:rFonts w:ascii="Times New Roman;serif" w:hAnsi="Times New Roman;serif"/>
          <w:b/>
          <w:color w:val="000000"/>
          <w:sz w:val="28"/>
        </w:rPr>
        <w:t>Octave Announces Second Quarter 2026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 of $398 million, a decrease of 4% on a quarterly as-reported year-over-year basis and a decrease of 1% on an organic constant currency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Recurring revenue of $283 million, an increase of 6% on a quarterly as-reported year-over-year basis and organic constant currency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Annualized recurring revenue (“ARR”) of $1,143 million, compared to $1,066 million in the prior year, an increase of 7% year-over-year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flow from operations of $125 million and Free cash flow of $93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HUNTSVILLE, Alabama, August 12, 2026</w:t>
      </w:r>
      <w:r>
        <w:rPr>
          <w:color w:val="000000"/>
        </w:rPr>
        <w:t xml:space="preserve"> </w:t>
      </w:r>
      <w:r>
        <w:rPr>
          <w:rFonts w:ascii="Times New Roman;serif" w:hAnsi="Times New Roman;serif"/>
          <w:b w:val="false"/>
          <w:color w:val="000000"/>
          <w:sz w:val="20"/>
        </w:rPr>
        <w:t>-- Octave Intelligence plc (Nasdaq New York: OCTV and Nasdaq Stockholm: OCTV SDB), today announced financial results for the second quarter 2026,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second quarter results reflect the continued momentum we are building as a newly independent company, with ARR of $1,143 million, up 7% year-over-year, and SaaS revenue growth of 21%," said Mattias Stenberg, Chief Executive Officer of Octave.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moving faster and investing with focus, delivering strong free cash flow in the quarter while executing on our go-to-market priorities and deepening the platform and agentic capabilities that make our customers' operating context more valuable to them. The deliberate shift in our business model means recurring revenue growth and ARR are the better indicators of underlying performance than reported total revenue. We remain confident in the path and the medium-term financial objectives we shared at our March investor day"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Second Quarter 2026 Financial Highlights and Key Business Metrics:</w:t>
      </w:r>
    </w:p>
    <w:p>
      <w:pPr>
        <w:pStyle w:val="TextBody"/>
        <w:bidi w:val="0"/>
        <w:spacing w:before="0" w:after="60"/>
        <w:jc w:val="both"/>
        <w:rPr/>
      </w:pPr>
      <w:r>
        <w:rPr/>
      </w:r>
    </w:p>
    <w:tbl>
      <w:tblPr>
        <w:tblW w:w="6006" w:type="dxa"/>
        <w:jc w:val="left"/>
        <w:tblInd w:w="0" w:type="dxa"/>
        <w:tblLayout w:type="fixed"/>
        <w:tblCellMar>
          <w:top w:w="28" w:type="dxa"/>
          <w:left w:w="28" w:type="dxa"/>
          <w:bottom w:w="28" w:type="dxa"/>
          <w:right w:w="28" w:type="dxa"/>
        </w:tblCellMar>
      </w:tblPr>
      <w:tblGrid>
        <w:gridCol w:w="1324"/>
        <w:gridCol w:w="1166"/>
        <w:gridCol w:w="1169"/>
        <w:gridCol w:w="109"/>
        <w:gridCol w:w="109"/>
        <w:gridCol w:w="109"/>
        <w:gridCol w:w="274"/>
        <w:gridCol w:w="274"/>
        <w:gridCol w:w="276"/>
        <w:gridCol w:w="109"/>
        <w:gridCol w:w="109"/>
        <w:gridCol w:w="109"/>
        <w:gridCol w:w="254"/>
        <w:gridCol w:w="254"/>
        <w:gridCol w:w="361"/>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USD millions, except EPS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recurring revenue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Adjusted 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31%</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$0.28</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Cash flow from operations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30%</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21%</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60"/>
        <w:jc w:val="both"/>
        <w:rPr>
          <w:rFonts w:ascii="Times New Roman;serif" w:hAnsi="Times New Roman;serif"/>
          <w:b/>
          <w:color w:val="000000"/>
          <w:sz w:val="20"/>
        </w:rPr>
      </w:pPr>
      <w:r>
        <w:rPr>
          <w:rFonts w:ascii="Times New Roman;serif" w:hAnsi="Times New Roman;serif"/>
          <w:b/>
          <w:color w:val="000000"/>
          <w:sz w:val="20"/>
        </w:rPr>
        <w:t>Recent Business Highlights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 July, Octave launched Octave CoLabs, a collaborative innovation program that pairs Octave's product and technical leadership with customer teams to build agentic AI workflows on customers' own operational data. Initial participants include Bechtel and Fluor.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 May, Octave completed its separation from Hexagon AB and its Class B ordinary shares commenced trading on the Nasdaq Global Select Market in New York under the ticker symbol "OCTV," and its Swedish Depositary Receipts commenced trading on the Nasdaq Stockholm under the ticker symbol “OCTV SDB”. This marked the culmination of a multi-year process to establish Octave as an independent, pure-play enterprise software company serving asset-intensive industries and the public sector.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 May, Octave announced it acquired VXG Inc., a provider of enterprise-grade, cloud-native video management software, to strengthen its physical security portfolio and build upon AI-enhanced cloud capabilities in its Protect workflow environment, expanding its software offerings for protecting people, places, and assets.</w:t>
      </w:r>
    </w:p>
    <w:p>
      <w:pPr>
        <w:pStyle w:val="TextBody"/>
        <w:bidi w:val="0"/>
        <w:spacing w:before="0" w:after="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total cash and cash equivalents was $304 million and total debt was $644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quarter financial results include non-cash impairment charges totaling $2,135 million, recorded in Other operating expense (income), net. Following the commencement of regular-way trading of the Company's Class B Ordinary Shares, Octave's market capitalization remained below the Company carrying value on its consolidated balance sheet at June 30, 2026. Management considered this to be a triggering event requiring an interim goodwill impairment assessment as of June 30, 2026, resulting in a $1,671 million non-cash goodwill impairment charge. Separately, in connection with the approval of the spin-off and the phase-out of legacy brands and the transition to a unified Octave brand, the Company reassessed the useful lives and fair value of its trademarks, resulting in a $464 million non-cash impairment charge and a change from indefinite to finite useful lives.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charges did not result in any current cash expenditure and did not affect the Company's cash flows or compliance with the financial covenants under the Company's Credit Agreement, nor are they indicative of any changes to the operating outlook for the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Consistent with the Company's definitions of its non-GAAP measures, impairment charges are excluded from Adjusted income from operations, Adjusted operating margin, Adjusted net income and Adjusted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Third Quarter and Full Year 2026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Octave provided initial third quarter and full year 2026 financial guidance and expectations for certain key business metrics as set out below.</w:t>
      </w:r>
    </w:p>
    <w:p>
      <w:pPr>
        <w:pStyle w:val="TextBody"/>
        <w:bidi w:val="0"/>
        <w:spacing w:before="0" w:after="0"/>
        <w:jc w:val="both"/>
        <w:rPr/>
      </w:pPr>
      <w:r>
        <w:rPr/>
      </w:r>
    </w:p>
    <w:tbl>
      <w:tblPr>
        <w:tblW w:w="8048" w:type="dxa"/>
        <w:jc w:val="left"/>
        <w:tblInd w:w="0" w:type="dxa"/>
        <w:tblLayout w:type="fixed"/>
        <w:tblCellMar>
          <w:top w:w="28" w:type="dxa"/>
          <w:left w:w="28" w:type="dxa"/>
          <w:bottom w:w="28" w:type="dxa"/>
          <w:right w:w="28" w:type="dxa"/>
        </w:tblCellMar>
      </w:tblPr>
      <w:tblGrid>
        <w:gridCol w:w="1758"/>
        <w:gridCol w:w="1546"/>
        <w:gridCol w:w="1555"/>
        <w:gridCol w:w="109"/>
        <w:gridCol w:w="109"/>
        <w:gridCol w:w="109"/>
        <w:gridCol w:w="364"/>
        <w:gridCol w:w="364"/>
        <w:gridCol w:w="367"/>
        <w:gridCol w:w="109"/>
        <w:gridCol w:w="109"/>
        <w:gridCol w:w="109"/>
        <w:gridCol w:w="420"/>
        <w:gridCol w:w="420"/>
        <w:gridCol w:w="600"/>
      </w:tblGrid>
      <w:tr>
        <w:trPr/>
        <w:tc>
          <w:tcPr>
            <w:tcW w:w="175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 2026</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$400 - $410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$1,635 - $1,665</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recurring revenue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$1,185 - $1,205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growth y/y (organic,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0 - 2%</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y/y (organic,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6 - 8%</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$285 - $290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$1,140 - $1,150</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 growth y/y (organic,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5 - 6%</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See the section entitled "Explanation of Non-GAAP Financial Measures" and the reconciliation of GAAP measures to non-GAAP measures at the end of this release.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Octave will host a conference call today, August 12, 2026, to discuss its results at 8:00 a.m. Eastern time. The call will be available live via webcast on Octave’s website at https://investors.octave.com. A webcast replay of the event will also be available at https://investors.octave.com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12,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8:00 a.m. ET; 14:00 CEST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risks and uncertainties. All statements other than statements of historical fact, including, without limitation, statements regarding our financial guidance, expected revenue, annual recurring revenue, recurring revenue, Adjusted operating margin, Adjusted net income per share, weighted average shares outstanding, Free Cash Flow margin, future financial position, results of operations, business strategy, budgets, projected costs, plans and objectives of management for future operations, are forward-looking statements. Use of words such as “may,” “will,” “would,” “could,” “should,” “believes,” “estimates,” “projects,” “potential,” “expects,” “plans,” “seeks,” “intends,” “anticipates,” “continues,” “forecasts,” “target,” “outlook,” “objective,” “goal” and similar expressions are intended to identify forward-looking statements, although not all forward-looking statements contain these identifying words. Actual results may differ materially from the results predicted, and reported results should not be considered as an indication of future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current expectations and projections about future events and trends that we believe may affect our financial condition, results of operations, strategy, short- and long-term business operations and objectives and financial needs, and on a number of assumptions. Forward-looking statements are subject to numerous risks and uncertainties that could cause actual results to differ materially from those expressed or implied by such statements, including, among other things, customer demand for our software solutions, subscription license activity, SaaS adoption, pricing and packaging initiatives, macroeconomic conditions, our ability to identify, consummate and successfully integrate strategic acquisitions, our ability to successfully operate as an independent public company following the spin-off from Hexagon, the timing and costs associated with separation-related activities, our ability to generate sufficient cash flows and comply with the terms of our indebtedness, our ability to execute our growth strategies, and other risks and uncertainties included under the section titled “Risk Factors” in the Information Statement attached as Exhibit 99.1 to Octave’s Current Report on Form 8-K filed with the Securities and Exchange Commission on May 12, 2026 available on our investor relations website at investors.octave.com and on the SEC website at www.sec.gov. Additional information will also be set forth in our Quarterly Report on Form 10-Q for the quarter ended June 30, 2026, and those discussed in other documents we file with the SEC. All information provided in this press release and in the attachments is as of August 12, 2026. You should not rely upon forward</w:t>
        <w:noBreakHyphen/>
        <w:t>looking statements as predictions of future events. We cannot guarantee that the future results, levels of activity, performance or events and circumstances reflected in the forward</w:t>
        <w:noBreakHyphen/>
        <w:t>looking statements will be achieved or occur, including any expected or targeted financial or operating results. Moreover, except as required by law, neither we nor any other person assumes responsibility for the accuracy and completeness of the forward</w:t>
        <w:noBreakHyphen/>
        <w:t>looking statements. Except as required by law, we undertake no obligation to update publicly any forward</w:t>
        <w:noBreakHyphen/>
        <w:t>looking statements for any reason after the date of this press release to conform these statements to actual results or to changes in our expectations.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Elizabeth Chwalk, VP, Investor Relations, elizabeth.chwalk@octave.com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investors@octave.com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information is information that Octave Intelligence plc is obliged to make public pursuant to the EU Market Abuse Regulation. The information was submitted for publication, through the agency of the contact person set out above, at 13:00 CEST on 12 August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media@octave.com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9707" w:type="dxa"/>
        <w:jc w:val="center"/>
        <w:tblInd w:w="0" w:type="dxa"/>
        <w:tblLayout w:type="fixed"/>
        <w:tblCellMar>
          <w:top w:w="28" w:type="dxa"/>
          <w:left w:w="28" w:type="dxa"/>
          <w:bottom w:w="28" w:type="dxa"/>
          <w:right w:w="28" w:type="dxa"/>
        </w:tblCellMar>
      </w:tblPr>
      <w:tblGrid>
        <w:gridCol w:w="2359"/>
        <w:gridCol w:w="2081"/>
        <w:gridCol w:w="2085"/>
        <w:gridCol w:w="211"/>
        <w:gridCol w:w="991"/>
        <w:gridCol w:w="109"/>
        <w:gridCol w:w="109"/>
        <w:gridCol w:w="109"/>
        <w:gridCol w:w="109"/>
        <w:gridCol w:w="240"/>
        <w:gridCol w:w="1129"/>
        <w:gridCol w:w="175"/>
      </w:tblGrid>
      <w:tr>
        <w:trPr/>
        <w:tc>
          <w:tcPr>
            <w:tcW w:w="235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656,763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held for sale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6,689,750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652,874</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1,609,800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1,018,616</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 $0.01 par value; 1,000,000 shares authorized; no shares issued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Ordinary Shares, $0.01 par value; 4,500,000 shares authorized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Ordinary Shares, $0.01 par value; 4,500,000 shares authorized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by Hexagon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7,749,558 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5,079,950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6,689,750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8,696,251</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(Unaudited)</w:t>
      </w:r>
    </w:p>
    <w:p>
      <w:pPr>
        <w:pStyle w:val="TextBody"/>
        <w:bidi w:val="0"/>
        <w:spacing w:lineRule="auto" w:line="268"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506"/>
        <w:gridCol w:w="1320"/>
        <w:gridCol w:w="1339"/>
        <w:gridCol w:w="211"/>
        <w:gridCol w:w="1032"/>
        <w:gridCol w:w="109"/>
        <w:gridCol w:w="109"/>
        <w:gridCol w:w="109"/>
        <w:gridCol w:w="109"/>
        <w:gridCol w:w="211"/>
        <w:gridCol w:w="826"/>
        <w:gridCol w:w="109"/>
        <w:gridCol w:w="109"/>
        <w:gridCol w:w="109"/>
        <w:gridCol w:w="109"/>
        <w:gridCol w:w="211"/>
        <w:gridCol w:w="1032"/>
        <w:gridCol w:w="109"/>
        <w:gridCol w:w="109"/>
        <w:gridCol w:w="109"/>
        <w:gridCol w:w="109"/>
        <w:gridCol w:w="211"/>
        <w:gridCol w:w="841"/>
        <w:gridCol w:w="157"/>
      </w:tblGrid>
      <w:tr>
        <w:trPr/>
        <w:tc>
          <w:tcPr>
            <w:tcW w:w="15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Licenses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Subscriptions and licenses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619,788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796,145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cost of revenue </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181,586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206,476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Gross profit </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305,651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306,427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589,669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from operations </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(2,006,291)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170,764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 </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(2,067,928)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170,975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(1,970,678)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(1,923,297)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134,654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ordinary shares outstanding - basic and diluted</w:t>
            </w:r>
          </w:p>
        </w:tc>
        <w:tc>
          <w:tcPr>
            <w:tcW w:w="13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268,438</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(Loss) (Unaudited)</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506"/>
        <w:gridCol w:w="1313"/>
        <w:gridCol w:w="1306"/>
        <w:gridCol w:w="211"/>
        <w:gridCol w:w="1044"/>
        <w:gridCol w:w="109"/>
        <w:gridCol w:w="109"/>
        <w:gridCol w:w="109"/>
        <w:gridCol w:w="109"/>
        <w:gridCol w:w="211"/>
        <w:gridCol w:w="841"/>
        <w:gridCol w:w="109"/>
        <w:gridCol w:w="109"/>
        <w:gridCol w:w="109"/>
        <w:gridCol w:w="109"/>
        <w:gridCol w:w="211"/>
        <w:gridCol w:w="1044"/>
        <w:gridCol w:w="109"/>
        <w:gridCol w:w="109"/>
        <w:gridCol w:w="109"/>
        <w:gridCol w:w="109"/>
        <w:gridCol w:w="211"/>
        <w:gridCol w:w="841"/>
        <w:gridCol w:w="158"/>
      </w:tblGrid>
      <w:tr>
        <w:trPr/>
        <w:tc>
          <w:tcPr>
            <w:tcW w:w="15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taxes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(1,967,881)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(1,928,138)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181,170</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Equity (Unaudited)</w:t>
      </w:r>
    </w:p>
    <w:p>
      <w:pPr>
        <w:pStyle w:val="TextBody"/>
        <w:bidi w:val="0"/>
        <w:spacing w:lineRule="auto" w:line="268"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3582" w:type="dxa"/>
        <w:jc w:val="center"/>
        <w:tblInd w:w="0" w:type="dxa"/>
        <w:tblLayout w:type="fixed"/>
        <w:tblCellMar>
          <w:top w:w="28" w:type="dxa"/>
          <w:left w:w="28" w:type="dxa"/>
          <w:bottom w:w="28" w:type="dxa"/>
          <w:right w:w="28" w:type="dxa"/>
        </w:tblCellMar>
      </w:tblPr>
      <w:tblGrid>
        <w:gridCol w:w="473"/>
        <w:gridCol w:w="311"/>
        <w:gridCol w:w="312"/>
        <w:gridCol w:w="109"/>
        <w:gridCol w:w="109"/>
        <w:gridCol w:w="159"/>
        <w:gridCol w:w="159"/>
        <w:gridCol w:w="267"/>
        <w:gridCol w:w="159"/>
        <w:gridCol w:w="160"/>
        <w:gridCol w:w="109"/>
        <w:gridCol w:w="109"/>
        <w:gridCol w:w="109"/>
        <w:gridCol w:w="211"/>
        <w:gridCol w:w="406"/>
        <w:gridCol w:w="109"/>
        <w:gridCol w:w="109"/>
        <w:gridCol w:w="109"/>
        <w:gridCol w:w="109"/>
        <w:gridCol w:w="203"/>
        <w:gridCol w:w="203"/>
        <w:gridCol w:w="196"/>
        <w:gridCol w:w="109"/>
        <w:gridCol w:w="109"/>
        <w:gridCol w:w="109"/>
        <w:gridCol w:w="340"/>
        <w:gridCol w:w="654"/>
        <w:gridCol w:w="177"/>
        <w:gridCol w:w="230"/>
        <w:gridCol w:w="230"/>
        <w:gridCol w:w="231"/>
        <w:gridCol w:w="257"/>
        <w:gridCol w:w="495"/>
        <w:gridCol w:w="134"/>
        <w:gridCol w:w="109"/>
        <w:gridCol w:w="109"/>
        <w:gridCol w:w="109"/>
        <w:gridCol w:w="211"/>
        <w:gridCol w:w="991"/>
        <w:gridCol w:w="109"/>
        <w:gridCol w:w="109"/>
        <w:gridCol w:w="109"/>
        <w:gridCol w:w="109"/>
        <w:gridCol w:w="340"/>
        <w:gridCol w:w="654"/>
        <w:gridCol w:w="177"/>
        <w:gridCol w:w="109"/>
        <w:gridCol w:w="109"/>
        <w:gridCol w:w="109"/>
        <w:gridCol w:w="211"/>
        <w:gridCol w:w="841"/>
        <w:gridCol w:w="109"/>
        <w:gridCol w:w="109"/>
        <w:gridCol w:w="109"/>
        <w:gridCol w:w="109"/>
        <w:gridCol w:w="211"/>
        <w:gridCol w:w="991"/>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 by Hexagon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1683"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7,795,874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7,673,687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7,783,785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7,677,779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7,771,134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(75,671)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7,695,463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058" w:type="dxa"/>
        <w:jc w:val="center"/>
        <w:tblInd w:w="0" w:type="dxa"/>
        <w:tblLayout w:type="fixed"/>
        <w:tblCellMar>
          <w:top w:w="28" w:type="dxa"/>
          <w:left w:w="28" w:type="dxa"/>
          <w:bottom w:w="28" w:type="dxa"/>
          <w:right w:w="28" w:type="dxa"/>
        </w:tblCellMar>
      </w:tblPr>
      <w:tblGrid>
        <w:gridCol w:w="638"/>
        <w:gridCol w:w="311"/>
        <w:gridCol w:w="312"/>
        <w:gridCol w:w="367"/>
        <w:gridCol w:w="369"/>
        <w:gridCol w:w="196"/>
        <w:gridCol w:w="109"/>
        <w:gridCol w:w="109"/>
        <w:gridCol w:w="109"/>
        <w:gridCol w:w="211"/>
        <w:gridCol w:w="481"/>
        <w:gridCol w:w="109"/>
        <w:gridCol w:w="109"/>
        <w:gridCol w:w="109"/>
        <w:gridCol w:w="109"/>
        <w:gridCol w:w="420"/>
        <w:gridCol w:w="421"/>
        <w:gridCol w:w="196"/>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33"/>
        <w:gridCol w:w="816"/>
        <w:gridCol w:w="122"/>
        <w:gridCol w:w="109"/>
        <w:gridCol w:w="109"/>
        <w:gridCol w:w="109"/>
        <w:gridCol w:w="211"/>
        <w:gridCol w:w="991"/>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 by Hexagon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7,749,558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(71,923)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7,677,635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7,740,186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(79,561)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7,660,625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Hexagon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Hexagon in connection with the Distribution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in connection with the Distribution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11,025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257,413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6,783,958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(1,629,928)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(76,764)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5,079,950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OCTAVE INTELLIGENCE PLC</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68" w:before="0" w:after="240"/>
        <w:ind w:left="0" w:right="0" w:firstLine="9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3"/>
        <w:gridCol w:w="2321"/>
        <w:gridCol w:w="2337"/>
        <w:gridCol w:w="211"/>
        <w:gridCol w:w="1050"/>
        <w:gridCol w:w="109"/>
        <w:gridCol w:w="109"/>
        <w:gridCol w:w="109"/>
        <w:gridCol w:w="109"/>
        <w:gridCol w:w="211"/>
        <w:gridCol w:w="841"/>
        <w:gridCol w:w="155"/>
      </w:tblGrid>
      <w:tr>
        <w:trPr/>
        <w:tc>
          <w:tcPr>
            <w:tcW w:w="264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(loss) to net cash provided by operating activities: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contingent consideration reserves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 net of effect from acquisitions: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240,878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248,518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(83,903)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Hexagon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Hexagon in connection with the Distribution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other short-term borrowings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(166,195)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increase in cash and cash equivalents </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304,147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101,649</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DEFINITIONS OF KEY BUSINESS METRICS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period-to-period for reasons unrelated to our operating performance and may differ from similarly titled measures presented by other companies. These metrics are based on management calculations derived from available operational data.</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Recurring revenues includes monthly subscription licenses, SaaS-based subscriptions and maintenance subscriptions.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Annualized Recurring Revenue (“ARR”) is a key business metric we use to evaluate the scale and growth of our business as well as to assist in the evaluation of underlying trends in our business. ARR represents the annualized value of recurring revenue from our subscription licenses, SaaS-based subscriptions and maintenance subscriptions. It excludes revenue from perpetual software licenses, non-recurring services and other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pStyle w:val="TextBody"/>
        <w:bidi w:val="0"/>
        <w:spacing w:lineRule="auto" w:line="26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EXPLANATION OF NON-GAAP FINANCIAL MEASURES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period-to-period,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Income from Operations—Income (Loss) from Operations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income from operations is defined as Income (loss) from operations adjusted for amortization of acquired intangibles; amortization of developed technologies; stock-based compensation expense; impairment charges; acquisition costs and charges; restructuring charges; stand-up costs; and select other non-recurring items.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Operating Margin—Operating Margin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operating margin is defined as Operating margin adjusted for amortization of acquired intangibles; amortization of developed technologies; stock-based compensation expense; impairment charges; acquisition costs and charges; restructuring charges; stand-up costs; and select other non-recurring items.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Net Income—Net Income (Loss)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net income is defined as Net income (loss) adjusted for amortization of acquired intangibles; amortization of developed technologies; stock-based compensation expense; impairment charges; acquisition costs and charges; restructuring charges; stand-up costs; select other non-recurring items; and a corresponding adjustment to income tax expense for the impact of these adjustments.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Earnings per share—Earnings per share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is defined as Adjusted net income divided by the weighted-average number of ordinary shares outstanding for the period, presented on a diluted basis.</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Free Cash Flow—Cash Flow from Operations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Free Cash Flow Margin—Cash Flow from Operations Margin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Free cash flow margin is defined as free cash flow divided by revenue. We believe that free cash flow margin, in conjunction with cash from operations and free cash flow, is a useful measure of liquidity since capital expenditures are a necessary component of ongoing operations. Free cash flow is not a measure of cash available for discretionary expenditures.</w:t>
      </w:r>
    </w:p>
    <w:p>
      <w:pPr>
        <w:pStyle w:val="TextBody"/>
        <w:bidi w:val="0"/>
        <w:spacing w:lineRule="auto" w:line="26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Description of Adjustments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Stand-up costs include expenses associated with the spin-off and stand up of functions required to operate as a standalone public entity, these costs primarily relate to system implementation expenses, legal and consulting costs, development of our brand and other matters. We believe the assessment of our operations excluding these costs is relevant to our assessment of internal operations and comparisons to the performance of other companies in our industry.</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non-recurring items include selected costs and charges that do not naturally conform to one of the adjustments above, including certain litigation matters net of expected insurance recoveries. We believe the assessment of our operations excluding these costs and charges is relevant to our assessment of internal operations and comparisons to the performance of other companies in our industry.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adjustments include the tax impact of the items excluded from Adjusted net income.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 when used in conjunction with the most comparable U.S. GAAP measure,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and cash flows that may be more easily compared to the results of other companies in our industry that use similar financial measures to supplement their U.S. GAAP results.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items excluded from the non-GAAP financial measures often have a material impact on our financial results, certain of those items are non-recurring, and other such items often recur. Accordingly, the non-GAAP financial measures included herein should be considered in addition to, and not as a substitute for or superior to, the comparable measures prepared in accordance with U.S. GAAP. The following tables reconcile each of these non-GAAP financial measures to its most closely comparable U.S. GAAP measure on our financial statements.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Guidance for adjusted financial measures excludes amortization of acquired intangibles, amortization of developed technologies, stock-based compensation expense, impairment charges, acquisition costs and charges, restructuring charges, stand-up costs, other non-recurring items and related tax impacts.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Octave has not provided forecasts of the most directly comparable U.S. GAAP measures because certain items required to calculate those U.S. GAAP measures are outside of the company's control or cannot be reasonably predicted without unreasonable effort. With respect to Adjusted operating margin and Adjusted earnings per share, these items include the adjustment items described above. With respect to Free cash flow margin, the Company is unable to reasonably predict future operating cash flows, capital expenditures and capitalized software development costs without unreasonable effort. Accordingly, reconciliations of the forecasts of Adjusted operating margin, Adjusted earnings per share, Free cash flow margin, and organic constant currency growth to the most directly comparable U.S. GAAP measures have not been provided. The excluded items are uncertain, depend on various factors, and could have a material impact on the corresponding measures calculated in accordance with U.S. GAAP.</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NON-GAAP FINANCIAL MEASURES</w:t>
      </w:r>
    </w:p>
    <w:tbl>
      <w:tblPr>
        <w:tblW w:w="10205" w:type="dxa"/>
        <w:jc w:val="left"/>
        <w:tblInd w:w="0" w:type="dxa"/>
        <w:tblLayout w:type="fixed"/>
        <w:tblCellMar>
          <w:top w:w="28" w:type="dxa"/>
          <w:left w:w="28" w:type="dxa"/>
          <w:bottom w:w="28" w:type="dxa"/>
          <w:right w:w="28" w:type="dxa"/>
        </w:tblCellMar>
      </w:tblPr>
      <w:tblGrid>
        <w:gridCol w:w="1244"/>
        <w:gridCol w:w="1059"/>
        <w:gridCol w:w="1062"/>
        <w:gridCol w:w="211"/>
        <w:gridCol w:w="1041"/>
        <w:gridCol w:w="301"/>
        <w:gridCol w:w="109"/>
        <w:gridCol w:w="109"/>
        <w:gridCol w:w="109"/>
        <w:gridCol w:w="211"/>
        <w:gridCol w:w="841"/>
        <w:gridCol w:w="301"/>
        <w:gridCol w:w="109"/>
        <w:gridCol w:w="109"/>
        <w:gridCol w:w="109"/>
        <w:gridCol w:w="211"/>
        <w:gridCol w:w="1041"/>
        <w:gridCol w:w="301"/>
        <w:gridCol w:w="109"/>
        <w:gridCol w:w="109"/>
        <w:gridCol w:w="109"/>
        <w:gridCol w:w="211"/>
        <w:gridCol w:w="841"/>
        <w:gridCol w:w="348"/>
      </w:tblGrid>
      <w:tr>
        <w:trPr/>
        <w:tc>
          <w:tcPr>
            <w:tcW w:w="124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(2,069,925)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(2,006,291)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116,032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128,709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231,600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245,625</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margin</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(1,970,678)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 costs and charges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Stand-up costs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95,412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98,298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184,432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191,877</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93,498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86,886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175,512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178,535</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margin</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Capitalization of software development costs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margin</w:t>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Constant Currency</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period-over-period to evaluate our underlying performance.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Reconciliation of revenue to revenue in constant currency for the three and six months ended June 30, 2026:</w:t>
      </w:r>
    </w:p>
    <w:tbl>
      <w:tblPr>
        <w:tblW w:w="12869" w:type="dxa"/>
        <w:jc w:val="left"/>
        <w:tblInd w:w="0" w:type="dxa"/>
        <w:tblLayout w:type="fixed"/>
        <w:tblCellMar>
          <w:top w:w="28" w:type="dxa"/>
          <w:left w:w="28" w:type="dxa"/>
          <w:bottom w:w="28" w:type="dxa"/>
          <w:right w:w="28" w:type="dxa"/>
        </w:tblCellMar>
      </w:tblPr>
      <w:tblGrid>
        <w:gridCol w:w="379"/>
        <w:gridCol w:w="334"/>
        <w:gridCol w:w="338"/>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3"/>
        <w:gridCol w:w="153"/>
        <w:gridCol w:w="340"/>
        <w:gridCol w:w="109"/>
        <w:gridCol w:w="109"/>
        <w:gridCol w:w="109"/>
        <w:gridCol w:w="204"/>
        <w:gridCol w:w="142"/>
        <w:gridCol w:w="317"/>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3"/>
        <w:gridCol w:w="153"/>
        <w:gridCol w:w="340"/>
        <w:gridCol w:w="109"/>
        <w:gridCol w:w="109"/>
        <w:gridCol w:w="109"/>
        <w:gridCol w:w="267"/>
        <w:gridCol w:w="139"/>
        <w:gridCol w:w="368"/>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 of Foreign Exchanges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Organic % CC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 of Foreign Exchanges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Organic % CC growth</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Subscriptions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Licenses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 xml:space="preserve">Subscriptions and licenses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636,222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622,004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398,414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394,273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784,915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766,311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Organic Constant Currency Growth—Revenue Growth</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Organic constant currency growth presents period-over-period revenue growth excluding both the estimated effects of foreign currency exchange rate fluctuations (as described under Constant Currency above) and the impact of revenue attributable to businesses acquired or divested during the current or comparative period. We believe organic constant currency growth is useful to investors because it presents revenue growth from our existing operations on a comparable basis period-over-period.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5299</Words>
  <Characters>31245</Characters>
  <CharactersWithSpaces>36003</CharactersWithSpaces>
  <Paragraphs>1259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