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March 24, 2026</w: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File No. 001-43124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FORM 10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Form for Registration of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12(b) or (g) of</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29" w:type="dxa"/>
        <w:jc w:val="left"/>
        <w:tblInd w:w="0" w:type="dxa"/>
        <w:tblLayout w:type="fixed"/>
        <w:tblCellMar>
          <w:top w:w="28" w:type="dxa"/>
          <w:left w:w="28" w:type="dxa"/>
          <w:bottom w:w="28" w:type="dxa"/>
          <w:right w:w="28" w:type="dxa"/>
        </w:tblCellMar>
      </w:tblPr>
      <w:tblGrid>
        <w:gridCol w:w="994"/>
        <w:gridCol w:w="872"/>
        <w:gridCol w:w="878"/>
        <w:gridCol w:w="609"/>
        <w:gridCol w:w="609"/>
        <w:gridCol w:w="867"/>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98-1878833</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305 Intergraph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Madison, Alabama 35758</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(256) 730-2000</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to be Registered Pursuant to Section 12(b) of the Act:</w:t>
      </w:r>
    </w:p>
    <w:tbl>
      <w:tblPr>
        <w:tblW w:w="5128"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901"/>
        <w:gridCol w:w="901"/>
        <w:gridCol w:w="127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 be so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Each Class is to be Registered</w:t>
            </w:r>
          </w:p>
        </w:tc>
      </w:tr>
      <w:tr>
        <w:trPr/>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to be Registered Pursuant to Section 12(g) of the Act: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141" w:type="dxa"/>
        <w:jc w:val="left"/>
        <w:tblInd w:w="0" w:type="dxa"/>
        <w:tblLayout w:type="fixed"/>
        <w:tblCellMar>
          <w:top w:w="28" w:type="dxa"/>
          <w:left w:w="28" w:type="dxa"/>
          <w:bottom w:w="28" w:type="dxa"/>
          <w:right w:w="28" w:type="dxa"/>
        </w:tblCellMar>
      </w:tblPr>
      <w:tblGrid>
        <w:gridCol w:w="729"/>
        <w:gridCol w:w="640"/>
        <w:gridCol w:w="642"/>
        <w:gridCol w:w="109"/>
        <w:gridCol w:w="109"/>
        <w:gridCol w:w="109"/>
        <w:gridCol w:w="809"/>
        <w:gridCol w:w="809"/>
        <w:gridCol w:w="813"/>
        <w:gridCol w:w="109"/>
        <w:gridCol w:w="109"/>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CROSS-REFERENCE SHEET BETWEEN ITEMS OF FORM 10</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AND THE ATTACHED INFORMATION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the following Form 10 Registration Statement items is contained in the information statement sections identified below, each of which is incorporated in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“Summary,” “Management’s Discussion and Analysis of Financial Condition and Results of Operations,” “Business of Octave,” “Where You Can Find More Information” and “Index to Combined Financial Statements.”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 of the information statement entitled “Risk Factors.” That section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“Summary” and “Management’s Discussion and Analysis of Financial Condition and Results of Operations.”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Properties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 of the information statement entitled “Business of Octave—Properties.” That section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Security Ownership of Certain Beneficial Owners and Management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“Summary” and “Security Ownership of Certain Beneficial Owners and Management and Related Shareholder Matters.”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Directors and Executive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 of the information statement entitled “Corporate Governance and Management.” That section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Executive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“Compensation Discussion and Analysis,” “Executive Compensation” and “Director Compensation”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Certain Relationships and Related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“Certain Relationships and Related Party Transactions” and “Security Ownership of Certain Beneficial Owners and Management and Related Shareholder Matters.”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8.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 of the information statement entitled “Business of Octave—Legal Proceedings.” That section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Market Price of and Dividends on the Registrant’s Common Equity and Related Shareholder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“Risk Factors,” “The Separation and the Distribution,” “Business of Octave,” “Compensation Discussion and Analysis” and “Description of Our Share Capital.”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10. Recent Sales of Unregistered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“Description of Material Indebtedness” and “Description of Our Share Capital—Sale of Unregistered Securities.”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11. Description of Registrant’s Securities to be Registered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“The Separation and the Distribution” and “Description of Our Share Capital.”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Indemnification of Directors and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 of the information statement entitled “Indemnification of Directors and Officers.” That section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Financial Statements and Supplementary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contained under the sections of the information statement entitled “Management’s Discussion and Analysis of Financial Condition and Results of Operations” and “Index to Combined Financial Statements.” Those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Changes in and Disagreements with Accountants on Accounting and Financial Disclosure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Financial Statements and Exhibits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(a)Financial Statements. The information required by this item is contained under the section “Index to Combined Financial Statements” beginning on page F-1 of the information statement. That section is incorporated herein by reference.</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exhibits hereto:</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45"/>
        <w:gridCol w:w="2672"/>
        <w:gridCol w:w="381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21-form10x12ba.htm">
              <w:r>
                <w:rPr>
                  <w:rStyle w:val="InternetLink"/>
                  <w:rFonts w:ascii="Times New Roman;serif" w:hAnsi="Times New Roman;serif"/>
                  <w:b w:val="false"/>
                  <w:color w:val="000080"/>
                  <w:sz w:val="20"/>
                  <w:u w:val="single"/>
                </w:rPr>
                <w:t xml:space="preserve">Form of Distribution Agreement by and between Hexagon AB and Octave Intelligence </w:t>
              </w:r>
            </w:hyperlink>
            <w:hyperlink w:anchor="exhibit21-form10x12ba.htm">
              <w:r>
                <w:rPr>
                  <w:rStyle w:val="InternetLink"/>
                  <w:rFonts w:ascii="Times New Roman;serif" w:hAnsi="Times New Roman;serif"/>
                  <w:b w:val="false"/>
                  <w:color w:val="000080"/>
                  <w:sz w:val="20"/>
                  <w:u w:val="single"/>
                </w:rPr>
                <w:t>plc</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form10x12ba.htm">
              <w:r>
                <w:rPr>
                  <w:rStyle w:val="InternetLink"/>
                  <w:rFonts w:ascii="Times New Roman;serif" w:hAnsi="Times New Roman;serif"/>
                  <w:b w:val="false"/>
                  <w:color w:val="0000FF"/>
                  <w:sz w:val="20"/>
                  <w:u w:val="single"/>
                </w:rPr>
                <w:t>Form of Articles and Memorandum of Association of Octave Intelligence plc</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form10x12ba.htm">
              <w:r>
                <w:rPr>
                  <w:rStyle w:val="InternetLink"/>
                  <w:rFonts w:ascii="Times New Roman;serif" w:hAnsi="Times New Roman;serif"/>
                  <w:b w:val="false"/>
                  <w:color w:val="0000FF"/>
                  <w:sz w:val="20"/>
                  <w:u w:val="single"/>
                </w:rPr>
                <w:t>Form of General Terms and Conditions for Swedish Depository Receipts in Octave Intelligence plc</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Tax Disaffiliation Agreement, by and between Hexagon AB and Octave Intelligence plc*</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form10x12ba.htm">
              <w:r>
                <w:rPr>
                  <w:rStyle w:val="InternetLink"/>
                  <w:rFonts w:ascii="Times New Roman;serif" w:hAnsi="Times New Roman;serif"/>
                  <w:b w:val="false"/>
                  <w:color w:val="0000FF"/>
                  <w:sz w:val="20"/>
                  <w:u w:val="single"/>
                </w:rPr>
                <w:t>Form of Employee Matters Agreement, by and between Hexagon AB and Octave Intelligence plc</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form10x12ba.htm">
              <w:r>
                <w:rPr>
                  <w:rStyle w:val="InternetLink"/>
                  <w:rFonts w:ascii="Times New Roman;serif" w:hAnsi="Times New Roman;serif"/>
                  <w:b w:val="false"/>
                  <w:color w:val="000080"/>
                  <w:sz w:val="20"/>
                  <w:u w:val="single"/>
                </w:rPr>
                <w:t xml:space="preserve">Form of </w:t>
              </w:r>
            </w:hyperlink>
            <w:hyperlink w:anchor="exhibit103-form10x12ba.htm">
              <w:r>
                <w:rPr>
                  <w:rStyle w:val="InternetLink"/>
                  <w:rFonts w:ascii="Times New Roman;serif" w:hAnsi="Times New Roman;serif"/>
                  <w:b w:val="false"/>
                  <w:color w:val="000080"/>
                  <w:sz w:val="20"/>
                  <w:u w:val="single"/>
                </w:rPr>
                <w:t xml:space="preserve">Master </w:t>
              </w:r>
            </w:hyperlink>
            <w:hyperlink w:anchor="exhibit103-form10x12ba.htm">
              <w:r>
                <w:rPr>
                  <w:rStyle w:val="InternetLink"/>
                  <w:rFonts w:ascii="Times New Roman;serif" w:hAnsi="Times New Roman;serif"/>
                  <w:b w:val="false"/>
                  <w:color w:val="000080"/>
                  <w:sz w:val="20"/>
                  <w:u w:val="single"/>
                </w:rPr>
                <w:t>Transition Services Agreement, by and between Hexagon AB and Octave Intelligence plc</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form10x12ba.htm">
              <w:r>
                <w:rPr>
                  <w:rStyle w:val="InternetLink"/>
                  <w:rFonts w:ascii="Times New Roman;serif" w:hAnsi="Times New Roman;serif"/>
                  <w:b w:val="false"/>
                  <w:color w:val="0000FF"/>
                  <w:sz w:val="20"/>
                  <w:u w:val="single"/>
                </w:rPr>
                <w:t>Form of Deed of Indemnification entered into by Octave Intelligence plc for the benefit of certain individual directors and officers</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form10x12ba.htm">
              <w:r>
                <w:rPr>
                  <w:rStyle w:val="InternetLink"/>
                  <w:rFonts w:ascii="Times New Roman;serif" w:hAnsi="Times New Roman;serif"/>
                  <w:b w:val="false"/>
                  <w:color w:val="0000FF"/>
                  <w:sz w:val="20"/>
                  <w:u w:val="single"/>
                </w:rPr>
                <w:t>Form of Indemnification Agreement between Intergraph Corporation and certain individual directors and officers</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6-form10x12ba.htm">
              <w:r>
                <w:rPr>
                  <w:rStyle w:val="InternetLink"/>
                  <w:rFonts w:ascii="Times New Roman;serif" w:hAnsi="Times New Roman;serif"/>
                  <w:b w:val="false"/>
                  <w:color w:val="0000FF"/>
                  <w:sz w:val="20"/>
                  <w:u w:val="single"/>
                </w:rPr>
                <w:t>Form of Registration Rights Agreement, by and between Octave Intelligence plc and Melker Schörling AB</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form10x12ba.htm">
              <w:r>
                <w:rPr>
                  <w:rStyle w:val="InternetLink"/>
                  <w:rFonts w:ascii="Times New Roman;serif" w:hAnsi="Times New Roman;serif"/>
                  <w:b w:val="false"/>
                  <w:color w:val="0000FF"/>
                  <w:sz w:val="20"/>
                  <w:u w:val="single"/>
                </w:rPr>
                <w:t>Form of Employment Agreement</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8-form10x12ba.htm">
              <w:r>
                <w:rPr>
                  <w:rStyle w:val="InternetLink"/>
                  <w:rFonts w:ascii="Times New Roman;serif" w:hAnsi="Times New Roman;serif"/>
                  <w:b w:val="false"/>
                  <w:color w:val="000080"/>
                  <w:sz w:val="20"/>
                  <w:u w:val="single"/>
                </w:rPr>
                <w:t>Executive Employment Agreement, dated as of March 22, 2026, by and between Mattias Stenberg and Intergraph Corporation D/B/A Octave</w:t>
              </w:r>
            </w:hyperlink>
            <w:hyperlink w:anchor="exhibit108-form10x12ba.htm">
              <w:r>
                <w:rPr>
                  <w:rStyle w:val="InternetLink"/>
                  <w:rFonts w:ascii="Times New Roman;serif" w:hAnsi="Times New Roman;serif"/>
                  <w:b w:val="false"/>
                  <w:color w:val="000080"/>
                  <w:sz w:val="20"/>
                  <w:u w:val="single"/>
                </w:rPr>
                <w:t xml:space="preserve">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Intelligence plc Long-Term Incentive Plan*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Intelligence plc Employee Share Purchase Plan*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Octave Intelligence plc*</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orm10x12ba.htm">
              <w:r>
                <w:rPr>
                  <w:rStyle w:val="InternetLink"/>
                  <w:rFonts w:ascii="Times New Roman;serif" w:hAnsi="Times New Roman;serif"/>
                  <w:b w:val="false"/>
                  <w:color w:val="000080"/>
                  <w:sz w:val="20"/>
                  <w:u w:val="single"/>
                </w:rPr>
                <w:t>Information Statement of Octave Intelligence</w:t>
              </w:r>
            </w:hyperlink>
            <w:hyperlink w:anchor="exhibit991-form10x12ba.htm">
              <w:r>
                <w:rPr>
                  <w:rStyle w:val="InternetLink"/>
                  <w:rFonts w:ascii="Times New Roman;serif" w:hAnsi="Times New Roman;serif"/>
                  <w:b w:val="false"/>
                  <w:color w:val="000080"/>
                  <w:sz w:val="20"/>
                  <w:u w:val="single"/>
                </w:rPr>
                <w:t xml:space="preserve"> </w:t>
              </w:r>
            </w:hyperlink>
            <w:hyperlink w:anchor="exhibit991-form10x12ba.htm">
              <w:r>
                <w:rPr>
                  <w:rStyle w:val="InternetLink"/>
                  <w:rFonts w:ascii="Times New Roman;serif" w:hAnsi="Times New Roman;serif"/>
                  <w:b w:val="false"/>
                  <w:color w:val="000080"/>
                  <w:sz w:val="20"/>
                  <w:u w:val="single"/>
                </w:rPr>
                <w:t>plc</w:t>
              </w:r>
            </w:hyperlink>
            <w:hyperlink w:anchor="exhibit991-form10x12ba.htm">
              <w:r>
                <w:rPr>
                  <w:rStyle w:val="InternetLink"/>
                  <w:rFonts w:ascii="Times New Roman;serif" w:hAnsi="Times New Roman;serif"/>
                  <w:b w:val="false"/>
                  <w:color w:val="000080"/>
                  <w:sz w:val="20"/>
                  <w:u w:val="single"/>
                </w:rPr>
                <w:t>, preliminary and subject to completion, dated</w:t>
              </w:r>
            </w:hyperlink>
            <w:hyperlink w:anchor="exhibit991-form10x12ba.htm">
              <w:r>
                <w:rPr>
                  <w:rStyle w:val="InternetLink"/>
                  <w:rFonts w:ascii="Times New Roman;serif" w:hAnsi="Times New Roman;serif"/>
                  <w:b w:val="false"/>
                  <w:color w:val="000080"/>
                  <w:sz w:val="20"/>
                  <w:u w:val="single"/>
                </w:rPr>
                <w:t xml:space="preserve"> </w:t>
              </w:r>
            </w:hyperlink>
            <w:hyperlink w:anchor="exhibit991-form10x12ba.htm">
              <w:r>
                <w:rPr>
                  <w:rStyle w:val="InternetLink"/>
                  <w:rFonts w:ascii="Times New Roman;serif" w:hAnsi="Times New Roman;serif"/>
                  <w:b w:val="false"/>
                  <w:color w:val="000080"/>
                  <w:sz w:val="20"/>
                  <w:u w:val="single"/>
                </w:rPr>
                <w:t>March 24</w:t>
              </w:r>
            </w:hyperlink>
            <w:hyperlink w:anchor="exhibit991-form10x12ba.htm">
              <w:r>
                <w:rPr>
                  <w:rStyle w:val="InternetLink"/>
                  <w:rFonts w:ascii="Times New Roman;serif" w:hAnsi="Times New Roman;serif"/>
                  <w:b w:val="false"/>
                  <w:color w:val="000080"/>
                  <w:sz w:val="20"/>
                  <w:u w:val="single"/>
                </w:rPr>
                <w:t>, 2026</w:t>
              </w:r>
            </w:hyperlink>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 be filed by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12 of the Securities Exchange Act of 1934, the Registrant has duly caused this registration statement to be signed on its behalf by the undersigned, thereunto duly authorized.</w:t>
      </w:r>
    </w:p>
    <w:tbl>
      <w:tblPr>
        <w:tblW w:w="3052" w:type="dxa"/>
        <w:jc w:val="right"/>
        <w:tblInd w:w="0" w:type="dxa"/>
        <w:tblLayout w:type="fixed"/>
        <w:tblCellMar>
          <w:top w:w="28" w:type="dxa"/>
          <w:left w:w="28" w:type="dxa"/>
          <w:bottom w:w="28" w:type="dxa"/>
          <w:right w:w="28" w:type="dxa"/>
        </w:tblCellMar>
      </w:tblPr>
      <w:tblGrid>
        <w:gridCol w:w="356"/>
        <w:gridCol w:w="313"/>
        <w:gridCol w:w="313"/>
        <w:gridCol w:w="605"/>
        <w:gridCol w:w="605"/>
        <w:gridCol w:w="860"/>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Intelligence plc</w:t>
            </w:r>
          </w:p>
        </w:tc>
      </w:tr>
      <w:tr>
        <w:trPr/>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Mattias Stenberg</w:t>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DISTRIBUTION AGREEMENT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BY AND BETWEEN</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HEXAGON AB</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OCTAVE INTELLIGENCE PLC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9161" w:type="dxa"/>
        <w:jc w:val="left"/>
        <w:tblInd w:w="0" w:type="dxa"/>
        <w:tblLayout w:type="fixed"/>
        <w:tblCellMar>
          <w:top w:w="28" w:type="dxa"/>
          <w:left w:w="28" w:type="dxa"/>
          <w:bottom w:w="28" w:type="dxa"/>
          <w:right w:w="28" w:type="dxa"/>
        </w:tblCellMar>
      </w:tblPr>
      <w:tblGrid>
        <w:gridCol w:w="3186"/>
        <w:gridCol w:w="2796"/>
        <w:gridCol w:w="2807"/>
        <w:gridCol w:w="109"/>
        <w:gridCol w:w="109"/>
        <w:gridCol w:w="154"/>
      </w:tblGrid>
      <w:tr>
        <w:trPr/>
        <w:tc>
          <w:tcPr>
            <w:tcW w:w="3186"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 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 Certain 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 Other Terms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II THE REORGANIZATION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 Transfer of Assets and Assumption of Liabilities Prior to the Distribution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2.2 Allocation of Assets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2.3 Allocation of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2.4 Non-Transferred and Delayed Transferred Assets and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2.5 Shared Contracts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2.6 Termination of Intercompany Contracts; Settlement of Intercompany Payables and Receivables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2.7 Wrong Pockets; Mail and Other Communications; 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2.8 Disclaimer of Representations and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2.9 Termination of Overhead and Shared Services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2.10 Use of Parent Marks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2.11 Removal of Excluded Assets and Spinco Assets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2.12 Guarantees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2.13 Bulk Sales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III THE DISTRIBUTION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3.1 Actions at or Prior to the Distribution Time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3.2 Conditions Precedent to the Distribution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3.3 The Distribution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3.4 Release of Security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IV ACCESS TO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4.1 Delivery of Spinco Business Records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4.2 Delivery of Parent Business Records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4.3 Access to Business Records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4.4 Scope of Delivery and Access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4.5 Other Agreements Providing for Exchange of Books and Records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4.6 Production of Witnesses and Records in Connection with an Action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4.7 Privilege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 RELEASES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 Release of Pre-Distribution Claims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 INDEMNIFICATION, GUARANTEES AND LITIGATION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 General Indemnification by Spinco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6.2 General Indemnification by Parent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6.3 Contribution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6.4 Indemnification Obligations Net of Insurance Proceeds and Other Amounts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6.5 Certain Matters Relating to Indemnification of Third-Party Claims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6.6 Additional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6.7 Exclusive Remedy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828"/>
        <w:gridCol w:w="1609"/>
        <w:gridCol w:w="1617"/>
        <w:gridCol w:w="109"/>
        <w:gridCol w:w="109"/>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6.8 Survival of Indemnities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6.9 Management of Actions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6.10 Settlement of Actions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6.11 Limitation on Certain Damages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VII OTHER AGREEMENTS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 Further Assurances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7.2 Confidentiality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7.3 Insurance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7.4 Separation Expenses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7.5 Transaction Documents: Conflicting Agreements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VIII DISPUTE RESOLUTION PROCEDURES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8.1 Disputes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8.2 Escalation; Mediation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8.3 Court Actions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8.4 Conduct during Dispute Resolution Process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IX MISCELLANEOUS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 Survival of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9.2 Governing Law; Submission to Jurisdiction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9.3 Notices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9.4 Headings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9.5 Entire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9.6 Amendments and Waivers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9.7 Assignment; No Third-Party Beneficiaries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9.8 Specific Performance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9.9 Waiver of Jury Trial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9.10 Severability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9.11 Counterparts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9.12 Force Majeure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9.13 Termination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9.14 Interpretation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9.15 Performance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DISTRIBUTION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This DISTRIBUTION AGREEMENT, dated as of [●], 2026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by and between Hexagon AB, a Swedish corporation (“</w:t>
      </w:r>
      <w:r>
        <w:rPr>
          <w:rFonts w:ascii="Times New Roman;serif" w:hAnsi="Times New Roman;serif"/>
          <w:b w:val="false"/>
          <w:color w:val="000000"/>
          <w:sz w:val="20"/>
          <w:u w:val="single"/>
        </w:rPr>
        <w:t>Parent</w:t>
      </w:r>
      <w:r>
        <w:rPr>
          <w:color w:val="000000"/>
        </w:rPr>
        <w:t>”</w:t>
      </w:r>
      <w:r>
        <w:rPr>
          <w:rFonts w:ascii="Times New Roman;serif" w:hAnsi="Times New Roman;serif"/>
          <w:b w:val="false"/>
          <w:color w:val="000000"/>
          <w:sz w:val="20"/>
        </w:rPr>
        <w:t>), and Octave Intelligence plc, an Irish public limited company (“</w:t>
      </w:r>
      <w:r>
        <w:rPr>
          <w:rFonts w:ascii="Times New Roman;serif" w:hAnsi="Times New Roman;serif"/>
          <w:b w:val="false"/>
          <w:color w:val="000000"/>
          <w:sz w:val="20"/>
          <w:u w:val="single"/>
        </w:rPr>
        <w:t>Spinco</w:t>
      </w:r>
      <w:r>
        <w:rPr>
          <w:color w:val="000000"/>
        </w:rPr>
        <w:t>”</w:t>
      </w:r>
      <w:r>
        <w:rPr>
          <w:rFonts w:ascii="Times New Roman;serif" w:hAnsi="Times New Roman;serif"/>
          <w:b w:val="false"/>
          <w:color w:val="000000"/>
          <w:sz w:val="20"/>
        </w:rPr>
        <w:t>). Capitalized terms that are used but not otherwise defined in the recitals shall have the respective meanings ascribed to such terms in Section 1.1.</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WITNESSETH: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WHEREAS, Parent, acting through itself and its direct and indirect Subsidiaries, currently conducts the Spinco Business;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Spinco is a wholly-owned, direct Subsidiary of Parent;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Parent intends to separate the Spinco Business from the Parent Business and to cause the Spinco Assets, including the Equity Interests of each Directly Transferred Entity and excluding any Excluded Assets, to be transferred to Spinco and to cause the Spinco Liabilities to be assumed by Spinco, upon the terms and subject to the conditions set forth in this Agreement (such transfer, the “</w:t>
      </w:r>
      <w:r>
        <w:rPr>
          <w:rFonts w:ascii="Times New Roman;serif" w:hAnsi="Times New Roman;serif"/>
          <w:b w:val="false"/>
          <w:color w:val="000000"/>
          <w:sz w:val="20"/>
          <w:u w:val="single"/>
        </w:rPr>
        <w:t>Contribution</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pursuant to the separation there shall be, amongst others, a distribution by way of issuance of A Ordinary Shares, par value $0.01 per share in Spinco (“</w:t>
      </w:r>
      <w:r>
        <w:rPr>
          <w:rFonts w:ascii="Times New Roman;serif" w:hAnsi="Times New Roman;serif"/>
          <w:b w:val="false"/>
          <w:color w:val="000000"/>
          <w:sz w:val="20"/>
          <w:u w:val="single"/>
        </w:rPr>
        <w:t>Spinco Class A Ordinary Shares</w:t>
      </w:r>
      <w:r>
        <w:rPr>
          <w:color w:val="000000"/>
        </w:rPr>
        <w:t>”</w:t>
      </w:r>
      <w:r>
        <w:rPr>
          <w:rFonts w:ascii="Times New Roman;serif" w:hAnsi="Times New Roman;serif"/>
          <w:b w:val="false"/>
          <w:color w:val="000000"/>
          <w:sz w:val="20"/>
        </w:rPr>
        <w:t>), and B Ordinary Shares, par value $0.01 per share in Spinco (“</w:t>
      </w:r>
      <w:r>
        <w:rPr>
          <w:rFonts w:ascii="Times New Roman;serif" w:hAnsi="Times New Roman;serif"/>
          <w:b w:val="false"/>
          <w:color w:val="000000"/>
          <w:sz w:val="20"/>
          <w:u w:val="single"/>
        </w:rPr>
        <w:t>Class B Ordinary Shares</w:t>
      </w:r>
      <w:r>
        <w:rPr>
          <w:color w:val="000000"/>
        </w:rPr>
        <w:t>”</w:t>
      </w:r>
      <w:r>
        <w:rPr>
          <w:rFonts w:ascii="Times New Roman;serif" w:hAnsi="Times New Roman;serif"/>
          <w:b w:val="false"/>
          <w:color w:val="000000"/>
          <w:sz w:val="20"/>
        </w:rPr>
        <w:t>) (together, the “</w:t>
      </w:r>
      <w:r>
        <w:rPr>
          <w:rFonts w:ascii="Times New Roman;serif" w:hAnsi="Times New Roman;serif"/>
          <w:b w:val="false"/>
          <w:color w:val="000000"/>
          <w:sz w:val="20"/>
          <w:u w:val="single"/>
        </w:rPr>
        <w:t>Spinco Shares</w:t>
      </w:r>
      <w:r>
        <w:rPr>
          <w:color w:val="000000"/>
        </w:rPr>
        <w:t>”</w:t>
      </w:r>
      <w:r>
        <w:rPr>
          <w:rFonts w:ascii="Times New Roman;serif" w:hAnsi="Times New Roman;serif"/>
          <w:b w:val="false"/>
          <w:color w:val="000000"/>
          <w:sz w:val="20"/>
        </w:rPr>
        <w:t>) allotted to Parent and directed by Parent to holders of record of Parent’s Class A Shares and Class B Shares, respectively (the “</w:t>
      </w:r>
      <w:r>
        <w:rPr>
          <w:rFonts w:ascii="Times New Roman;serif" w:hAnsi="Times New Roman;serif"/>
          <w:b w:val="false"/>
          <w:color w:val="000000"/>
          <w:sz w:val="20"/>
          <w:u w:val="single"/>
        </w:rPr>
        <w:t>Parent Shares</w:t>
      </w:r>
      <w:r>
        <w:rPr>
          <w:color w:val="000000"/>
        </w:rPr>
        <w:t>”</w:t>
      </w:r>
      <w:r>
        <w:rPr>
          <w:rFonts w:ascii="Times New Roman;serif" w:hAnsi="Times New Roman;serif"/>
          <w:b w:val="false"/>
          <w:color w:val="000000"/>
          <w:sz w:val="20"/>
        </w:rPr>
        <w:t>), as of May 22, 2026 (the “</w:t>
      </w:r>
      <w:r>
        <w:rPr>
          <w:rFonts w:ascii="Times New Roman;serif" w:hAnsi="Times New Roman;serif"/>
          <w:b w:val="false"/>
          <w:color w:val="000000"/>
          <w:sz w:val="20"/>
          <w:u w:val="single"/>
        </w:rPr>
        <w:t>Record Date</w:t>
      </w:r>
      <w:r>
        <w:rPr>
          <w:color w:val="000000"/>
        </w:rPr>
        <w:t>”</w:t>
      </w:r>
      <w:r>
        <w:rPr>
          <w:rFonts w:ascii="Times New Roman;serif" w:hAnsi="Times New Roman;serif"/>
          <w:b w:val="false"/>
          <w:color w:val="000000"/>
          <w:sz w:val="20"/>
        </w:rPr>
        <w:t>) and each such holder will receive one (1) Spinco Class A Ordinary Share for every ten (10) Parent Class A Shares and one (1) Spinco Class B Ordinary Share for every ten (10) Parent Class B Shares held on the Record Date (the “</w:t>
      </w:r>
      <w:r>
        <w:rPr>
          <w:rFonts w:ascii="Times New Roman;serif" w:hAnsi="Times New Roman;serif"/>
          <w:b w:val="false"/>
          <w:color w:val="000000"/>
          <w:sz w:val="20"/>
          <w:u w:val="single"/>
        </w:rPr>
        <w:t>Distribution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the Spinco Shares will be delivered to holders of record, other than holders of Spinco Class A Ordinary Shares and affiliates of Parent, in the form of Swedish Depository Receipts (“</w:t>
      </w:r>
      <w:r>
        <w:rPr>
          <w:rFonts w:ascii="Times New Roman;serif" w:hAnsi="Times New Roman;serif"/>
          <w:b w:val="false"/>
          <w:color w:val="000000"/>
          <w:sz w:val="20"/>
          <w:u w:val="single"/>
        </w:rPr>
        <w:t>Spinco SDRs</w:t>
      </w:r>
      <w:r>
        <w:rPr>
          <w:color w:val="000000"/>
        </w:rPr>
        <w:t>”</w:t>
      </w:r>
      <w:r>
        <w:rPr>
          <w:rFonts w:ascii="Times New Roman;serif" w:hAnsi="Times New Roman;serif"/>
          <w:b w:val="false"/>
          <w:color w:val="000000"/>
          <w:sz w:val="20"/>
        </w:rPr>
        <w:t>) issued by Skandinaviska Enskilda Banken AB, as custodian bank for the Spinco SDRs (“</w:t>
      </w:r>
      <w:r>
        <w:rPr>
          <w:rFonts w:ascii="Times New Roman;serif" w:hAnsi="Times New Roman;serif"/>
          <w:b w:val="false"/>
          <w:color w:val="000000"/>
          <w:sz w:val="20"/>
          <w:u w:val="single"/>
        </w:rPr>
        <w:t>Custodian Bank</w:t>
      </w:r>
      <w:r>
        <w:rPr>
          <w:color w:val="000000"/>
        </w:rPr>
        <w:t>”</w:t>
      </w:r>
      <w:r>
        <w:rPr>
          <w:rFonts w:ascii="Times New Roman;serif" w:hAnsi="Times New Roman;serif"/>
          <w:b w:val="false"/>
          <w:color w:val="000000"/>
          <w:sz w:val="20"/>
        </w:rPr>
        <w:t xml:space="preserve">), with each Spinco SDR representing one underlying Spinco Class B Ordinary Share;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WHEREAS, the Spinco Shares to be received by affiliates of Parent and holders of Spinco Class A Ordinary Shares will be recorded in book-entry form with Spinco’s transfer agent, Computershare Trust Company, N.A.;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Parent and Spinco intend the Distribution and Contribution to qualify for the Tax-Free Status;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Parent expects to receive the Tax Opinion in connection with the transactions contemplated hereby;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Parent expects to receive a written confirmation from the Swedish Tax Agency (Sw. Skatteverket) that the Distribution, together with certain related transactions, qualifies as a transaction that is generally tax exempt for Swedish tax purposes under the so-called Lex-ASEA rule in the Swedish Income Tax Act and under the conditions described in the application for written confirmation;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the Parties have provided for and agreed upon the allocation between the Parties of liabilities for Taxes arising prior to, as a result of, and subsequent to the Distribution, and other matters relating to Taxes, in the Tax Disaffiliation Agreement dated on or about the date hereof (the “</w:t>
      </w:r>
      <w:r>
        <w:rPr>
          <w:rFonts w:ascii="Times New Roman;serif" w:hAnsi="Times New Roman;serif"/>
          <w:b w:val="false"/>
          <w:color w:val="000000"/>
          <w:sz w:val="20"/>
          <w:u w:val="single"/>
        </w:rPr>
        <w:t>Tax Disaffiliation Agreement</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WHEREAS, the Parent Board and the Spinco Board have approved this Agreement and the transactions contemplated hereby and thereby, including the Reorganization, Contribution and the Distribution, subject to such further action of the Parent Board as may be required to establish the Record Date and the Distribution Date and to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declare the Distribution (the effectiveness of which will be subject to the satisfaction or permitted waiver of the conditions set forth in this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the holders of Parent Shares have approved the Distribution;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it is appropriate and desirable to set forth the principal corporate transactions required to effect the Reorganization and the Distribution and certain other agreements that will govern certain matters relating to the Reorganization, the Distribution and the ongoing relationship of Parent, Spinco and their respective Subsidiaries.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NOW, THEREFORE, in consideration of the mutual agreements, provisions and covenants contained herein, and for other good and valuable consideration, the receipt and sufficiency of which are hereby acknowledged, the Parties, intending to be legally bound hereby, agree as follows: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I</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DEFINITIONS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1.1 </w:t>
      </w:r>
      <w:r>
        <w:rPr>
          <w:rFonts w:ascii="Times New Roman;serif" w:hAnsi="Times New Roman;serif"/>
          <w:b w:val="false"/>
          <w:color w:val="000000"/>
          <w:sz w:val="20"/>
          <w:u w:val="single"/>
        </w:rPr>
        <w:t>Certain Definitions</w:t>
      </w:r>
      <w:r>
        <w:rPr>
          <w:rFonts w:ascii="Times New Roman;serif" w:hAnsi="Times New Roman;serif"/>
          <w:b w:val="false"/>
          <w:color w:val="000000"/>
          <w:sz w:val="20"/>
        </w:rPr>
        <w:t>. For purposes of this Agreement, the following terms shall have the meanings specified in this Section 1.1:</w:t>
      </w:r>
    </w:p>
    <w:p>
      <w:pPr>
        <w:pStyle w:val="TextBody"/>
        <w:bidi w:val="0"/>
        <w:spacing w:lineRule="auto" w:line="288" w:before="0" w:after="240"/>
        <w:ind w:left="0" w:right="0" w:firstLine="720"/>
        <w:jc w:val="left"/>
        <w:rPr/>
      </w:pPr>
      <w:r>
        <w:rPr>
          <w:rFonts w:ascii="Times New Roman;serif" w:hAnsi="Times New Roman;serif"/>
          <w:b w:val="false"/>
          <w:color w:val="000000"/>
          <w:sz w:val="20"/>
        </w:rPr>
        <w:t>(1) “</w:t>
      </w:r>
      <w:r>
        <w:rPr>
          <w:rFonts w:ascii="Times New Roman;serif" w:hAnsi="Times New Roman;serif"/>
          <w:b w:val="false"/>
          <w:color w:val="000000"/>
          <w:sz w:val="20"/>
          <w:u w:val="single"/>
        </w:rPr>
        <w:t>Action</w:t>
      </w:r>
      <w:r>
        <w:rPr>
          <w:color w:val="000000"/>
        </w:rPr>
        <w:t xml:space="preserve">” </w:t>
      </w:r>
      <w:r>
        <w:rPr>
          <w:rFonts w:ascii="Times New Roman;serif" w:hAnsi="Times New Roman;serif"/>
          <w:b w:val="false"/>
          <w:color w:val="000000"/>
          <w:sz w:val="20"/>
        </w:rPr>
        <w:t>means any claim, action, suit, litigation, arbitration, mediation, inquiry, investigation or other proceeding.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(2) “</w:t>
      </w:r>
      <w:r>
        <w:rPr>
          <w:rFonts w:ascii="Times New Roman;serif" w:hAnsi="Times New Roman;serif"/>
          <w:b w:val="false"/>
          <w:color w:val="000000"/>
          <w:sz w:val="20"/>
          <w:u w:val="single"/>
        </w:rPr>
        <w:t>Affiliate</w:t>
      </w:r>
      <w:r>
        <w:rPr>
          <w:color w:val="000000"/>
        </w:rPr>
        <w:t xml:space="preserve">” </w:t>
      </w:r>
      <w:r>
        <w:rPr>
          <w:rFonts w:ascii="Times New Roman;serif" w:hAnsi="Times New Roman;serif"/>
          <w:b w:val="false"/>
          <w:color w:val="000000"/>
          <w:sz w:val="20"/>
        </w:rPr>
        <w:t>means, with respect to any Person (and at a point in time or with respect to a period of time), any other Person that, directly or indirectly, controls, is controlled by, or is under common control with, such Person, through one or more intermediaries or otherwise. As used herein, “control” (including with correlative meanings,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from and after the Distribution Time, for purposes of this Agreement and the other Transaction Documents, no member of the Spinco Group shall be deemed to be an Affiliate of any member of the Parent Group, and no member of the Parent Group shall be deemed to be an Affiliate of any member of the Spinco Group.</w:t>
      </w:r>
    </w:p>
    <w:p>
      <w:pPr>
        <w:pStyle w:val="TextBody"/>
        <w:bidi w:val="0"/>
        <w:spacing w:lineRule="auto" w:line="288" w:before="0" w:after="240"/>
        <w:ind w:left="0" w:right="0" w:firstLine="720"/>
        <w:jc w:val="left"/>
        <w:rPr/>
      </w:pPr>
      <w:r>
        <w:rPr>
          <w:rFonts w:ascii="Times New Roman;serif" w:hAnsi="Times New Roman;serif"/>
          <w:b w:val="false"/>
          <w:color w:val="000000"/>
          <w:sz w:val="20"/>
        </w:rPr>
        <w:t>(3) “</w:t>
      </w:r>
      <w:r>
        <w:rPr>
          <w:rFonts w:ascii="Times New Roman;serif" w:hAnsi="Times New Roman;serif"/>
          <w:b w:val="false"/>
          <w:color w:val="000000"/>
          <w:sz w:val="20"/>
          <w:u w:val="single"/>
        </w:rPr>
        <w:t>Approvals or Notifications</w:t>
      </w:r>
      <w:r>
        <w:rPr>
          <w:color w:val="000000"/>
        </w:rPr>
        <w:t xml:space="preserve">” </w:t>
      </w:r>
      <w:r>
        <w:rPr>
          <w:rFonts w:ascii="Times New Roman;serif" w:hAnsi="Times New Roman;serif"/>
          <w:b w:val="false"/>
          <w:color w:val="000000"/>
          <w:sz w:val="20"/>
        </w:rPr>
        <w:t>means any Consents or Permits to be obtained from, or reports to be submitted to, or other filings to be made with, any third Person, including any Governmental Authority.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(4) “</w:t>
      </w:r>
      <w:r>
        <w:rPr>
          <w:rFonts w:ascii="Times New Roman;serif" w:hAnsi="Times New Roman;serif"/>
          <w:b w:val="false"/>
          <w:color w:val="000000"/>
          <w:sz w:val="20"/>
          <w:u w:val="single"/>
        </w:rPr>
        <w:t>Assets</w:t>
      </w:r>
      <w:r>
        <w:rPr>
          <w:color w:val="000000"/>
        </w:rPr>
        <w:t xml:space="preserve">” </w:t>
      </w:r>
      <w:r>
        <w:rPr>
          <w:rFonts w:ascii="Times New Roman;serif" w:hAnsi="Times New Roman;serif"/>
          <w:b w:val="false"/>
          <w:color w:val="000000"/>
          <w:sz w:val="20"/>
        </w:rPr>
        <w:t>means, with respect to any Person, any and all of such Person’s right, title and ownership interest in and to all properties, assets, rights, claims, Contracts and businesses of every kind, character and description, whether real, personal or mixed, tangible or intangible, whether accrued, contingent or otherwise, and wherever located (including in the possession of vendors or other third parties or otherwise), in each case, whether or not recorded or required to be recorded, or reflected on, the Books and Records or financial statements of such Person, including the following: (a) all rights existing under all Contracts, including all Government Contracts; (b) the leasehold interest in all leased real properties and all leasehold improvements and all leased machinery, equipment, fixtures, trade fixtures and furniture; (c) all Tangible and Personal Property; (d) all Inventory; (e) all Intellectual Property; (f) all IT Assets; (g) all claims, causes of action, rights of recovery and rights of set-off of any kind; (h) all Books and Records; (i) all goodwill as a going concern; (j) all permits, approvals, authorizations, registrations, consents, licenses or certificates issued by any Governmental Authority (collectively, “</w:t>
      </w:r>
      <w:r>
        <w:rPr>
          <w:rFonts w:ascii="Times New Roman;serif" w:hAnsi="Times New Roman;serif"/>
          <w:b w:val="false"/>
          <w:color w:val="000000"/>
          <w:sz w:val="20"/>
          <w:u w:val="single"/>
        </w:rPr>
        <w:t>Permits</w:t>
      </w:r>
      <w:r>
        <w:rPr>
          <w:color w:val="000000"/>
        </w:rPr>
        <w:t>”</w:t>
      </w:r>
      <w:r>
        <w:rPr>
          <w:rFonts w:ascii="Times New Roman;serif" w:hAnsi="Times New Roman;serif"/>
          <w:b w:val="false"/>
          <w:color w:val="000000"/>
          <w:sz w:val="20"/>
        </w:rPr>
        <w:t>); (k) all Equity Interests of any other Person, all bonds, notes, debentures or other securities issued by any other Person, all loans, advances or other extensions of credit or capital contributions to any other Person and all other investments in securities of any other Person; and (l) all cash or cash equivalents, certificates of deposit, banker’s acceptances and other investment securities of any form or maturity and all bank accounts, lock boxes and other deposit arrangements and all brokerage accounts.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(5) “</w:t>
      </w:r>
      <w:r>
        <w:rPr>
          <w:rFonts w:ascii="Times New Roman;serif" w:hAnsi="Times New Roman;serif"/>
          <w:b w:val="false"/>
          <w:color w:val="000000"/>
          <w:sz w:val="20"/>
          <w:u w:val="single"/>
        </w:rPr>
        <w:t>Books and Records</w:t>
      </w:r>
      <w:r>
        <w:rPr>
          <w:color w:val="000000"/>
        </w:rPr>
        <w:t xml:space="preserve">” </w:t>
      </w:r>
      <w:r>
        <w:rPr>
          <w:rFonts w:ascii="Times New Roman;serif" w:hAnsi="Times New Roman;serif"/>
          <w:b w:val="false"/>
          <w:color w:val="000000"/>
          <w:sz w:val="20"/>
        </w:rPr>
        <w:t>means all written files, documents, papers, books of account, reports, records, plans, ledgers, studies, surveys, financial and accounting records and other similar documents (whether or not in electronic form), including (a) the data contained in any enterprise resource planning system, quality management system or complaint system; (b) customer files, lists (including customer prospect lists) and purchasing histories; (c) vendor files, lists and purchase histories; (d) advertising and marketing materials; (e) sales materials, cost information, and sales and pricing data; (f) operating, production and other manuals; and (g) quality records and reports.</w:t>
      </w:r>
    </w:p>
    <w:p>
      <w:pPr>
        <w:pStyle w:val="TextBody"/>
        <w:bidi w:val="0"/>
        <w:spacing w:lineRule="auto" w:line="288" w:before="0" w:after="240"/>
        <w:ind w:left="0" w:right="0" w:firstLine="720"/>
        <w:jc w:val="left"/>
        <w:rPr/>
      </w:pPr>
      <w:r>
        <w:rPr>
          <w:rFonts w:ascii="Times New Roman;serif" w:hAnsi="Times New Roman;serif"/>
          <w:b w:val="false"/>
          <w:color w:val="000000"/>
          <w:sz w:val="20"/>
        </w:rPr>
        <w:t>(6) “</w:t>
      </w:r>
      <w:r>
        <w:rPr>
          <w:rFonts w:ascii="Times New Roman;serif" w:hAnsi="Times New Roman;serif"/>
          <w:b w:val="false"/>
          <w:color w:val="000000"/>
          <w:sz w:val="20"/>
          <w:u w:val="single"/>
        </w:rPr>
        <w:t>Business Day</w:t>
      </w:r>
      <w:r>
        <w:rPr>
          <w:color w:val="000000"/>
        </w:rPr>
        <w:t xml:space="preserve">” </w:t>
      </w:r>
      <w:r>
        <w:rPr>
          <w:rFonts w:ascii="Times New Roman;serif" w:hAnsi="Times New Roman;serif"/>
          <w:b w:val="false"/>
          <w:color w:val="000000"/>
          <w:sz w:val="20"/>
        </w:rPr>
        <w:t>means any day that is not a Saturday, a Sunday or other day on which banking institutions are authorized or obligated by Law to be closed in Stockholm, Sweden; Dublin, Ireland or New York, New York, United States.</w:t>
      </w:r>
    </w:p>
    <w:p>
      <w:pPr>
        <w:pStyle w:val="TextBody"/>
        <w:bidi w:val="0"/>
        <w:spacing w:lineRule="auto" w:line="288" w:before="0" w:after="240"/>
        <w:ind w:left="0" w:right="0" w:firstLine="720"/>
        <w:jc w:val="left"/>
        <w:rPr/>
      </w:pPr>
      <w:r>
        <w:rPr>
          <w:rFonts w:ascii="Times New Roman;serif" w:hAnsi="Times New Roman;serif"/>
          <w:b w:val="false"/>
          <w:color w:val="000000"/>
          <w:sz w:val="20"/>
        </w:rPr>
        <w:t>(7) “</w:t>
      </w:r>
      <w:r>
        <w:rPr>
          <w:rFonts w:ascii="Times New Roman;serif" w:hAnsi="Times New Roman;serif"/>
          <w:b w:val="false"/>
          <w:color w:val="000000"/>
          <w:sz w:val="20"/>
          <w:u w:val="single"/>
        </w:rPr>
        <w:t>Code</w:t>
      </w:r>
      <w:r>
        <w:rPr>
          <w:color w:val="000000"/>
        </w:rPr>
        <w:t xml:space="preserve">” </w:t>
      </w:r>
      <w:r>
        <w:rPr>
          <w:rFonts w:ascii="Times New Roman;serif" w:hAnsi="Times New Roman;serif"/>
          <w:b w:val="false"/>
          <w:color w:val="000000"/>
          <w:sz w:val="20"/>
        </w:rPr>
        <w:t>means the Internal Revenue Code of 1986, as amended.</w:t>
      </w:r>
    </w:p>
    <w:p>
      <w:pPr>
        <w:pStyle w:val="TextBody"/>
        <w:bidi w:val="0"/>
        <w:spacing w:lineRule="auto" w:line="288" w:before="0" w:after="240"/>
        <w:ind w:left="0" w:right="0" w:firstLine="720"/>
        <w:jc w:val="left"/>
        <w:rPr/>
      </w:pPr>
      <w:r>
        <w:rPr>
          <w:rFonts w:ascii="Times New Roman;serif" w:hAnsi="Times New Roman;serif"/>
          <w:b w:val="false"/>
          <w:color w:val="000000"/>
          <w:sz w:val="20"/>
        </w:rPr>
        <w:t>(8) “</w:t>
      </w:r>
      <w:r>
        <w:rPr>
          <w:rFonts w:ascii="Times New Roman;serif" w:hAnsi="Times New Roman;serif"/>
          <w:b w:val="false"/>
          <w:color w:val="000000"/>
          <w:sz w:val="20"/>
          <w:u w:val="single"/>
        </w:rPr>
        <w:t>Consent</w:t>
      </w:r>
      <w:r>
        <w:rPr>
          <w:color w:val="000000"/>
        </w:rPr>
        <w:t xml:space="preserve">” </w:t>
      </w:r>
      <w:r>
        <w:rPr>
          <w:rFonts w:ascii="Times New Roman;serif" w:hAnsi="Times New Roman;serif"/>
          <w:b w:val="false"/>
          <w:color w:val="000000"/>
          <w:sz w:val="20"/>
        </w:rPr>
        <w:t>means any consent, clearance, expiration or termination of a waiting period, approval, exemption, waiver, authorization, filing, registration or notification.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(9) “</w:t>
      </w:r>
      <w:r>
        <w:rPr>
          <w:rFonts w:ascii="Times New Roman;serif" w:hAnsi="Times New Roman;serif"/>
          <w:b w:val="false"/>
          <w:color w:val="000000"/>
          <w:sz w:val="20"/>
          <w:u w:val="single"/>
        </w:rPr>
        <w:t>Contract</w:t>
      </w:r>
      <w:r>
        <w:rPr>
          <w:color w:val="000000"/>
        </w:rPr>
        <w:t xml:space="preserve">” </w:t>
      </w:r>
      <w:r>
        <w:rPr>
          <w:rFonts w:ascii="Times New Roman;serif" w:hAnsi="Times New Roman;serif"/>
          <w:b w:val="false"/>
          <w:color w:val="000000"/>
          <w:sz w:val="20"/>
        </w:rPr>
        <w:t>means any binding contract, agreement, understanding, arrangement, loan or credit agreement, note, bond, indenture, lease, warranty, accepted purchase order with outstanding performance obligations at the applicable time of determination, sublicense or license or other instrument.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(10) “</w:t>
      </w:r>
      <w:r>
        <w:rPr>
          <w:rFonts w:ascii="Times New Roman;serif" w:hAnsi="Times New Roman;serif"/>
          <w:b w:val="false"/>
          <w:color w:val="000000"/>
          <w:sz w:val="20"/>
          <w:u w:val="single"/>
        </w:rPr>
        <w:t>Contribution</w:t>
      </w:r>
      <w:r>
        <w:rPr>
          <w:color w:val="000000"/>
        </w:rPr>
        <w:t xml:space="preserve">” </w:t>
      </w:r>
      <w:r>
        <w:rPr>
          <w:rFonts w:ascii="Times New Roman;serif" w:hAnsi="Times New Roman;serif"/>
          <w:b w:val="false"/>
          <w:color w:val="000000"/>
          <w:sz w:val="20"/>
        </w:rPr>
        <w:t xml:space="preserve">has the meaning set forth in the recitals. </w:t>
      </w:r>
    </w:p>
    <w:p>
      <w:pPr>
        <w:pStyle w:val="TextBody"/>
        <w:bidi w:val="0"/>
        <w:spacing w:lineRule="auto" w:line="288" w:before="0" w:after="240"/>
        <w:ind w:left="0" w:right="0" w:firstLine="720"/>
        <w:jc w:val="left"/>
        <w:rPr/>
      </w:pPr>
      <w:r>
        <w:rPr>
          <w:rFonts w:ascii="Times New Roman;serif" w:hAnsi="Times New Roman;serif"/>
          <w:b w:val="false"/>
          <w:color w:val="000000"/>
          <w:sz w:val="20"/>
        </w:rPr>
        <w:t>(11) “</w:t>
      </w:r>
      <w:r>
        <w:rPr>
          <w:rFonts w:ascii="Times New Roman;serif" w:hAnsi="Times New Roman;serif"/>
          <w:b w:val="false"/>
          <w:color w:val="000000"/>
          <w:sz w:val="20"/>
          <w:u w:val="single"/>
        </w:rPr>
        <w:t>Corporate Business Purposes</w:t>
      </w:r>
      <w:r>
        <w:rPr>
          <w:color w:val="000000"/>
        </w:rPr>
        <w:t xml:space="preserve">” </w:t>
      </w:r>
      <w:r>
        <w:rPr>
          <w:rFonts w:ascii="Times New Roman;serif" w:hAnsi="Times New Roman;serif"/>
          <w:b w:val="false"/>
          <w:color w:val="000000"/>
          <w:sz w:val="20"/>
        </w:rPr>
        <w:t>has the meaning in the Tax Disaffiliation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(12) “</w:t>
      </w:r>
      <w:r>
        <w:rPr>
          <w:rFonts w:ascii="Times New Roman;serif" w:hAnsi="Times New Roman;serif"/>
          <w:b w:val="false"/>
          <w:color w:val="000000"/>
          <w:sz w:val="20"/>
          <w:u w:val="single"/>
        </w:rPr>
        <w:t>Custodian Bank</w:t>
      </w:r>
      <w:r>
        <w:rPr>
          <w:color w:val="000000"/>
        </w:rPr>
        <w:t xml:space="preserve">” </w:t>
      </w:r>
      <w:r>
        <w:rPr>
          <w:rFonts w:ascii="Times New Roman;serif" w:hAnsi="Times New Roman;serif"/>
          <w:b w:val="false"/>
          <w:color w:val="000000"/>
          <w:sz w:val="20"/>
        </w:rPr>
        <w:t xml:space="preserve">has the meaning set forth in the recitals. </w:t>
      </w:r>
    </w:p>
    <w:p>
      <w:pPr>
        <w:pStyle w:val="TextBody"/>
        <w:bidi w:val="0"/>
        <w:spacing w:lineRule="auto" w:line="288" w:before="0" w:after="240"/>
        <w:ind w:left="0" w:right="0" w:firstLine="720"/>
        <w:jc w:val="left"/>
        <w:rPr/>
      </w:pPr>
      <w:r>
        <w:rPr>
          <w:rFonts w:ascii="Times New Roman;serif" w:hAnsi="Times New Roman;serif"/>
          <w:b w:val="false"/>
          <w:color w:val="000000"/>
          <w:sz w:val="20"/>
        </w:rPr>
        <w:t>(13) “</w:t>
      </w:r>
      <w:r>
        <w:rPr>
          <w:rFonts w:ascii="Times New Roman;serif" w:hAnsi="Times New Roman;serif"/>
          <w:b w:val="false"/>
          <w:color w:val="000000"/>
          <w:sz w:val="20"/>
          <w:u w:val="single"/>
        </w:rPr>
        <w:t>Directly Transferred Entity</w:t>
      </w:r>
      <w:r>
        <w:rPr>
          <w:color w:val="000000"/>
        </w:rPr>
        <w:t xml:space="preserve">” </w:t>
      </w:r>
      <w:r>
        <w:rPr>
          <w:rFonts w:ascii="Times New Roman;serif" w:hAnsi="Times New Roman;serif"/>
          <w:b w:val="false"/>
          <w:color w:val="000000"/>
          <w:sz w:val="20"/>
        </w:rPr>
        <w:t>means Hexagon Intergraph AB, Octave Intelligence Finance Limited, Intergraph Corporation and Hexagon Technology Center GmbH, including any of their Subsidiaries.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(14) “</w:t>
      </w:r>
      <w:r>
        <w:rPr>
          <w:rFonts w:ascii="Times New Roman;serif" w:hAnsi="Times New Roman;serif"/>
          <w:b w:val="false"/>
          <w:color w:val="000000"/>
          <w:sz w:val="20"/>
          <w:u w:val="single"/>
        </w:rPr>
        <w:t>Disclosure Documents</w:t>
      </w:r>
      <w:r>
        <w:rPr>
          <w:color w:val="000000"/>
        </w:rPr>
        <w:t xml:space="preserve">” </w:t>
      </w:r>
      <w:r>
        <w:rPr>
          <w:rFonts w:ascii="Times New Roman;serif" w:hAnsi="Times New Roman;serif"/>
          <w:b w:val="false"/>
          <w:color w:val="000000"/>
          <w:sz w:val="20"/>
        </w:rPr>
        <w:t>means (a) the Form 10 or any other registration statement to be filed by Spinco with the SEC to effect the registration of the Spinco Class B Ordinary Shares in connection with the Distribution, and also includes any amendment or supplement thereto, (b) the prospectus to be filed by Spinco with the SFSA and approved by the SFSA as the competent authority under the Prospectus Regulation (EU) 2017/1129, and (c) any information statement, current or periodic report or similar disclosure document, whether or not filed with the SEC or any other Governmental Authority in connection with the Distribution and transactions contemplated hereby; in each case, which describes the Reorganization or the Spinco Group or primarily relates to the transactions contemplated hereby.</w:t>
      </w:r>
    </w:p>
    <w:p>
      <w:pPr>
        <w:pStyle w:val="TextBody"/>
        <w:bidi w:val="0"/>
        <w:spacing w:lineRule="auto" w:line="288" w:before="0" w:after="240"/>
        <w:ind w:left="0" w:right="0" w:firstLine="720"/>
        <w:jc w:val="left"/>
        <w:rPr/>
      </w:pPr>
      <w:r>
        <w:rPr>
          <w:rFonts w:ascii="Times New Roman;serif" w:hAnsi="Times New Roman;serif"/>
          <w:b w:val="false"/>
          <w:color w:val="000000"/>
          <w:sz w:val="20"/>
        </w:rPr>
        <w:t>(15) “</w:t>
      </w:r>
      <w:r>
        <w:rPr>
          <w:rFonts w:ascii="Times New Roman;serif" w:hAnsi="Times New Roman;serif"/>
          <w:b w:val="false"/>
          <w:color w:val="000000"/>
          <w:sz w:val="20"/>
          <w:u w:val="single"/>
        </w:rPr>
        <w:t>Distribution Agent</w:t>
      </w:r>
      <w:r>
        <w:rPr>
          <w:color w:val="000000"/>
        </w:rPr>
        <w:t xml:space="preserve">” </w:t>
      </w:r>
      <w:r>
        <w:rPr>
          <w:rFonts w:ascii="Times New Roman;serif" w:hAnsi="Times New Roman;serif"/>
          <w:b w:val="false"/>
          <w:color w:val="000000"/>
          <w:sz w:val="20"/>
        </w:rPr>
        <w:t>means Computershare Trust Company, N.A. as transfer, distribution agent and registrar for Spinco Shares.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(16) “</w:t>
      </w:r>
      <w:r>
        <w:rPr>
          <w:rFonts w:ascii="Times New Roman;serif" w:hAnsi="Times New Roman;serif"/>
          <w:b w:val="false"/>
          <w:color w:val="000000"/>
          <w:sz w:val="20"/>
          <w:u w:val="single"/>
        </w:rPr>
        <w:t>Distribution Date</w:t>
      </w:r>
      <w:r>
        <w:rPr>
          <w:color w:val="000000"/>
        </w:rPr>
        <w:t xml:space="preserve">” </w:t>
      </w:r>
      <w:r>
        <w:rPr>
          <w:rFonts w:ascii="Times New Roman;serif" w:hAnsi="Times New Roman;serif"/>
          <w:b w:val="false"/>
          <w:color w:val="000000"/>
          <w:sz w:val="20"/>
        </w:rPr>
        <w:t>means the date on which (through the Distribution) the Spinco Shares and Spinco SDRs are issued to the holders of Parent Shares.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(17) “</w:t>
      </w:r>
      <w:r>
        <w:rPr>
          <w:rFonts w:ascii="Times New Roman;serif" w:hAnsi="Times New Roman;serif"/>
          <w:b w:val="false"/>
          <w:color w:val="000000"/>
          <w:sz w:val="20"/>
          <w:u w:val="single"/>
        </w:rPr>
        <w:t>Distribution Time</w:t>
      </w:r>
      <w:r>
        <w:rPr>
          <w:color w:val="000000"/>
        </w:rPr>
        <w:t xml:space="preserve">” </w:t>
      </w:r>
      <w:r>
        <w:rPr>
          <w:rFonts w:ascii="Times New Roman;serif" w:hAnsi="Times New Roman;serif"/>
          <w:b w:val="false"/>
          <w:color w:val="000000"/>
          <w:sz w:val="20"/>
        </w:rPr>
        <w:t>means the time at which the Distribution occurs on the Distribution Date, which for accounting purposes shall be deemed to be [1:30 p.m.], Stockholm time, unless another time is selected by the Parties.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(18) “</w:t>
      </w:r>
      <w:r>
        <w:rPr>
          <w:rFonts w:ascii="Times New Roman;serif" w:hAnsi="Times New Roman;serif"/>
          <w:b w:val="false"/>
          <w:color w:val="000000"/>
          <w:sz w:val="20"/>
          <w:u w:val="single"/>
        </w:rPr>
        <w:t>Employee Matters Agreement</w:t>
      </w:r>
      <w:r>
        <w:rPr>
          <w:color w:val="000000"/>
        </w:rPr>
        <w:t xml:space="preserve">” </w:t>
      </w:r>
      <w:r>
        <w:rPr>
          <w:rFonts w:ascii="Times New Roman;serif" w:hAnsi="Times New Roman;serif"/>
          <w:b w:val="false"/>
          <w:color w:val="000000"/>
          <w:sz w:val="20"/>
        </w:rPr>
        <w:t>means the Employee Matters Agreement dated as of the date hereof between Parent and Spinco.</w:t>
      </w:r>
    </w:p>
    <w:p>
      <w:pPr>
        <w:pStyle w:val="TextBody"/>
        <w:bidi w:val="0"/>
        <w:spacing w:lineRule="auto" w:line="288" w:before="0" w:after="240"/>
        <w:ind w:left="0" w:right="0" w:firstLine="720"/>
        <w:jc w:val="left"/>
        <w:rPr/>
      </w:pPr>
      <w:r>
        <w:rPr>
          <w:rFonts w:ascii="Times New Roman;serif" w:hAnsi="Times New Roman;serif"/>
          <w:b w:val="false"/>
          <w:color w:val="000000"/>
          <w:sz w:val="20"/>
        </w:rPr>
        <w:t>(19) “</w:t>
      </w:r>
      <w:r>
        <w:rPr>
          <w:rFonts w:ascii="Times New Roman;serif" w:hAnsi="Times New Roman;serif"/>
          <w:b w:val="false"/>
          <w:color w:val="000000"/>
          <w:sz w:val="20"/>
          <w:u w:val="single"/>
        </w:rPr>
        <w:t>Environmental Law</w:t>
      </w:r>
      <w:r>
        <w:rPr>
          <w:color w:val="000000"/>
        </w:rPr>
        <w:t xml:space="preserve">” </w:t>
      </w:r>
      <w:r>
        <w:rPr>
          <w:rFonts w:ascii="Times New Roman;serif" w:hAnsi="Times New Roman;serif"/>
          <w:b w:val="false"/>
          <w:color w:val="000000"/>
          <w:sz w:val="20"/>
        </w:rPr>
        <w:t xml:space="preserve">means any Law relating to pollution or the protection of the environment, human health and safety (as it relates to Hazardous Substances) or natural resources, including as such Law relates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use, handling, transportation, treatment, storage, disposal, Release or discharge of any toxic or hazardous substance, material or waste.</w:t>
      </w:r>
    </w:p>
    <w:p>
      <w:pPr>
        <w:pStyle w:val="TextBody"/>
        <w:bidi w:val="0"/>
        <w:spacing w:lineRule="auto" w:line="288" w:before="0" w:after="240"/>
        <w:ind w:left="0" w:right="0" w:firstLine="720"/>
        <w:jc w:val="left"/>
        <w:rPr/>
      </w:pPr>
      <w:r>
        <w:rPr>
          <w:rFonts w:ascii="Times New Roman;serif" w:hAnsi="Times New Roman;serif"/>
          <w:b w:val="false"/>
          <w:color w:val="000000"/>
          <w:sz w:val="20"/>
        </w:rPr>
        <w:t>(20) “</w:t>
      </w:r>
      <w:r>
        <w:rPr>
          <w:rFonts w:ascii="Times New Roman;serif" w:hAnsi="Times New Roman;serif"/>
          <w:b w:val="false"/>
          <w:color w:val="000000"/>
          <w:sz w:val="20"/>
          <w:u w:val="single"/>
        </w:rPr>
        <w:t>Environmental Liabilities</w:t>
      </w:r>
      <w:r>
        <w:rPr>
          <w:color w:val="000000"/>
        </w:rPr>
        <w:t xml:space="preserve">” </w:t>
      </w:r>
      <w:r>
        <w:rPr>
          <w:rFonts w:ascii="Times New Roman;serif" w:hAnsi="Times New Roman;serif"/>
          <w:b w:val="false"/>
          <w:color w:val="000000"/>
          <w:sz w:val="20"/>
        </w:rPr>
        <w:t>means all Liabilities (including all removal, remediation, cleanup or monitoring costs, investigatory costs, response costs, natural resources damages, property damages, personal injury damages, costs of compliance with any product take back requirements or with any settlement, judgment or other final determination of Liability and indemnity, contribution or similar obligations and all costs and expenses, interest, fines, penalties or other monetary sanctions in connection therewith) to the extent relating to, arising out of or resulting from any (a) actual or alleged (i) compliance or noncompliance with any Environmental Law or any Permit issued thereunder, (ii) generation, use, storage, manufacture, processing, recycling, labeling, handling, possession, management, treatment, transportation, distribution, emission, discharge or disposal of any Hazardous Substance, or (iii) presence, Release or threatened Release of, or exposure to, any Hazardous Substance or any related Remedial Action required pursuant to any Environmental Laws or (b) contract, agreement, or other consensual arrangement pursuant to which Liability is assumed or imposed with respect to any of the foregoing in clauses (a)(i) through (a)(iii).</w:t>
      </w:r>
    </w:p>
    <w:p>
      <w:pPr>
        <w:pStyle w:val="TextBody"/>
        <w:bidi w:val="0"/>
        <w:spacing w:lineRule="auto" w:line="288" w:before="0" w:after="240"/>
        <w:ind w:left="0" w:right="0" w:firstLine="720"/>
        <w:jc w:val="left"/>
        <w:rPr/>
      </w:pPr>
      <w:r>
        <w:rPr>
          <w:rFonts w:ascii="Times New Roman;serif" w:hAnsi="Times New Roman;serif"/>
          <w:b w:val="false"/>
          <w:color w:val="000000"/>
          <w:sz w:val="20"/>
        </w:rPr>
        <w:t>(21) “</w:t>
      </w:r>
      <w:r>
        <w:rPr>
          <w:rFonts w:ascii="Times New Roman;serif" w:hAnsi="Times New Roman;serif"/>
          <w:b w:val="false"/>
          <w:color w:val="000000"/>
          <w:sz w:val="20"/>
          <w:u w:val="single"/>
        </w:rPr>
        <w:t>Equity Interests</w:t>
      </w:r>
      <w:r>
        <w:rPr>
          <w:color w:val="000000"/>
        </w:rPr>
        <w:t xml:space="preserve">” </w:t>
      </w:r>
      <w:r>
        <w:rPr>
          <w:rFonts w:ascii="Times New Roman;serif" w:hAnsi="Times New Roman;serif"/>
          <w:b w:val="false"/>
          <w:color w:val="000000"/>
          <w:sz w:val="20"/>
        </w:rPr>
        <w:t>means: (a) the shares of capital stock of a corporation; (b) the general or limited partnership interests of any partnership; (c) the membership or other ownership interest of any limited liability company; (d) the equity securities or other ownership interests of any kind of any other legal entity; or (e) any option, warrant or other right to convert into or otherwise receive any of the foregoing or any other Contract or obligation pursuant to which such Person is or may become obligated to issue, sell or return any of the foregoing, in any such case of any of clauses (a) through (e) of this definition, whether owned or held beneficially, of record or legally.</w:t>
      </w:r>
    </w:p>
    <w:p>
      <w:pPr>
        <w:pStyle w:val="TextBody"/>
        <w:bidi w:val="0"/>
        <w:spacing w:lineRule="auto" w:line="288" w:before="0" w:after="240"/>
        <w:ind w:left="0" w:right="0" w:firstLine="720"/>
        <w:jc w:val="left"/>
        <w:rPr/>
      </w:pPr>
      <w:r>
        <w:rPr>
          <w:rFonts w:ascii="Times New Roman;serif" w:hAnsi="Times New Roman;serif"/>
          <w:b w:val="false"/>
          <w:color w:val="000000"/>
          <w:sz w:val="20"/>
        </w:rPr>
        <w:t>(22) “</w:t>
      </w:r>
      <w:r>
        <w:rPr>
          <w:rFonts w:ascii="Times New Roman;serif" w:hAnsi="Times New Roman;serif"/>
          <w:b w:val="false"/>
          <w:color w:val="000000"/>
          <w:sz w:val="20"/>
          <w:u w:val="single"/>
        </w:rPr>
        <w:t>Exchange Act</w:t>
      </w:r>
      <w:r>
        <w:rPr>
          <w:color w:val="000000"/>
        </w:rPr>
        <w:t xml:space="preserve">” </w:t>
      </w:r>
      <w:r>
        <w:rPr>
          <w:rFonts w:ascii="Times New Roman;serif" w:hAnsi="Times New Roman;serif"/>
          <w:b w:val="false"/>
          <w:color w:val="000000"/>
          <w:sz w:val="20"/>
        </w:rPr>
        <w:t>means the United States Securities Exchange Act of 1934, as amended, and the rules and regulations of the SEC thereunder, all as the same shall be in effect at the time that reference is made.</w:t>
      </w:r>
    </w:p>
    <w:p>
      <w:pPr>
        <w:pStyle w:val="TextBody"/>
        <w:bidi w:val="0"/>
        <w:spacing w:lineRule="auto" w:line="288" w:before="0" w:after="240"/>
        <w:ind w:left="0" w:right="0" w:firstLine="720"/>
        <w:jc w:val="left"/>
        <w:rPr/>
      </w:pPr>
      <w:r>
        <w:rPr>
          <w:rFonts w:ascii="Times New Roman;serif" w:hAnsi="Times New Roman;serif"/>
          <w:b w:val="false"/>
          <w:color w:val="000000"/>
          <w:sz w:val="20"/>
        </w:rPr>
        <w:t>(23) “</w:t>
      </w:r>
      <w:r>
        <w:rPr>
          <w:rFonts w:ascii="Times New Roman;serif" w:hAnsi="Times New Roman;serif"/>
          <w:b w:val="false"/>
          <w:color w:val="000000"/>
          <w:sz w:val="20"/>
          <w:u w:val="single"/>
        </w:rPr>
        <w:t>Existing Spinco Shares</w:t>
      </w:r>
      <w:r>
        <w:rPr>
          <w:color w:val="000000"/>
        </w:rPr>
        <w:t xml:space="preserve">” </w:t>
      </w:r>
      <w:r>
        <w:rPr>
          <w:rFonts w:ascii="Times New Roman;serif" w:hAnsi="Times New Roman;serif"/>
          <w:b w:val="false"/>
          <w:color w:val="000000"/>
          <w:sz w:val="20"/>
        </w:rPr>
        <w:t>means the issued share capital of Spinco immediately prior to the Distribution Time, being the 101 deferred shares of EUR€1.00 each in the capital of Spinco held by Parent.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(24) “</w:t>
      </w:r>
      <w:r>
        <w:rPr>
          <w:rFonts w:ascii="Times New Roman;serif" w:hAnsi="Times New Roman;serif"/>
          <w:b w:val="false"/>
          <w:color w:val="000000"/>
          <w:sz w:val="20"/>
          <w:u w:val="single"/>
        </w:rPr>
        <w:t>Force Majeure</w:t>
      </w:r>
      <w:r>
        <w:rPr>
          <w:color w:val="000000"/>
        </w:rPr>
        <w:t xml:space="preserve">” </w:t>
      </w:r>
      <w:r>
        <w:rPr>
          <w:rFonts w:ascii="Times New Roman;serif" w:hAnsi="Times New Roman;serif"/>
          <w:b w:val="false"/>
          <w:color w:val="000000"/>
          <w:sz w:val="20"/>
        </w:rPr>
        <w:t>means, with respect to a Party, an event beyond the reasonable control of such Party (or any Person acting on its behalf), which by its nature could not reasonably have been foreseen by such Party (or such Person), or, if it could have been foreseen, was unavoidable, and includes acts of God, storms, floods, riots, fires, sabotage, labor unrest, epidemics, pandemics, nuclear incidents, civil commotion or civil unrest, interference by civil or military authorities, acts of war (declared or undeclared) or armed hostilities or other national or international calamity or one or more acts of terrorism or failure of energy sources.</w:t>
      </w:r>
    </w:p>
    <w:p>
      <w:pPr>
        <w:pStyle w:val="TextBody"/>
        <w:bidi w:val="0"/>
        <w:spacing w:lineRule="auto" w:line="288" w:before="0" w:after="240"/>
        <w:ind w:left="0" w:right="0" w:firstLine="720"/>
        <w:jc w:val="left"/>
        <w:rPr/>
      </w:pPr>
      <w:r>
        <w:rPr>
          <w:rFonts w:ascii="Times New Roman;serif" w:hAnsi="Times New Roman;serif"/>
          <w:b w:val="false"/>
          <w:color w:val="000000"/>
          <w:sz w:val="20"/>
        </w:rPr>
        <w:t>(25) “</w:t>
      </w:r>
      <w:r>
        <w:rPr>
          <w:rFonts w:ascii="Times New Roman;serif" w:hAnsi="Times New Roman;serif"/>
          <w:b w:val="false"/>
          <w:color w:val="000000"/>
          <w:sz w:val="20"/>
          <w:u w:val="single"/>
        </w:rPr>
        <w:t>Form 10</w:t>
      </w:r>
      <w:r>
        <w:rPr>
          <w:color w:val="000000"/>
        </w:rPr>
        <w:t xml:space="preserve">” </w:t>
      </w:r>
      <w:r>
        <w:rPr>
          <w:rFonts w:ascii="Times New Roman;serif" w:hAnsi="Times New Roman;serif"/>
          <w:b w:val="false"/>
          <w:color w:val="000000"/>
          <w:sz w:val="20"/>
        </w:rPr>
        <w:t>means the registration statement on Form 10 (or such other registration statement as may be mutually agreed by the parties) filed by Spinco with the SEC to effect the registration of Spinco Class B Ordinary Shares pursuant to the Exchange Act in connection with the Distribution, as such registration statement may be amended or supplemented from time to time prior to the Distribution.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(26) “</w:t>
      </w:r>
      <w:r>
        <w:rPr>
          <w:rFonts w:ascii="Times New Roman;serif" w:hAnsi="Times New Roman;serif"/>
          <w:b w:val="false"/>
          <w:color w:val="000000"/>
          <w:sz w:val="20"/>
          <w:u w:val="single"/>
        </w:rPr>
        <w:t>Government Contract</w:t>
      </w:r>
      <w:r>
        <w:rPr>
          <w:color w:val="000000"/>
        </w:rPr>
        <w:t xml:space="preserve">” </w:t>
      </w:r>
      <w:r>
        <w:rPr>
          <w:rFonts w:ascii="Times New Roman;serif" w:hAnsi="Times New Roman;serif"/>
          <w:b w:val="false"/>
          <w:color w:val="000000"/>
          <w:sz w:val="20"/>
        </w:rPr>
        <w:t>means (a) with respect to Parent, and with respect to Spinco prior to the Distribution Time, any Contract between Parent (or any Subsidiary thereof, including any Spinco Entity), on the one hand, and (i) the U.S. federal government or other Governmental Authority, (ii) any prime contractor to the U.S. federal government or other Governmental Authority in its capacity as a prime contractor, or (iii) any subcontractor with respect to any Contract described in clause (i) or clause (ii) above, on the other hand, in the cases of each of clauses (i) through (iii), relating to the operation of the Spinco Business, and (b) with respect to Spinco on or following the Distribution Time, any Contract between Spinco (or any Subsidiary thereof), on the one hand, and (i) the U.S. federal government or other Governmental Authority, (ii) any prime contractor to the U.S. federal government or other Governmental Authority in its capacity as a prime contractor, or (iii) any subcontractor with respect to any Contract described in clause (i) or clause (ii) above, on the other hand. A task, purchase or delivery order under a Government Contract shall not constitute a separate Government Contract, for purposes of this definition, but shall be part of the Government Contract to which it relates.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(27) “</w:t>
      </w:r>
      <w:r>
        <w:rPr>
          <w:rFonts w:ascii="Times New Roman;serif" w:hAnsi="Times New Roman;serif"/>
          <w:b w:val="false"/>
          <w:color w:val="000000"/>
          <w:sz w:val="20"/>
          <w:u w:val="single"/>
        </w:rPr>
        <w:t>Governmental Authority</w:t>
      </w:r>
      <w:r>
        <w:rPr>
          <w:color w:val="000000"/>
        </w:rPr>
        <w:t xml:space="preserve">” </w:t>
      </w:r>
      <w:r>
        <w:rPr>
          <w:rFonts w:ascii="Times New Roman;serif" w:hAnsi="Times New Roman;serif"/>
          <w:b w:val="false"/>
          <w:color w:val="000000"/>
          <w:sz w:val="20"/>
        </w:rPr>
        <w:t>means any federal, state, local, transnational, supranational or foreign government, any Person exercising executive, legislative, judicial, regulatory or administrative function of or pertaining to government or Law, including any regulatory, self-regulatory or quasi-regulatory authority, agency, commission, body, department or other instrumentality, and any court, arbitral body or tribunal of competent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(28) “</w:t>
      </w:r>
      <w:r>
        <w:rPr>
          <w:rFonts w:ascii="Times New Roman;serif" w:hAnsi="Times New Roman;serif"/>
          <w:b w:val="false"/>
          <w:color w:val="000000"/>
          <w:sz w:val="20"/>
          <w:u w:val="single"/>
        </w:rPr>
        <w:t>Group</w:t>
      </w:r>
      <w:r>
        <w:rPr>
          <w:color w:val="000000"/>
        </w:rPr>
        <w:t xml:space="preserve">” </w:t>
      </w:r>
      <w:r>
        <w:rPr>
          <w:rFonts w:ascii="Times New Roman;serif" w:hAnsi="Times New Roman;serif"/>
          <w:b w:val="false"/>
          <w:color w:val="000000"/>
          <w:sz w:val="20"/>
        </w:rPr>
        <w:t>means the Parent Group or the Spinco Group, as the context requires.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(29) “</w:t>
      </w:r>
      <w:r>
        <w:rPr>
          <w:rFonts w:ascii="Times New Roman;serif" w:hAnsi="Times New Roman;serif"/>
          <w:b w:val="false"/>
          <w:color w:val="000000"/>
          <w:sz w:val="20"/>
          <w:u w:val="single"/>
        </w:rPr>
        <w:t>Hazardous Substances</w:t>
      </w:r>
      <w:r>
        <w:rPr>
          <w:color w:val="000000"/>
        </w:rPr>
        <w:t xml:space="preserve">” </w:t>
      </w:r>
      <w:r>
        <w:rPr>
          <w:rFonts w:ascii="Times New Roman;serif" w:hAnsi="Times New Roman;serif"/>
          <w:b w:val="false"/>
          <w:color w:val="000000"/>
          <w:sz w:val="20"/>
        </w:rPr>
        <w:t>means any toxic, reactive, corrosive, ignitable or flammable chemical or chemical compound, or hazardous or toxic substance, material or waste, or any pollutant or contaminant, whether solid, liquid or gas, that is subject to regulation, control or remediation or for which liability or standards of care are imposed under any Environmental Law, including petroleum (including crude oil or any fraction thereof and any petroleum product), radon, asbestos, radioactive materials, per- and polyfluoroalkyl substances and polychlorinated biphenyls.</w:t>
      </w:r>
    </w:p>
    <w:p>
      <w:pPr>
        <w:pStyle w:val="TextBody"/>
        <w:bidi w:val="0"/>
        <w:spacing w:lineRule="auto" w:line="288" w:before="0" w:after="240"/>
        <w:ind w:left="0" w:right="0" w:firstLine="720"/>
        <w:jc w:val="left"/>
        <w:rPr/>
      </w:pPr>
      <w:r>
        <w:rPr>
          <w:rFonts w:ascii="Times New Roman;serif" w:hAnsi="Times New Roman;serif"/>
          <w:b w:val="false"/>
          <w:color w:val="000000"/>
          <w:sz w:val="20"/>
        </w:rPr>
        <w:t>(30) “</w:t>
      </w:r>
      <w:r>
        <w:rPr>
          <w:rFonts w:ascii="Times New Roman;serif" w:hAnsi="Times New Roman;serif"/>
          <w:b w:val="false"/>
          <w:color w:val="000000"/>
          <w:sz w:val="20"/>
          <w:u w:val="single"/>
        </w:rPr>
        <w:t>Insurance Policies</w:t>
      </w:r>
      <w:r>
        <w:rPr>
          <w:color w:val="000000"/>
        </w:rPr>
        <w:t xml:space="preserve">” </w:t>
      </w:r>
      <w:r>
        <w:rPr>
          <w:rFonts w:ascii="Times New Roman;serif" w:hAnsi="Times New Roman;serif"/>
          <w:b w:val="false"/>
          <w:color w:val="000000"/>
          <w:sz w:val="20"/>
        </w:rPr>
        <w:t>means insurance policies and insurance Contracts of any kind, including primary, excess and umbrella policies, comprehensive general liability policies, director and officer liability, fiduciary liability, automobile, aircraft, property and casualty, workers’ compensation and employee dishonesty insurance policies, bonds and self-insurance and captive insurance company arrangements, together with the rights, benefits and privileges thereunder.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(31) “</w:t>
      </w:r>
      <w:r>
        <w:rPr>
          <w:rFonts w:ascii="Times New Roman;serif" w:hAnsi="Times New Roman;serif"/>
          <w:b w:val="false"/>
          <w:color w:val="000000"/>
          <w:sz w:val="20"/>
          <w:u w:val="single"/>
        </w:rPr>
        <w:t>Insurance Proceeds</w:t>
      </w:r>
      <w:r>
        <w:rPr>
          <w:color w:val="000000"/>
        </w:rPr>
        <w:t xml:space="preserve">” </w:t>
      </w:r>
      <w:r>
        <w:rPr>
          <w:rFonts w:ascii="Times New Roman;serif" w:hAnsi="Times New Roman;serif"/>
          <w:b w:val="false"/>
          <w:color w:val="000000"/>
          <w:sz w:val="20"/>
        </w:rPr>
        <w:t>means those monies actually (a) received by an insured from an insurance carrier, (b) paid by an insurance carrier on behalf of the insured or (c) received (including by way of setoff) from any third Person in the nature of insurance, contribution or indemnification in respect of any Liability; in any such case net of any applicable premium adjustments (including reserves and retrospectively-rated premium adjustments) and net of any costs or expenses, including Taxes, incurred in connection with the receipt thereof, but, with respect to Article VI. excluding proceeds from any self-insurance, captive insurance, fronting arrangement or program, or similar program.</w:t>
      </w:r>
    </w:p>
    <w:p>
      <w:pPr>
        <w:pStyle w:val="TextBody"/>
        <w:bidi w:val="0"/>
        <w:spacing w:lineRule="auto" w:line="288" w:before="0" w:after="240"/>
        <w:ind w:left="0" w:right="0" w:firstLine="720"/>
        <w:jc w:val="left"/>
        <w:rPr/>
      </w:pPr>
      <w:r>
        <w:rPr>
          <w:rFonts w:ascii="Times New Roman;serif" w:hAnsi="Times New Roman;serif"/>
          <w:b w:val="false"/>
          <w:color w:val="000000"/>
          <w:sz w:val="20"/>
        </w:rPr>
        <w:t>(32) “</w:t>
      </w:r>
      <w:r>
        <w:rPr>
          <w:rFonts w:ascii="Times New Roman;serif" w:hAnsi="Times New Roman;serif"/>
          <w:b w:val="false"/>
          <w:color w:val="000000"/>
          <w:sz w:val="20"/>
          <w:u w:val="single"/>
        </w:rPr>
        <w:t>Intellectual Property</w:t>
      </w:r>
      <w:r>
        <w:rPr>
          <w:color w:val="000000"/>
        </w:rPr>
        <w:t xml:space="preserve">” </w:t>
      </w:r>
      <w:r>
        <w:rPr>
          <w:rFonts w:ascii="Times New Roman;serif" w:hAnsi="Times New Roman;serif"/>
          <w:b w:val="false"/>
          <w:color w:val="000000"/>
          <w:sz w:val="20"/>
        </w:rPr>
        <w:t>means all intellectual property and other similar proprietary rights anywhere in the world, whether registered or unregistered, including in or to: (a) trademarks, service marks, brand names, certification marks, collective marks, d/b/a’s, logos, symbols, trade dress, trade names, and other indicia of origin, all applications and registrations for the foregoing, and all goodwill associated therewith and symbolized thereby (collectively, “</w:t>
      </w:r>
      <w:r>
        <w:rPr>
          <w:rFonts w:ascii="Times New Roman;serif" w:hAnsi="Times New Roman;serif"/>
          <w:b w:val="false"/>
          <w:color w:val="000000"/>
          <w:sz w:val="20"/>
          <w:u w:val="single"/>
        </w:rPr>
        <w:t>Trademarks</w:t>
      </w:r>
      <w:r>
        <w:rPr>
          <w:color w:val="000000"/>
        </w:rPr>
        <w:t>”</w:t>
      </w:r>
      <w:r>
        <w:rPr>
          <w:rFonts w:ascii="Times New Roman;serif" w:hAnsi="Times New Roman;serif"/>
          <w:b w:val="false"/>
          <w:color w:val="000000"/>
          <w:sz w:val="20"/>
        </w:rPr>
        <w:t>); (b) domain names, uniform resource locators, Internet Protocol addresses, social media handles, and other names, identifiers, and locators associated with Internet addresses, sites, and services (“</w:t>
      </w:r>
      <w:r>
        <w:rPr>
          <w:rFonts w:ascii="Times New Roman;serif" w:hAnsi="Times New Roman;serif"/>
          <w:b w:val="false"/>
          <w:color w:val="000000"/>
          <w:sz w:val="20"/>
          <w:u w:val="single"/>
        </w:rPr>
        <w:t>Internet Properties</w:t>
      </w:r>
      <w:r>
        <w:rPr>
          <w:color w:val="000000"/>
        </w:rPr>
        <w:t>”</w:t>
      </w:r>
      <w:r>
        <w:rPr>
          <w:rFonts w:ascii="Times New Roman;serif" w:hAnsi="Times New Roman;serif"/>
          <w:b w:val="false"/>
          <w:color w:val="000000"/>
          <w:sz w:val="20"/>
        </w:rPr>
        <w:t>); (c) patents and patent applications, including divisionals, revisions, supplementary protection certificates, continuations, continuations-in-part, renewals, extensions, substitutes, utility models, priority applications, re-issues and re-examinations (collectively, “</w:t>
      </w:r>
      <w:r>
        <w:rPr>
          <w:rFonts w:ascii="Times New Roman;serif" w:hAnsi="Times New Roman;serif"/>
          <w:b w:val="false"/>
          <w:color w:val="000000"/>
          <w:sz w:val="20"/>
          <w:u w:val="single"/>
        </w:rPr>
        <w:t>Patents</w:t>
      </w:r>
      <w:r>
        <w:rPr>
          <w:color w:val="000000"/>
        </w:rPr>
        <w:t>”</w:t>
      </w:r>
      <w:r>
        <w:rPr>
          <w:rFonts w:ascii="Times New Roman;serif" w:hAnsi="Times New Roman;serif"/>
          <w:b w:val="false"/>
          <w:color w:val="000000"/>
          <w:sz w:val="20"/>
        </w:rPr>
        <w:t>); (d) confidential and proprietary trade secrets and know-how, including any of the following that are confidential and proprietary product designs, methods, processes, inventions, invention disclosures, research and development and testing information, formulas, technical information, customer lists, customer information and marketing materials (collectively, “</w:t>
      </w:r>
      <w:r>
        <w:rPr>
          <w:rFonts w:ascii="Times New Roman;serif" w:hAnsi="Times New Roman;serif"/>
          <w:b w:val="false"/>
          <w:color w:val="000000"/>
          <w:sz w:val="20"/>
          <w:u w:val="single"/>
        </w:rPr>
        <w:t>Trade Secrets</w:t>
      </w:r>
      <w:r>
        <w:rPr>
          <w:color w:val="000000"/>
        </w:rPr>
        <w:t>”</w:t>
      </w:r>
      <w:r>
        <w:rPr>
          <w:rFonts w:ascii="Times New Roman;serif" w:hAnsi="Times New Roman;serif"/>
          <w:b w:val="false"/>
          <w:color w:val="000000"/>
          <w:sz w:val="20"/>
        </w:rPr>
        <w:t>); and (e) published and unpublished works of authorship, whether copyrightable or not, copyrights therein and thereto (including rights in Software or databases as a work of authorship), and registrations and applications therefor, and all renewals, extensions, restorations and reversions thereof (collectively, “</w:t>
      </w:r>
      <w:r>
        <w:rPr>
          <w:rFonts w:ascii="Times New Roman;serif" w:hAnsi="Times New Roman;serif"/>
          <w:b w:val="false"/>
          <w:color w:val="000000"/>
          <w:sz w:val="20"/>
          <w:u w:val="single"/>
        </w:rPr>
        <w:t>Copyrights</w:t>
      </w:r>
      <w:r>
        <w:rPr>
          <w:color w:val="000000"/>
        </w:rPr>
        <w:t>”</w:t>
      </w:r>
      <w:r>
        <w:rPr>
          <w:rFonts w:ascii="Times New Roman;serif" w:hAnsi="Times New Roman;serif"/>
          <w:b w:val="false"/>
          <w:color w:val="000000"/>
          <w:sz w:val="20"/>
        </w:rPr>
        <w:t>), including, in each case, all rights to sue and collect damages or remedies for past, present, and future infringement, misappropriation, or other violation thereof.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(33) “</w:t>
      </w:r>
      <w:r>
        <w:rPr>
          <w:rFonts w:ascii="Times New Roman;serif" w:hAnsi="Times New Roman;serif"/>
          <w:b w:val="false"/>
          <w:color w:val="000000"/>
          <w:sz w:val="20"/>
          <w:u w:val="single"/>
        </w:rPr>
        <w:t>Intercompany Accounts</w:t>
      </w:r>
      <w:r>
        <w:rPr>
          <w:color w:val="000000"/>
        </w:rPr>
        <w:t xml:space="preserve">” </w:t>
      </w:r>
      <w:r>
        <w:rPr>
          <w:rFonts w:ascii="Times New Roman;serif" w:hAnsi="Times New Roman;serif"/>
          <w:b w:val="false"/>
          <w:color w:val="000000"/>
          <w:sz w:val="20"/>
        </w:rPr>
        <w:t>has the meaning set forth in Section 2.6(a).</w:t>
      </w:r>
    </w:p>
    <w:p>
      <w:pPr>
        <w:pStyle w:val="TextBody"/>
        <w:bidi w:val="0"/>
        <w:spacing w:lineRule="auto" w:line="288" w:before="0" w:after="240"/>
        <w:ind w:left="0" w:right="0" w:firstLine="720"/>
        <w:jc w:val="left"/>
        <w:rPr/>
      </w:pPr>
      <w:r>
        <w:rPr>
          <w:rFonts w:ascii="Times New Roman;serif" w:hAnsi="Times New Roman;serif"/>
          <w:b w:val="false"/>
          <w:color w:val="000000"/>
          <w:sz w:val="20"/>
        </w:rPr>
        <w:t>(34) “</w:t>
      </w:r>
      <w:r>
        <w:rPr>
          <w:rFonts w:ascii="Times New Roman;serif" w:hAnsi="Times New Roman;serif"/>
          <w:b w:val="false"/>
          <w:color w:val="000000"/>
          <w:sz w:val="20"/>
          <w:u w:val="single"/>
        </w:rPr>
        <w:t>Intercompany Contracts</w:t>
      </w:r>
      <w:r>
        <w:rPr>
          <w:color w:val="000000"/>
        </w:rPr>
        <w:t xml:space="preserve">” </w:t>
      </w:r>
      <w:r>
        <w:rPr>
          <w:rFonts w:ascii="Times New Roman;serif" w:hAnsi="Times New Roman;serif"/>
          <w:b w:val="false"/>
          <w:color w:val="000000"/>
          <w:sz w:val="20"/>
        </w:rPr>
        <w:t>has the meaning set forth in Section 2.6(a).</w:t>
      </w:r>
    </w:p>
    <w:p>
      <w:pPr>
        <w:pStyle w:val="TextBody"/>
        <w:bidi w:val="0"/>
        <w:spacing w:lineRule="auto" w:line="288" w:before="0" w:after="240"/>
        <w:ind w:left="0" w:right="0" w:firstLine="720"/>
        <w:jc w:val="left"/>
        <w:rPr/>
      </w:pPr>
      <w:r>
        <w:rPr>
          <w:rFonts w:ascii="Times New Roman;serif" w:hAnsi="Times New Roman;serif"/>
          <w:b w:val="false"/>
          <w:color w:val="000000"/>
          <w:sz w:val="20"/>
        </w:rPr>
        <w:t>(35) “</w:t>
      </w:r>
      <w:r>
        <w:rPr>
          <w:rFonts w:ascii="Times New Roman;serif" w:hAnsi="Times New Roman;serif"/>
          <w:b w:val="false"/>
          <w:color w:val="000000"/>
          <w:sz w:val="20"/>
          <w:u w:val="single"/>
        </w:rPr>
        <w:t>Intercompany Contracts and Accounts</w:t>
      </w:r>
      <w:r>
        <w:rPr>
          <w:color w:val="000000"/>
        </w:rPr>
        <w:t xml:space="preserve">” </w:t>
      </w:r>
      <w:r>
        <w:rPr>
          <w:rFonts w:ascii="Times New Roman;serif" w:hAnsi="Times New Roman;serif"/>
          <w:b w:val="false"/>
          <w:color w:val="000000"/>
          <w:sz w:val="20"/>
        </w:rPr>
        <w:t>has the meaning set forth in Section 2.6(a).</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(36) “</w:t>
      </w:r>
      <w:r>
        <w:rPr>
          <w:rFonts w:ascii="Times New Roman;serif" w:hAnsi="Times New Roman;serif"/>
          <w:b w:val="false"/>
          <w:color w:val="000000"/>
          <w:sz w:val="20"/>
          <w:u w:val="single"/>
        </w:rPr>
        <w:t>Inventory</w:t>
      </w:r>
      <w:r>
        <w:rPr>
          <w:color w:val="000000"/>
        </w:rPr>
        <w:t xml:space="preserve">” </w:t>
      </w:r>
      <w:r>
        <w:rPr>
          <w:rFonts w:ascii="Times New Roman;serif" w:hAnsi="Times New Roman;serif"/>
          <w:b w:val="false"/>
          <w:color w:val="000000"/>
          <w:sz w:val="20"/>
        </w:rPr>
        <w:t>means all raw materials, parts, supplies, goods, materials, works-in-process, finished goods, inventory, packaging and stock in trade.</w:t>
      </w:r>
    </w:p>
    <w:p>
      <w:pPr>
        <w:pStyle w:val="TextBody"/>
        <w:bidi w:val="0"/>
        <w:spacing w:lineRule="auto" w:line="288" w:before="0" w:after="240"/>
        <w:ind w:left="0" w:right="0" w:firstLine="720"/>
        <w:jc w:val="left"/>
        <w:rPr/>
      </w:pPr>
      <w:r>
        <w:rPr>
          <w:rFonts w:ascii="Times New Roman;serif" w:hAnsi="Times New Roman;serif"/>
          <w:b w:val="false"/>
          <w:color w:val="000000"/>
          <w:sz w:val="20"/>
        </w:rPr>
        <w:t>(37) “</w:t>
      </w:r>
      <w:r>
        <w:rPr>
          <w:rFonts w:ascii="Times New Roman;serif" w:hAnsi="Times New Roman;serif"/>
          <w:b w:val="false"/>
          <w:color w:val="000000"/>
          <w:sz w:val="20"/>
          <w:u w:val="single"/>
        </w:rPr>
        <w:t>IT Assets</w:t>
      </w:r>
      <w:r>
        <w:rPr>
          <w:color w:val="000000"/>
        </w:rPr>
        <w:t xml:space="preserve">” </w:t>
      </w:r>
      <w:r>
        <w:rPr>
          <w:rFonts w:ascii="Times New Roman;serif" w:hAnsi="Times New Roman;serif"/>
          <w:b w:val="false"/>
          <w:color w:val="000000"/>
          <w:sz w:val="20"/>
        </w:rPr>
        <w:t>means all systems, networks, Software and hardware, including computers, servers, workstations, tablets, phones, servers, blades, peripheral devices, data centers, and equipment and infrastructure related to the foregoing.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(38) “</w:t>
      </w:r>
      <w:r>
        <w:rPr>
          <w:rFonts w:ascii="Times New Roman;serif" w:hAnsi="Times New Roman;serif"/>
          <w:b w:val="false"/>
          <w:color w:val="000000"/>
          <w:sz w:val="20"/>
          <w:u w:val="single"/>
        </w:rPr>
        <w:t>Law</w:t>
      </w:r>
      <w:r>
        <w:rPr>
          <w:color w:val="000000"/>
        </w:rPr>
        <w:t xml:space="preserve">” </w:t>
      </w:r>
      <w:r>
        <w:rPr>
          <w:rFonts w:ascii="Times New Roman;serif" w:hAnsi="Times New Roman;serif"/>
          <w:b w:val="false"/>
          <w:color w:val="000000"/>
          <w:sz w:val="20"/>
        </w:rPr>
        <w:t>means, with respect to any Person, any law, statute, code, ordinance, order, decree, award, directive, judgment, ruling, rule, regulation or similar requirement issued, promulgated, enforced or enacted by or under the authority of a Governmental Authority that is binding upon or applicable to such Person.</w:t>
      </w:r>
    </w:p>
    <w:p>
      <w:pPr>
        <w:pStyle w:val="TextBody"/>
        <w:bidi w:val="0"/>
        <w:spacing w:lineRule="auto" w:line="288" w:before="0" w:after="240"/>
        <w:ind w:left="0" w:right="0" w:firstLine="720"/>
        <w:jc w:val="left"/>
        <w:rPr/>
      </w:pPr>
      <w:r>
        <w:rPr>
          <w:rFonts w:ascii="Times New Roman;serif" w:hAnsi="Times New Roman;serif"/>
          <w:b w:val="false"/>
          <w:color w:val="000000"/>
          <w:sz w:val="20"/>
        </w:rPr>
        <w:t>(39) “</w:t>
      </w:r>
      <w:r>
        <w:rPr>
          <w:rFonts w:ascii="Times New Roman;serif" w:hAnsi="Times New Roman;serif"/>
          <w:b w:val="false"/>
          <w:color w:val="000000"/>
          <w:sz w:val="20"/>
          <w:u w:val="single"/>
        </w:rPr>
        <w:t>Liabilities</w:t>
      </w:r>
      <w:r>
        <w:rPr>
          <w:color w:val="000000"/>
        </w:rPr>
        <w:t xml:space="preserve">” </w:t>
      </w:r>
      <w:r>
        <w:rPr>
          <w:rFonts w:ascii="Times New Roman;serif" w:hAnsi="Times New Roman;serif"/>
          <w:b w:val="false"/>
          <w:color w:val="000000"/>
          <w:sz w:val="20"/>
        </w:rPr>
        <w:t>means any liability, debt, guarantee, assurance, commitment, cost, expense, interest, or obligation of any kind and however arising (whether known or unknown, whether asserted or unasserted, whether absolute or contingent, whether accrued or unaccrued, reserved or unreserved, determined or determinable, whether liquidated or unliquidated, whether direct or indirect, and whether due or to become due).</w:t>
      </w:r>
    </w:p>
    <w:p>
      <w:pPr>
        <w:pStyle w:val="TextBody"/>
        <w:bidi w:val="0"/>
        <w:spacing w:lineRule="auto" w:line="288" w:before="0" w:after="240"/>
        <w:ind w:left="0" w:right="0" w:firstLine="720"/>
        <w:jc w:val="left"/>
        <w:rPr/>
      </w:pPr>
      <w:r>
        <w:rPr>
          <w:rFonts w:ascii="Times New Roman;serif" w:hAnsi="Times New Roman;serif"/>
          <w:b w:val="false"/>
          <w:color w:val="000000"/>
          <w:sz w:val="20"/>
        </w:rPr>
        <w:t>(40) “</w:t>
      </w:r>
      <w:r>
        <w:rPr>
          <w:rFonts w:ascii="Times New Roman;serif" w:hAnsi="Times New Roman;serif"/>
          <w:b w:val="false"/>
          <w:color w:val="000000"/>
          <w:sz w:val="20"/>
          <w:u w:val="single"/>
        </w:rPr>
        <w:t>Lien</w:t>
      </w:r>
      <w:r>
        <w:rPr>
          <w:color w:val="000000"/>
        </w:rPr>
        <w:t xml:space="preserve">” </w:t>
      </w:r>
      <w:r>
        <w:rPr>
          <w:rFonts w:ascii="Times New Roman;serif" w:hAnsi="Times New Roman;serif"/>
          <w:b w:val="false"/>
          <w:color w:val="000000"/>
          <w:sz w:val="20"/>
        </w:rPr>
        <w:t>means any mortgage, deed of trust, pledge, hypothecation, encumbrance, easement, exclusive license, purchase option, right of first offer or refusal, security interest or other lien of any kind.</w:t>
      </w:r>
    </w:p>
    <w:p>
      <w:pPr>
        <w:pStyle w:val="TextBody"/>
        <w:bidi w:val="0"/>
        <w:spacing w:lineRule="auto" w:line="288" w:before="0" w:after="240"/>
        <w:ind w:left="0" w:right="0" w:firstLine="720"/>
        <w:jc w:val="left"/>
        <w:rPr/>
      </w:pPr>
      <w:r>
        <w:rPr>
          <w:rFonts w:ascii="Times New Roman;serif" w:hAnsi="Times New Roman;serif"/>
          <w:b w:val="false"/>
          <w:color w:val="000000"/>
          <w:sz w:val="20"/>
        </w:rPr>
        <w:t>(41) “</w:t>
      </w:r>
      <w:r>
        <w:rPr>
          <w:rFonts w:ascii="Times New Roman;serif" w:hAnsi="Times New Roman;serif"/>
          <w:b w:val="false"/>
          <w:color w:val="000000"/>
          <w:sz w:val="20"/>
          <w:u w:val="single"/>
        </w:rPr>
        <w:t>Losses</w:t>
      </w:r>
      <w:r>
        <w:rPr>
          <w:color w:val="000000"/>
        </w:rPr>
        <w:t xml:space="preserve">” </w:t>
      </w:r>
      <w:r>
        <w:rPr>
          <w:rFonts w:ascii="Times New Roman;serif" w:hAnsi="Times New Roman;serif"/>
          <w:b w:val="false"/>
          <w:color w:val="000000"/>
          <w:sz w:val="20"/>
        </w:rPr>
        <w:t>means any and all Liabilities, claims, losses, damages, costs, expenses, interest, awards, judgments and penalties (including reasonable attorneys’ and consultants’ fees and expenses).</w:t>
      </w:r>
    </w:p>
    <w:p>
      <w:pPr>
        <w:pStyle w:val="TextBody"/>
        <w:bidi w:val="0"/>
        <w:spacing w:lineRule="auto" w:line="288" w:before="0" w:after="240"/>
        <w:ind w:left="0" w:right="0" w:firstLine="720"/>
        <w:jc w:val="left"/>
        <w:rPr/>
      </w:pPr>
      <w:r>
        <w:rPr>
          <w:rFonts w:ascii="Times New Roman;serif" w:hAnsi="Times New Roman;serif"/>
          <w:b w:val="false"/>
          <w:color w:val="000000"/>
          <w:sz w:val="20"/>
        </w:rPr>
        <w:t>(42) “</w:t>
      </w:r>
      <w:r>
        <w:rPr>
          <w:rFonts w:ascii="Times New Roman;serif" w:hAnsi="Times New Roman;serif"/>
          <w:b w:val="false"/>
          <w:color w:val="000000"/>
          <w:sz w:val="20"/>
          <w:u w:val="single"/>
        </w:rPr>
        <w:t>Nasdaq New York</w:t>
      </w:r>
      <w:r>
        <w:rPr>
          <w:color w:val="000000"/>
        </w:rPr>
        <w:t xml:space="preserve">” </w:t>
      </w:r>
      <w:r>
        <w:rPr>
          <w:rFonts w:ascii="Times New Roman;serif" w:hAnsi="Times New Roman;serif"/>
          <w:b w:val="false"/>
          <w:color w:val="000000"/>
          <w:sz w:val="20"/>
        </w:rPr>
        <w:t>means The Nasdaq Stock Market LLC, operator of the Nasdaq Global Select Market.</w:t>
      </w:r>
    </w:p>
    <w:p>
      <w:pPr>
        <w:pStyle w:val="TextBody"/>
        <w:bidi w:val="0"/>
        <w:spacing w:lineRule="auto" w:line="288" w:before="0" w:after="240"/>
        <w:ind w:left="0" w:right="0" w:firstLine="720"/>
        <w:jc w:val="left"/>
        <w:rPr/>
      </w:pPr>
      <w:r>
        <w:rPr>
          <w:rFonts w:ascii="Times New Roman;serif" w:hAnsi="Times New Roman;serif"/>
          <w:b w:val="false"/>
          <w:color w:val="000000"/>
          <w:sz w:val="20"/>
        </w:rPr>
        <w:t>(43) “</w:t>
      </w:r>
      <w:r>
        <w:rPr>
          <w:rFonts w:ascii="Times New Roman;serif" w:hAnsi="Times New Roman;serif"/>
          <w:b w:val="false"/>
          <w:color w:val="000000"/>
          <w:sz w:val="20"/>
          <w:u w:val="single"/>
        </w:rPr>
        <w:t>Nasdaq Stockholm</w:t>
      </w:r>
      <w:r>
        <w:rPr>
          <w:color w:val="000000"/>
        </w:rPr>
        <w:t xml:space="preserve">” </w:t>
      </w:r>
      <w:r>
        <w:rPr>
          <w:rFonts w:ascii="Times New Roman;serif" w:hAnsi="Times New Roman;serif"/>
          <w:b w:val="false"/>
          <w:color w:val="000000"/>
          <w:sz w:val="20"/>
        </w:rPr>
        <w:t xml:space="preserve">means Nasdaq Stockholm AB. </w:t>
      </w:r>
    </w:p>
    <w:p>
      <w:pPr>
        <w:pStyle w:val="TextBody"/>
        <w:bidi w:val="0"/>
        <w:spacing w:lineRule="auto" w:line="288" w:before="0" w:after="240"/>
        <w:ind w:left="0" w:right="0" w:firstLine="720"/>
        <w:jc w:val="left"/>
        <w:rPr/>
      </w:pPr>
      <w:r>
        <w:rPr>
          <w:rFonts w:ascii="Times New Roman;serif" w:hAnsi="Times New Roman;serif"/>
          <w:b w:val="false"/>
          <w:color w:val="000000"/>
          <w:sz w:val="20"/>
        </w:rPr>
        <w:t>(44) “</w:t>
      </w:r>
      <w:r>
        <w:rPr>
          <w:rFonts w:ascii="Times New Roman;serif" w:hAnsi="Times New Roman;serif"/>
          <w:b w:val="false"/>
          <w:color w:val="000000"/>
          <w:sz w:val="20"/>
          <w:u w:val="single"/>
        </w:rPr>
        <w:t>Other Intellectual Property</w:t>
      </w:r>
      <w:r>
        <w:rPr>
          <w:color w:val="000000"/>
        </w:rPr>
        <w:t xml:space="preserve">” </w:t>
      </w:r>
      <w:r>
        <w:rPr>
          <w:rFonts w:ascii="Times New Roman;serif" w:hAnsi="Times New Roman;serif"/>
          <w:b w:val="false"/>
          <w:color w:val="000000"/>
          <w:sz w:val="20"/>
        </w:rPr>
        <w:t>means all rights, title or interest in, under or in respect of: (a) Copyrights and (b) Trade Secrets; provided that Other Intellectual Property shall exclude all such rights, title or interest in, under or in respect of any Software.</w:t>
      </w:r>
    </w:p>
    <w:p>
      <w:pPr>
        <w:pStyle w:val="TextBody"/>
        <w:bidi w:val="0"/>
        <w:spacing w:lineRule="auto" w:line="288" w:before="0" w:after="240"/>
        <w:ind w:left="0" w:right="0" w:firstLine="720"/>
        <w:jc w:val="left"/>
        <w:rPr/>
      </w:pPr>
      <w:r>
        <w:rPr>
          <w:rFonts w:ascii="Times New Roman;serif" w:hAnsi="Times New Roman;serif"/>
          <w:b w:val="false"/>
          <w:color w:val="000000"/>
          <w:sz w:val="20"/>
        </w:rPr>
        <w:t>(45) “</w:t>
      </w:r>
      <w:r>
        <w:rPr>
          <w:rFonts w:ascii="Times New Roman;serif" w:hAnsi="Times New Roman;serif"/>
          <w:b w:val="false"/>
          <w:color w:val="000000"/>
          <w:sz w:val="20"/>
          <w:u w:val="single"/>
        </w:rPr>
        <w:t>Order</w:t>
      </w:r>
      <w:r>
        <w:rPr>
          <w:color w:val="000000"/>
        </w:rPr>
        <w:t xml:space="preserve">” </w:t>
      </w:r>
      <w:r>
        <w:rPr>
          <w:rFonts w:ascii="Times New Roman;serif" w:hAnsi="Times New Roman;serif"/>
          <w:b w:val="false"/>
          <w:color w:val="000000"/>
          <w:sz w:val="20"/>
        </w:rPr>
        <w:t>means any outstanding order, judgment, writ, injunction, stipulation, award or decree issued by any Governmental Authority.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(46) “</w:t>
      </w:r>
      <w:r>
        <w:rPr>
          <w:rFonts w:ascii="Times New Roman;serif" w:hAnsi="Times New Roman;serif"/>
          <w:b w:val="false"/>
          <w:color w:val="000000"/>
          <w:sz w:val="20"/>
          <w:u w:val="single"/>
        </w:rPr>
        <w:t>Overhead and Shared Services</w:t>
      </w:r>
      <w:r>
        <w:rPr>
          <w:color w:val="000000"/>
        </w:rPr>
        <w:t xml:space="preserve">” </w:t>
      </w:r>
      <w:r>
        <w:rPr>
          <w:rFonts w:ascii="Times New Roman;serif" w:hAnsi="Times New Roman;serif"/>
          <w:b w:val="false"/>
          <w:color w:val="000000"/>
          <w:sz w:val="20"/>
        </w:rPr>
        <w:t>means the ancillary, proprietary or corporate shared services or processes that are provided to, or used in, both the Spinco Business and the Parent Business.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(47) “</w:t>
      </w:r>
      <w:r>
        <w:rPr>
          <w:rFonts w:ascii="Times New Roman;serif" w:hAnsi="Times New Roman;serif"/>
          <w:b w:val="false"/>
          <w:color w:val="000000"/>
          <w:sz w:val="20"/>
          <w:u w:val="single"/>
        </w:rPr>
        <w:t>Parent Board</w:t>
      </w:r>
      <w:r>
        <w:rPr>
          <w:color w:val="000000"/>
        </w:rPr>
        <w:t xml:space="preserve">” </w:t>
      </w:r>
      <w:r>
        <w:rPr>
          <w:rFonts w:ascii="Times New Roman;serif" w:hAnsi="Times New Roman;serif"/>
          <w:b w:val="false"/>
          <w:color w:val="000000"/>
          <w:sz w:val="20"/>
        </w:rPr>
        <w:t>means the board of directors of Parent.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(48) “</w:t>
      </w:r>
      <w:r>
        <w:rPr>
          <w:rFonts w:ascii="Times New Roman;serif" w:hAnsi="Times New Roman;serif"/>
          <w:b w:val="false"/>
          <w:color w:val="000000"/>
          <w:sz w:val="20"/>
          <w:u w:val="single"/>
        </w:rPr>
        <w:t>Parent Business</w:t>
      </w:r>
      <w:r>
        <w:rPr>
          <w:color w:val="000000"/>
        </w:rPr>
        <w:t xml:space="preserve">” </w:t>
      </w:r>
      <w:r>
        <w:rPr>
          <w:rFonts w:ascii="Times New Roman;serif" w:hAnsi="Times New Roman;serif"/>
          <w:b w:val="false"/>
          <w:color w:val="000000"/>
          <w:sz w:val="20"/>
        </w:rPr>
        <w:t>means the businesses and operations conducted by any member of the Parent Group that are not included in the Spinco Business.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(49) “</w:t>
      </w:r>
      <w:r>
        <w:rPr>
          <w:rFonts w:ascii="Times New Roman;serif" w:hAnsi="Times New Roman;serif"/>
          <w:b w:val="false"/>
          <w:color w:val="000000"/>
          <w:sz w:val="20"/>
          <w:u w:val="single"/>
        </w:rPr>
        <w:t>Parent Group</w:t>
      </w:r>
      <w:r>
        <w:rPr>
          <w:color w:val="000000"/>
        </w:rPr>
        <w:t xml:space="preserve">” </w:t>
      </w:r>
      <w:r>
        <w:rPr>
          <w:rFonts w:ascii="Times New Roman;serif" w:hAnsi="Times New Roman;serif"/>
          <w:b w:val="false"/>
          <w:color w:val="000000"/>
          <w:sz w:val="20"/>
        </w:rPr>
        <w:t>means Parent and each Person (other than any member of the Spinco Group) that is a direct or indirect Subsidiary of Parent immediately after the Distribution Time, and each Person that becomes a Subsidiary of Parent after the Distribution Time (including as a result of transactions that occur following the Distribution Time in accordance with the Separation Step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(50) “</w:t>
      </w:r>
      <w:r>
        <w:rPr>
          <w:rFonts w:ascii="Times New Roman;serif" w:hAnsi="Times New Roman;serif"/>
          <w:b w:val="false"/>
          <w:color w:val="000000"/>
          <w:sz w:val="20"/>
          <w:u w:val="single"/>
        </w:rPr>
        <w:t>Parent Marks</w:t>
      </w:r>
      <w:r>
        <w:rPr>
          <w:color w:val="000000"/>
        </w:rPr>
        <w:t xml:space="preserve">” </w:t>
      </w:r>
      <w:r>
        <w:rPr>
          <w:rFonts w:ascii="Times New Roman;serif" w:hAnsi="Times New Roman;serif"/>
          <w:b w:val="false"/>
          <w:color w:val="000000"/>
          <w:sz w:val="20"/>
        </w:rPr>
        <w:t>has the meaning given to the term in the Transition Services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(51) “</w:t>
      </w:r>
      <w:r>
        <w:rPr>
          <w:rFonts w:ascii="Times New Roman;serif" w:hAnsi="Times New Roman;serif"/>
          <w:b w:val="false"/>
          <w:color w:val="000000"/>
          <w:sz w:val="20"/>
          <w:u w:val="single"/>
        </w:rPr>
        <w:t>Party</w:t>
      </w:r>
      <w:r>
        <w:rPr>
          <w:color w:val="000000"/>
        </w:rPr>
        <w:t xml:space="preserve">” </w:t>
      </w:r>
      <w:r>
        <w:rPr>
          <w:rFonts w:ascii="Times New Roman;serif" w:hAnsi="Times New Roman;serif"/>
          <w:b w:val="false"/>
          <w:color w:val="000000"/>
          <w:sz w:val="20"/>
        </w:rPr>
        <w:t>means the Parent or Spinco, as appropriate, and “</w:t>
      </w:r>
      <w:r>
        <w:rPr>
          <w:rFonts w:ascii="Times New Roman;serif" w:hAnsi="Times New Roman;serif"/>
          <w:b w:val="false"/>
          <w:color w:val="000000"/>
          <w:sz w:val="20"/>
          <w:u w:val="single"/>
        </w:rPr>
        <w:t>Parties</w:t>
      </w:r>
      <w:r>
        <w:rPr>
          <w:color w:val="000000"/>
        </w:rPr>
        <w:t xml:space="preserve">” </w:t>
      </w:r>
      <w:r>
        <w:rPr>
          <w:rFonts w:ascii="Times New Roman;serif" w:hAnsi="Times New Roman;serif"/>
          <w:b w:val="false"/>
          <w:color w:val="000000"/>
          <w:sz w:val="20"/>
        </w:rPr>
        <w:t>means the Parent and Spinco.</w:t>
      </w:r>
    </w:p>
    <w:p>
      <w:pPr>
        <w:pStyle w:val="TextBody"/>
        <w:bidi w:val="0"/>
        <w:spacing w:lineRule="auto" w:line="288" w:before="0" w:after="240"/>
        <w:ind w:left="0" w:right="0" w:firstLine="720"/>
        <w:jc w:val="left"/>
        <w:rPr/>
      </w:pPr>
      <w:r>
        <w:rPr>
          <w:rFonts w:ascii="Times New Roman;serif" w:hAnsi="Times New Roman;serif"/>
          <w:b w:val="false"/>
          <w:color w:val="000000"/>
          <w:sz w:val="20"/>
        </w:rPr>
        <w:t>(52) “</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individual, corporation, partnership, firm, joint venture, association, joint-stock company, trust, unincorporated organization, limited liability company, Governmental Authority or other organization or entity of any kind.</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(53) “</w:t>
      </w:r>
      <w:r>
        <w:rPr>
          <w:rFonts w:ascii="Times New Roman;serif" w:hAnsi="Times New Roman;serif"/>
          <w:b w:val="false"/>
          <w:color w:val="000000"/>
          <w:sz w:val="20"/>
          <w:u w:val="single"/>
        </w:rPr>
        <w:t>Record Date</w:t>
      </w:r>
      <w:r>
        <w:rPr>
          <w:color w:val="000000"/>
        </w:rPr>
        <w:t xml:space="preserve">” </w:t>
      </w:r>
      <w:r>
        <w:rPr>
          <w:rFonts w:ascii="Times New Roman;serif" w:hAnsi="Times New Roman;serif"/>
          <w:b w:val="false"/>
          <w:color w:val="000000"/>
          <w:sz w:val="20"/>
        </w:rPr>
        <w:t>means the close of business on the date determined by the Parent Board as the record date for the determination of holders of Parent Shares entitled to receive Spinco Shares in the Distribution.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(54) “</w:t>
      </w:r>
      <w:r>
        <w:rPr>
          <w:rFonts w:ascii="Times New Roman;serif" w:hAnsi="Times New Roman;serif"/>
          <w:b w:val="false"/>
          <w:color w:val="000000"/>
          <w:sz w:val="20"/>
          <w:u w:val="single"/>
        </w:rPr>
        <w:t>Registration Rights Agreement</w:t>
      </w:r>
      <w:r>
        <w:rPr>
          <w:color w:val="000000"/>
        </w:rPr>
        <w:t xml:space="preserve">” </w:t>
      </w:r>
      <w:r>
        <w:rPr>
          <w:rFonts w:ascii="Times New Roman;serif" w:hAnsi="Times New Roman;serif"/>
          <w:b w:val="false"/>
          <w:color w:val="000000"/>
          <w:sz w:val="20"/>
        </w:rPr>
        <w:t xml:space="preserve">means the Registration Rights Agreement, dated as of the date hereof, between Spinco and Melker Schörling AB. </w:t>
      </w:r>
    </w:p>
    <w:p>
      <w:pPr>
        <w:pStyle w:val="TextBody"/>
        <w:bidi w:val="0"/>
        <w:spacing w:lineRule="auto" w:line="288" w:before="0" w:after="240"/>
        <w:ind w:left="0" w:right="0" w:firstLine="720"/>
        <w:jc w:val="left"/>
        <w:rPr/>
      </w:pPr>
      <w:r>
        <w:rPr>
          <w:rFonts w:ascii="Times New Roman;serif" w:hAnsi="Times New Roman;serif"/>
          <w:b w:val="false"/>
          <w:color w:val="000000"/>
          <w:sz w:val="20"/>
        </w:rPr>
        <w:t>(55) “</w:t>
      </w:r>
      <w:r>
        <w:rPr>
          <w:rFonts w:ascii="Times New Roman;serif" w:hAnsi="Times New Roman;serif"/>
          <w:b w:val="false"/>
          <w:color w:val="000000"/>
          <w:sz w:val="20"/>
          <w:u w:val="single"/>
        </w:rPr>
        <w:t>Release</w:t>
      </w:r>
      <w:r>
        <w:rPr>
          <w:color w:val="000000"/>
        </w:rPr>
        <w:t xml:space="preserve">” </w:t>
      </w:r>
      <w:r>
        <w:rPr>
          <w:rFonts w:ascii="Times New Roman;serif" w:hAnsi="Times New Roman;serif"/>
          <w:b w:val="false"/>
          <w:color w:val="000000"/>
          <w:sz w:val="20"/>
        </w:rPr>
        <w:t>means any spilling, leaking, pumping, pouring, emitting, emptying, discharging, injecting, migrating, depositing, escaping, leaching, disposing or dumping on, under, into or through the environment.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(56) “</w:t>
      </w:r>
      <w:r>
        <w:rPr>
          <w:rFonts w:ascii="Times New Roman;serif" w:hAnsi="Times New Roman;serif"/>
          <w:b w:val="false"/>
          <w:color w:val="000000"/>
          <w:sz w:val="20"/>
          <w:u w:val="single"/>
        </w:rPr>
        <w:t>Remedial Action</w:t>
      </w:r>
      <w:r>
        <w:rPr>
          <w:color w:val="000000"/>
        </w:rPr>
        <w:t xml:space="preserve">” </w:t>
      </w:r>
      <w:r>
        <w:rPr>
          <w:rFonts w:ascii="Times New Roman;serif" w:hAnsi="Times New Roman;serif"/>
          <w:b w:val="false"/>
          <w:color w:val="000000"/>
          <w:sz w:val="20"/>
        </w:rPr>
        <w:t>means any and all actions to (a) investigate, clean up, remediate, remove, treat, monitor, contain or in any other way address any Hazardous Substance in the environment, (b) prevent the Release or threat of Release or minimize the further Release of a Hazardous Substance so it does not migrate or endanger public health or welfare or the environment, and (c) perform pre-remedial studies and investigations and post-remedial monitoring, maintenance and care in connection with any Hazardous Substance in the environment. The term “Remedial Action” includes any action that constitutes includes “removal,” “remedial action” or “response” as defined by Section 101 of CERCLA, 42 U.S.C. §§ 9601(23), (24) and (25); and a “corrective action” as defined in RCRA, 42 U.S.C. § 6901 et seq.</w:t>
      </w:r>
    </w:p>
    <w:p>
      <w:pPr>
        <w:pStyle w:val="TextBody"/>
        <w:bidi w:val="0"/>
        <w:spacing w:lineRule="auto" w:line="288" w:before="0" w:after="240"/>
        <w:ind w:left="0" w:right="0" w:firstLine="720"/>
        <w:jc w:val="left"/>
        <w:rPr/>
      </w:pPr>
      <w:r>
        <w:rPr>
          <w:rFonts w:ascii="Times New Roman;serif" w:hAnsi="Times New Roman;serif"/>
          <w:b w:val="false"/>
          <w:color w:val="000000"/>
          <w:sz w:val="20"/>
        </w:rPr>
        <w:t>(57) “</w:t>
      </w:r>
      <w:r>
        <w:rPr>
          <w:rFonts w:ascii="Times New Roman;serif" w:hAnsi="Times New Roman;serif"/>
          <w:b w:val="false"/>
          <w:color w:val="000000"/>
          <w:sz w:val="20"/>
          <w:u w:val="single"/>
        </w:rPr>
        <w:t>Reorganization</w:t>
      </w:r>
      <w:r>
        <w:rPr>
          <w:color w:val="000000"/>
        </w:rPr>
        <w:t xml:space="preserve">” </w:t>
      </w:r>
      <w:r>
        <w:rPr>
          <w:rFonts w:ascii="Times New Roman;serif" w:hAnsi="Times New Roman;serif"/>
          <w:b w:val="false"/>
          <w:color w:val="000000"/>
          <w:sz w:val="20"/>
        </w:rPr>
        <w:t>means the steps taken to effect the separation of the Spinco Business from the Parent Business, as set forth in this Agreement and the other applicable Transaction Documents, including the Separation Step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(58) “</w:t>
      </w:r>
      <w:r>
        <w:rPr>
          <w:rFonts w:ascii="Times New Roman;serif" w:hAnsi="Times New Roman;serif"/>
          <w:b w:val="false"/>
          <w:color w:val="000000"/>
          <w:sz w:val="20"/>
          <w:u w:val="single"/>
        </w:rPr>
        <w:t>Schedules</w:t>
      </w:r>
      <w:r>
        <w:rPr>
          <w:color w:val="000000"/>
        </w:rPr>
        <w:t xml:space="preserve">” </w:t>
      </w:r>
      <w:r>
        <w:rPr>
          <w:rFonts w:ascii="Times New Roman;serif" w:hAnsi="Times New Roman;serif"/>
          <w:b w:val="false"/>
          <w:color w:val="000000"/>
          <w:sz w:val="20"/>
        </w:rPr>
        <w:t>means the schedules to this Agreement delivered by the Parent to Spinco on the date hereof and identified as such.</w:t>
      </w:r>
    </w:p>
    <w:p>
      <w:pPr>
        <w:pStyle w:val="TextBody"/>
        <w:bidi w:val="0"/>
        <w:spacing w:lineRule="auto" w:line="288" w:before="0" w:after="240"/>
        <w:ind w:left="0" w:right="0" w:firstLine="720"/>
        <w:jc w:val="left"/>
        <w:rPr/>
      </w:pPr>
      <w:r>
        <w:rPr>
          <w:rFonts w:ascii="Times New Roman;serif" w:hAnsi="Times New Roman;serif"/>
          <w:b w:val="false"/>
          <w:color w:val="000000"/>
          <w:sz w:val="20"/>
        </w:rPr>
        <w:t>(59) “</w:t>
      </w:r>
      <w:r>
        <w:rPr>
          <w:rFonts w:ascii="Times New Roman;serif" w:hAnsi="Times New Roman;serif"/>
          <w:b w:val="false"/>
          <w:color w:val="000000"/>
          <w:sz w:val="20"/>
          <w:u w:val="single"/>
        </w:rPr>
        <w:t>SEC</w:t>
      </w:r>
      <w:r>
        <w:rPr>
          <w:color w:val="000000"/>
        </w:rPr>
        <w:t xml:space="preserve">” </w:t>
      </w:r>
      <w:r>
        <w:rPr>
          <w:rFonts w:ascii="Times New Roman;serif" w:hAnsi="Times New Roman;serif"/>
          <w:b w:val="false"/>
          <w:color w:val="000000"/>
          <w:sz w:val="20"/>
        </w:rPr>
        <w:t>means the United States Securities and Exchange Commission.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(60) “</w:t>
      </w:r>
      <w:r>
        <w:rPr>
          <w:rFonts w:ascii="Times New Roman;serif" w:hAnsi="Times New Roman;serif"/>
          <w:b w:val="false"/>
          <w:color w:val="000000"/>
          <w:sz w:val="20"/>
          <w:u w:val="single"/>
        </w:rPr>
        <w:t>Security Interest</w:t>
      </w:r>
      <w:r>
        <w:rPr>
          <w:color w:val="000000"/>
        </w:rPr>
        <w:t xml:space="preserve">” </w:t>
      </w:r>
      <w:r>
        <w:rPr>
          <w:rFonts w:ascii="Times New Roman;serif" w:hAnsi="Times New Roman;serif"/>
          <w:b w:val="false"/>
          <w:color w:val="000000"/>
          <w:sz w:val="20"/>
        </w:rPr>
        <w:t>means any mortgage, security interest, pledge, lien, charge, claim, option, right to acquire, voting or other restriction, right-of-way, covenant, condition, easement, encroachment, restriction on transfer or other encumbrance of any nature whatsoever.</w:t>
      </w:r>
    </w:p>
    <w:p>
      <w:pPr>
        <w:pStyle w:val="TextBody"/>
        <w:bidi w:val="0"/>
        <w:spacing w:lineRule="auto" w:line="288" w:before="0" w:after="240"/>
        <w:ind w:left="0" w:right="0" w:firstLine="720"/>
        <w:jc w:val="left"/>
        <w:rPr/>
      </w:pPr>
      <w:r>
        <w:rPr>
          <w:rFonts w:ascii="Times New Roman;serif" w:hAnsi="Times New Roman;serif"/>
          <w:b w:val="false"/>
          <w:color w:val="000000"/>
          <w:sz w:val="20"/>
        </w:rPr>
        <w:t>(61) “</w:t>
      </w:r>
      <w:r>
        <w:rPr>
          <w:rFonts w:ascii="Times New Roman;serif" w:hAnsi="Times New Roman;serif"/>
          <w:b w:val="false"/>
          <w:color w:val="000000"/>
          <w:sz w:val="20"/>
          <w:u w:val="single"/>
        </w:rPr>
        <w:t>SFSA</w:t>
      </w:r>
      <w:r>
        <w:rPr>
          <w:color w:val="000000"/>
        </w:rPr>
        <w:t xml:space="preserve">” </w:t>
      </w:r>
      <w:r>
        <w:rPr>
          <w:rFonts w:ascii="Times New Roman;serif" w:hAnsi="Times New Roman;serif"/>
          <w:b w:val="false"/>
          <w:color w:val="000000"/>
          <w:sz w:val="20"/>
        </w:rPr>
        <w:t xml:space="preserve">means the Swedish Financial Supervisory Authority (Sw. </w:t>
      </w:r>
      <w:r>
        <w:rPr>
          <w:rFonts w:ascii="Times New Roman;serif" w:hAnsi="Times New Roman;serif"/>
          <w:b w:val="false"/>
          <w:i/>
          <w:color w:val="000000"/>
          <w:sz w:val="20"/>
        </w:rPr>
        <w:t>Finansinspektionen</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(62) “</w:t>
      </w:r>
      <w:r>
        <w:rPr>
          <w:rFonts w:ascii="Times New Roman;serif" w:hAnsi="Times New Roman;serif"/>
          <w:b w:val="false"/>
          <w:color w:val="000000"/>
          <w:sz w:val="20"/>
          <w:u w:val="single"/>
        </w:rPr>
        <w:t>Shared Contracts</w:t>
      </w:r>
      <w:r>
        <w:rPr>
          <w:color w:val="000000"/>
        </w:rPr>
        <w:t xml:space="preserve">” </w:t>
      </w:r>
      <w:r>
        <w:rPr>
          <w:rFonts w:ascii="Times New Roman;serif" w:hAnsi="Times New Roman;serif"/>
          <w:b w:val="false"/>
          <w:color w:val="000000"/>
          <w:sz w:val="20"/>
        </w:rPr>
        <w:t xml:space="preserve">means the Contracts and other commitments, obligations or arrangements between Parent or any other member of the Parent Group, on the one hand, and one or more third parties, on the other hand, that, as of immediately prior to the Distribution Time, benefit both (a) the Spinco Business and (b) the Parent Business: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Shared Contracts shall not include any enterprise-wide Contracts, Contracts with respect to off-the-shelf Software, any Contract that provides for Overhead and Shared Services.</w:t>
      </w:r>
    </w:p>
    <w:p>
      <w:pPr>
        <w:pStyle w:val="TextBody"/>
        <w:bidi w:val="0"/>
        <w:spacing w:lineRule="auto" w:line="288" w:before="0" w:after="240"/>
        <w:ind w:left="0" w:right="0" w:firstLine="720"/>
        <w:jc w:val="left"/>
        <w:rPr/>
      </w:pPr>
      <w:r>
        <w:rPr>
          <w:rFonts w:ascii="Times New Roman;serif" w:hAnsi="Times New Roman;serif"/>
          <w:b w:val="false"/>
          <w:color w:val="000000"/>
          <w:sz w:val="20"/>
        </w:rPr>
        <w:t>(63) “</w:t>
      </w:r>
      <w:r>
        <w:rPr>
          <w:rFonts w:ascii="Times New Roman;serif" w:hAnsi="Times New Roman;serif"/>
          <w:b w:val="false"/>
          <w:color w:val="000000"/>
          <w:sz w:val="20"/>
          <w:u w:val="single"/>
        </w:rPr>
        <w:t>Software</w:t>
      </w:r>
      <w:r>
        <w:rPr>
          <w:color w:val="000000"/>
        </w:rPr>
        <w:t xml:space="preserve">” </w:t>
      </w:r>
      <w:r>
        <w:rPr>
          <w:rFonts w:ascii="Times New Roman;serif" w:hAnsi="Times New Roman;serif"/>
          <w:b w:val="false"/>
          <w:color w:val="000000"/>
          <w:sz w:val="20"/>
        </w:rPr>
        <w:t>means (a) software, firmware, computer programs and applications (whether in source code, object code or other form), (b) algorithms, models and methodologies, and any software implementations thereof, (c) databases related to the foregoing and (d) documentation, specifications, protocols, development tools and other technology used in supporting any of the foregoing categories.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(64) “</w:t>
      </w:r>
      <w:r>
        <w:rPr>
          <w:rFonts w:ascii="Times New Roman;serif" w:hAnsi="Times New Roman;serif"/>
          <w:b w:val="false"/>
          <w:color w:val="000000"/>
          <w:sz w:val="20"/>
          <w:u w:val="single"/>
        </w:rPr>
        <w:t>Spinco Board</w:t>
      </w:r>
      <w:r>
        <w:rPr>
          <w:color w:val="000000"/>
        </w:rPr>
        <w:t xml:space="preserve">” </w:t>
      </w:r>
      <w:r>
        <w:rPr>
          <w:rFonts w:ascii="Times New Roman;serif" w:hAnsi="Times New Roman;serif"/>
          <w:b w:val="false"/>
          <w:color w:val="000000"/>
          <w:sz w:val="20"/>
        </w:rPr>
        <w:t>means the board of directors of Spinco.</w:t>
      </w:r>
    </w:p>
    <w:p>
      <w:pPr>
        <w:pStyle w:val="TextBody"/>
        <w:bidi w:val="0"/>
        <w:spacing w:lineRule="auto" w:line="288" w:before="0" w:after="240"/>
        <w:ind w:left="0" w:right="0" w:firstLine="720"/>
        <w:jc w:val="left"/>
        <w:rPr/>
      </w:pPr>
      <w:r>
        <w:rPr>
          <w:rFonts w:ascii="Times New Roman;serif" w:hAnsi="Times New Roman;serif"/>
          <w:b w:val="false"/>
          <w:color w:val="000000"/>
          <w:sz w:val="20"/>
        </w:rPr>
        <w:t>(65) “</w:t>
      </w:r>
      <w:r>
        <w:rPr>
          <w:rFonts w:ascii="Times New Roman;serif" w:hAnsi="Times New Roman;serif"/>
          <w:b w:val="false"/>
          <w:color w:val="000000"/>
          <w:sz w:val="20"/>
          <w:u w:val="single"/>
        </w:rPr>
        <w:t>Spinco Business</w:t>
      </w:r>
      <w:r>
        <w:rPr>
          <w:color w:val="000000"/>
        </w:rPr>
        <w:t xml:space="preserve">” </w:t>
      </w:r>
      <w:r>
        <w:rPr>
          <w:rFonts w:ascii="Times New Roman;serif" w:hAnsi="Times New Roman;serif"/>
          <w:b w:val="false"/>
          <w:color w:val="000000"/>
          <w:sz w:val="20"/>
        </w:rPr>
        <w:t xml:space="preserve">means the business, operations, products, platforms, services and activities of (i) Parent’s Asset Lifecycle Intelligence business unit, (ii) Parent’s Safety, Infrastructure &amp; Geospatial business unit, (iii) Parent’s ETQ business unit, (iv) Parent’s Projectmates business unit, and (v) Parent’s Bricsys business unit, all as conducted as of immediately prior to the Distribution by Parent and its Subsidiaries;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“Spinco Business” shall not include, and the following shall not, directly or indirectly, be transferred to or assumed by any Spinco Entities in connection with the transactions contemplated by this Agreement and the other Transaction Documents: (a) any other business, operations, products, platforms, services and activities of Parent or its Subsidiaries and (b) any Overhead and Shared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(66) “</w:t>
      </w:r>
      <w:r>
        <w:rPr>
          <w:rFonts w:ascii="Times New Roman;serif" w:hAnsi="Times New Roman;serif"/>
          <w:b w:val="false"/>
          <w:color w:val="000000"/>
          <w:sz w:val="20"/>
          <w:u w:val="single"/>
        </w:rPr>
        <w:t>Spinco Business Records</w:t>
      </w:r>
      <w:r>
        <w:rPr>
          <w:color w:val="000000"/>
        </w:rPr>
        <w:t xml:space="preserve">” </w:t>
      </w:r>
      <w:r>
        <w:rPr>
          <w:rFonts w:ascii="Times New Roman;serif" w:hAnsi="Times New Roman;serif"/>
          <w:b w:val="false"/>
          <w:color w:val="000000"/>
          <w:sz w:val="20"/>
        </w:rPr>
        <w:t xml:space="preserve">means the Books and Records (a) to the extent related to the Spinco Business and in the possession or control of the Parent and its Subsidiaries and (b) reasonably separable from the Books and Records relating to any other business of the Parent or its Subsidiaries without imposing an unreasonable cost or burden on the Parent or any of its Subsidiaries;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“Spinco Business Records” shall be subject to </w:t>
      </w:r>
      <w:r>
        <w:rPr>
          <w:rFonts w:ascii="Times New Roman;serif" w:hAnsi="Times New Roman;serif"/>
          <w:b w:val="false"/>
          <w:color w:val="000000"/>
          <w:sz w:val="20"/>
          <w:u w:val="single"/>
        </w:rPr>
        <w:t>Section 4.5</w:t>
      </w:r>
      <w:r>
        <w:rPr>
          <w:color w:val="000000"/>
        </w:rPr>
        <w:t xml:space="preserve"> </w:t>
      </w:r>
      <w:r>
        <w:rPr>
          <w:rFonts w:ascii="Times New Roman;serif" w:hAnsi="Times New Roman;serif"/>
          <w:b w:val="false"/>
          <w:color w:val="000000"/>
          <w:sz w:val="20"/>
        </w:rPr>
        <w:t>and shall not include (w) any Books and Records to the extent related to any Excluded Liability, Excluded Asset (including any Shared Contract (or portion thereof) that is not an Spinco Contract) or any Overhead and Shared Services; (x) any corporate seals, minute books, stock books, laboratory notebooks, books of account or other records having to do with the corporate organization of the Parent or any of its Subsidiaries or relating to the process for the separation of the Spinco Business; or (y) any Intellectual Property.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(67) “</w:t>
      </w:r>
      <w:r>
        <w:rPr>
          <w:rFonts w:ascii="Times New Roman;serif" w:hAnsi="Times New Roman;serif"/>
          <w:b w:val="false"/>
          <w:color w:val="000000"/>
          <w:sz w:val="20"/>
          <w:u w:val="single"/>
        </w:rPr>
        <w:t>Spinco Articles</w:t>
      </w:r>
      <w:r>
        <w:rPr>
          <w:color w:val="000000"/>
        </w:rPr>
        <w:t xml:space="preserve">” </w:t>
      </w:r>
      <w:r>
        <w:rPr>
          <w:rFonts w:ascii="Times New Roman;serif" w:hAnsi="Times New Roman;serif"/>
          <w:b w:val="false"/>
          <w:color w:val="000000"/>
          <w:sz w:val="20"/>
        </w:rPr>
        <w:t>means Spinco’s memorandum and articles of association to be adopted by way of shareholder resolution on or prior to the Distribution Date, in such form as may be reasonably determined by Spinco and Parent.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(68) “</w:t>
      </w:r>
      <w:r>
        <w:rPr>
          <w:rFonts w:ascii="Times New Roman;serif" w:hAnsi="Times New Roman;serif"/>
          <w:b w:val="false"/>
          <w:color w:val="000000"/>
          <w:sz w:val="20"/>
          <w:u w:val="single"/>
        </w:rPr>
        <w:t>Spinco Commitment Letter</w:t>
      </w:r>
      <w:r>
        <w:rPr>
          <w:color w:val="000000"/>
        </w:rPr>
        <w:t xml:space="preserve">” </w:t>
      </w:r>
      <w:r>
        <w:rPr>
          <w:rFonts w:ascii="Times New Roman;serif" w:hAnsi="Times New Roman;serif"/>
          <w:b w:val="false"/>
          <w:color w:val="000000"/>
          <w:sz w:val="20"/>
        </w:rPr>
        <w:t>means the commitment letter with respect to the $500,000,000 5-Year Revolving Credit Facility and $350,000,000 and €150,000,000 4-Year Term Loan Facility, dated as of March 17, 2026, among Spinco, Bank of America, N.A., BofA Securities, Inc., Bank of America Europe Designated Activity Company, BNP Paribas Securities Corp. and BNP Paribas.</w:t>
      </w:r>
    </w:p>
    <w:p>
      <w:pPr>
        <w:pStyle w:val="TextBody"/>
        <w:bidi w:val="0"/>
        <w:spacing w:lineRule="auto" w:line="288" w:before="0" w:after="240"/>
        <w:ind w:left="0" w:right="0" w:firstLine="720"/>
        <w:jc w:val="left"/>
        <w:rPr/>
      </w:pPr>
      <w:r>
        <w:rPr>
          <w:rFonts w:ascii="Times New Roman;serif" w:hAnsi="Times New Roman;serif"/>
          <w:b w:val="false"/>
          <w:color w:val="000000"/>
          <w:sz w:val="20"/>
        </w:rPr>
        <w:t>(69) “</w:t>
      </w:r>
      <w:r>
        <w:rPr>
          <w:rFonts w:ascii="Times New Roman;serif" w:hAnsi="Times New Roman;serif"/>
          <w:b w:val="false"/>
          <w:color w:val="000000"/>
          <w:sz w:val="20"/>
          <w:u w:val="single"/>
        </w:rPr>
        <w:t>Spinco Contract</w:t>
      </w:r>
      <w:r>
        <w:rPr>
          <w:color w:val="000000"/>
        </w:rPr>
        <w:t xml:space="preserve">” </w:t>
      </w:r>
      <w:r>
        <w:rPr>
          <w:rFonts w:ascii="Times New Roman;serif" w:hAnsi="Times New Roman;serif"/>
          <w:b w:val="false"/>
          <w:color w:val="000000"/>
          <w:sz w:val="20"/>
        </w:rPr>
        <w:t>means (a) any Contract (other than any Contract that is an Excluded Asset) to which Parent or any of its Subsidiaries is a party or to which any of the Spinco Assets is subject, in each case that primarily relates to or is primarily used in connection with or held for the benefit of the Spinco Business (in any event including the Spinco Financing Agreements and the Spinco Real Property Leases), (b) to the extent assignable, the applicable portion of any non-disclosure and confidentiality agreements to which any Spinco Assets that are not Excluded Assets are subject and (c) the applicable portions of each Shared Contract.</w:t>
      </w:r>
    </w:p>
    <w:p>
      <w:pPr>
        <w:pStyle w:val="TextBody"/>
        <w:bidi w:val="0"/>
        <w:spacing w:lineRule="auto" w:line="288" w:before="0" w:after="240"/>
        <w:ind w:left="0" w:right="0" w:firstLine="720"/>
        <w:jc w:val="left"/>
        <w:rPr/>
      </w:pPr>
      <w:r>
        <w:rPr>
          <w:rFonts w:ascii="Times New Roman;serif" w:hAnsi="Times New Roman;serif"/>
          <w:b w:val="false"/>
          <w:color w:val="000000"/>
          <w:sz w:val="20"/>
        </w:rPr>
        <w:t>(70) “</w:t>
      </w:r>
      <w:r>
        <w:rPr>
          <w:rFonts w:ascii="Times New Roman;serif" w:hAnsi="Times New Roman;serif"/>
          <w:b w:val="false"/>
          <w:color w:val="000000"/>
          <w:sz w:val="20"/>
          <w:u w:val="single"/>
        </w:rPr>
        <w:t>Spinco Domains &amp; Internet Properties</w:t>
      </w:r>
      <w:r>
        <w:rPr>
          <w:color w:val="000000"/>
        </w:rPr>
        <w:t xml:space="preserve">” </w:t>
      </w:r>
      <w:r>
        <w:rPr>
          <w:rFonts w:ascii="Times New Roman;serif" w:hAnsi="Times New Roman;serif"/>
          <w:b w:val="false"/>
          <w:color w:val="000000"/>
          <w:sz w:val="20"/>
        </w:rPr>
        <w:t>means the Internet Properties owned by Parent or any of its Subsidiaries as of the Distribution Time that are primarily used or held for use in the operation of the Spinco Business.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(71) “</w:t>
      </w:r>
      <w:r>
        <w:rPr>
          <w:rFonts w:ascii="Times New Roman;serif" w:hAnsi="Times New Roman;serif"/>
          <w:b w:val="false"/>
          <w:color w:val="000000"/>
          <w:sz w:val="20"/>
          <w:u w:val="single"/>
        </w:rPr>
        <w:t>Spinco Entities</w:t>
      </w:r>
      <w:r>
        <w:rPr>
          <w:color w:val="000000"/>
        </w:rPr>
        <w:t xml:space="preserve">” </w:t>
      </w:r>
      <w:r>
        <w:rPr>
          <w:rFonts w:ascii="Times New Roman;serif" w:hAnsi="Times New Roman;serif"/>
          <w:b w:val="false"/>
          <w:color w:val="000000"/>
          <w:sz w:val="20"/>
        </w:rPr>
        <w:t>means Spinco and the Directly Transferred Entities and their Subsidiaries, after giving effect to (or assuming the effect of, as applicable) the Reorganization.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(72) “</w:t>
      </w:r>
      <w:r>
        <w:rPr>
          <w:rFonts w:ascii="Times New Roman;serif" w:hAnsi="Times New Roman;serif"/>
          <w:b w:val="false"/>
          <w:color w:val="000000"/>
          <w:sz w:val="20"/>
          <w:u w:val="single"/>
        </w:rPr>
        <w:t>Spinco Financing</w:t>
      </w:r>
      <w:r>
        <w:rPr>
          <w:color w:val="000000"/>
        </w:rPr>
        <w:t xml:space="preserve">” </w:t>
      </w:r>
      <w:r>
        <w:rPr>
          <w:rFonts w:ascii="Times New Roman;serif" w:hAnsi="Times New Roman;serif"/>
          <w:b w:val="false"/>
          <w:color w:val="000000"/>
          <w:sz w:val="20"/>
        </w:rPr>
        <w:t>means the debt financing contemplated by the Spinco Commitment Letter.</w:t>
      </w:r>
    </w:p>
    <w:p>
      <w:pPr>
        <w:pStyle w:val="TextBody"/>
        <w:bidi w:val="0"/>
        <w:spacing w:lineRule="auto" w:line="288" w:before="0" w:after="240"/>
        <w:ind w:left="0" w:right="0" w:firstLine="720"/>
        <w:jc w:val="left"/>
        <w:rPr/>
      </w:pPr>
      <w:r>
        <w:rPr>
          <w:rFonts w:ascii="Times New Roman;serif" w:hAnsi="Times New Roman;serif"/>
          <w:b w:val="false"/>
          <w:color w:val="000000"/>
          <w:sz w:val="20"/>
        </w:rPr>
        <w:t>(73) “</w:t>
      </w:r>
      <w:r>
        <w:rPr>
          <w:rFonts w:ascii="Times New Roman;serif" w:hAnsi="Times New Roman;serif"/>
          <w:b w:val="false"/>
          <w:color w:val="000000"/>
          <w:sz w:val="20"/>
          <w:u w:val="single"/>
        </w:rPr>
        <w:t>Spinco Financing Agreements</w:t>
      </w:r>
      <w:r>
        <w:rPr>
          <w:color w:val="000000"/>
        </w:rPr>
        <w:t xml:space="preserve">” </w:t>
      </w:r>
      <w:r>
        <w:rPr>
          <w:rFonts w:ascii="Times New Roman;serif" w:hAnsi="Times New Roman;serif"/>
          <w:b w:val="false"/>
          <w:color w:val="000000"/>
          <w:sz w:val="20"/>
        </w:rPr>
        <w:t>means the definitive agreements with respect to the Spinco Financing entered into by one or more members of the Spinco Group.</w:t>
      </w:r>
    </w:p>
    <w:p>
      <w:pPr>
        <w:pStyle w:val="TextBody"/>
        <w:bidi w:val="0"/>
        <w:spacing w:lineRule="auto" w:line="288" w:before="0" w:after="240"/>
        <w:ind w:left="0" w:right="0" w:firstLine="720"/>
        <w:jc w:val="left"/>
        <w:rPr/>
      </w:pPr>
      <w:r>
        <w:rPr>
          <w:rFonts w:ascii="Times New Roman;serif" w:hAnsi="Times New Roman;serif"/>
          <w:b w:val="false"/>
          <w:color w:val="000000"/>
          <w:sz w:val="20"/>
        </w:rPr>
        <w:t>(74) “</w:t>
      </w:r>
      <w:r>
        <w:rPr>
          <w:rFonts w:ascii="Times New Roman;serif" w:hAnsi="Times New Roman;serif"/>
          <w:b w:val="false"/>
          <w:color w:val="000000"/>
          <w:sz w:val="20"/>
          <w:u w:val="single"/>
        </w:rPr>
        <w:t>Spinco Group</w:t>
      </w:r>
      <w:r>
        <w:rPr>
          <w:color w:val="000000"/>
        </w:rPr>
        <w:t xml:space="preserve">” </w:t>
      </w:r>
      <w:r>
        <w:rPr>
          <w:rFonts w:ascii="Times New Roman;serif" w:hAnsi="Times New Roman;serif"/>
          <w:b w:val="false"/>
          <w:color w:val="000000"/>
          <w:sz w:val="20"/>
        </w:rPr>
        <w:t>means Spinco, the other Spinco Entities, each Subsidiary of Spinco immediately after the Distribution Time and each other Person that becomes a Subsidiary of Spinco after the Distribution Time (including as a result of any transactions that occur following the Distribution Time in accordance with the Separation Step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(75) “</w:t>
      </w:r>
      <w:r>
        <w:rPr>
          <w:rFonts w:ascii="Times New Roman;serif" w:hAnsi="Times New Roman;serif"/>
          <w:b w:val="false"/>
          <w:color w:val="000000"/>
          <w:sz w:val="20"/>
          <w:u w:val="single"/>
        </w:rPr>
        <w:t>Spinco IT Assets</w:t>
      </w:r>
      <w:r>
        <w:rPr>
          <w:color w:val="000000"/>
        </w:rPr>
        <w:t xml:space="preserve">” </w:t>
      </w:r>
      <w:r>
        <w:rPr>
          <w:rFonts w:ascii="Times New Roman;serif" w:hAnsi="Times New Roman;serif"/>
          <w:b w:val="false"/>
          <w:color w:val="000000"/>
          <w:sz w:val="20"/>
        </w:rPr>
        <w:t xml:space="preserve">means all IT Assets primarily used or held for use in the operation of the Spinco Business. </w:t>
      </w:r>
    </w:p>
    <w:p>
      <w:pPr>
        <w:pStyle w:val="TextBody"/>
        <w:bidi w:val="0"/>
        <w:spacing w:lineRule="auto" w:line="288" w:before="0" w:after="240"/>
        <w:ind w:left="0" w:right="0" w:firstLine="720"/>
        <w:jc w:val="left"/>
        <w:rPr/>
      </w:pPr>
      <w:r>
        <w:rPr>
          <w:rFonts w:ascii="Times New Roman;serif" w:hAnsi="Times New Roman;serif"/>
          <w:b w:val="false"/>
          <w:color w:val="000000"/>
          <w:sz w:val="20"/>
        </w:rPr>
        <w:t>(76) “</w:t>
      </w:r>
      <w:r>
        <w:rPr>
          <w:rFonts w:ascii="Times New Roman;serif" w:hAnsi="Times New Roman;serif"/>
          <w:b w:val="false"/>
          <w:color w:val="000000"/>
          <w:sz w:val="20"/>
          <w:u w:val="single"/>
        </w:rPr>
        <w:t>Spinco Leased Real Property</w:t>
      </w:r>
      <w:r>
        <w:rPr>
          <w:color w:val="000000"/>
        </w:rPr>
        <w:t xml:space="preserve">” </w:t>
      </w:r>
      <w:r>
        <w:rPr>
          <w:rFonts w:ascii="Times New Roman;serif" w:hAnsi="Times New Roman;serif"/>
          <w:b w:val="false"/>
          <w:color w:val="000000"/>
          <w:sz w:val="20"/>
        </w:rPr>
        <w:t xml:space="preserve">means the real property leased by the Directly Transferred Entities and their Subsidiaries.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(77) “</w:t>
      </w:r>
      <w:r>
        <w:rPr>
          <w:rFonts w:ascii="Times New Roman;serif" w:hAnsi="Times New Roman;serif"/>
          <w:b w:val="false"/>
          <w:color w:val="000000"/>
          <w:sz w:val="20"/>
          <w:u w:val="single"/>
        </w:rPr>
        <w:t>Spinco Owned Real Property</w:t>
      </w:r>
      <w:r>
        <w:rPr>
          <w:color w:val="000000"/>
        </w:rPr>
        <w:t xml:space="preserve">” </w:t>
      </w:r>
      <w:r>
        <w:rPr>
          <w:rFonts w:ascii="Times New Roman;serif" w:hAnsi="Times New Roman;serif"/>
          <w:b w:val="false"/>
          <w:color w:val="000000"/>
          <w:sz w:val="20"/>
        </w:rPr>
        <w:t>means the real property owned by the Directly Transferred Entities and their Subsidiaries.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(78) “</w:t>
      </w:r>
      <w:r>
        <w:rPr>
          <w:rFonts w:ascii="Times New Roman;serif" w:hAnsi="Times New Roman;serif"/>
          <w:b w:val="false"/>
          <w:color w:val="000000"/>
          <w:sz w:val="20"/>
          <w:u w:val="single"/>
        </w:rPr>
        <w:t>Spinco Permits</w:t>
      </w:r>
      <w:r>
        <w:rPr>
          <w:color w:val="000000"/>
        </w:rPr>
        <w:t xml:space="preserve">” </w:t>
      </w:r>
      <w:r>
        <w:rPr>
          <w:rFonts w:ascii="Times New Roman;serif" w:hAnsi="Times New Roman;serif"/>
          <w:b w:val="false"/>
          <w:color w:val="000000"/>
          <w:sz w:val="20"/>
        </w:rPr>
        <w:t xml:space="preserve">means all Permits owned, held or licensed by Parent or any of its Subsidiaries or the Spinco Entities that are primarily related to the Spinco Business or the Spinco Assets: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Permits shall be deemed to be Excluded Assets to the extent that the transfer, assignment or conveyance of any such Permits in connection with the transactions contemplated by this Agreement is not permitted by applicable Law or the terms of such Permit.</w:t>
      </w:r>
    </w:p>
    <w:p>
      <w:pPr>
        <w:pStyle w:val="TextBody"/>
        <w:bidi w:val="0"/>
        <w:spacing w:lineRule="auto" w:line="288" w:before="0" w:after="240"/>
        <w:ind w:left="0" w:right="0" w:firstLine="720"/>
        <w:jc w:val="left"/>
        <w:rPr/>
      </w:pPr>
      <w:r>
        <w:rPr>
          <w:rFonts w:ascii="Times New Roman;serif" w:hAnsi="Times New Roman;serif"/>
          <w:b w:val="false"/>
          <w:color w:val="000000"/>
          <w:sz w:val="20"/>
        </w:rPr>
        <w:t>(79) “</w:t>
      </w:r>
      <w:r>
        <w:rPr>
          <w:rFonts w:ascii="Times New Roman;serif" w:hAnsi="Times New Roman;serif"/>
          <w:b w:val="false"/>
          <w:color w:val="000000"/>
          <w:sz w:val="20"/>
          <w:u w:val="single"/>
        </w:rPr>
        <w:t>Spinco Real Property Leases</w:t>
      </w:r>
      <w:r>
        <w:rPr>
          <w:color w:val="000000"/>
        </w:rPr>
        <w:t xml:space="preserve">” </w:t>
      </w:r>
      <w:r>
        <w:rPr>
          <w:rFonts w:ascii="Times New Roman;serif" w:hAnsi="Times New Roman;serif"/>
          <w:b w:val="false"/>
          <w:color w:val="000000"/>
          <w:sz w:val="20"/>
        </w:rPr>
        <w:t>means the leases related to Spinco Leased Real Property.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(80) “</w:t>
      </w:r>
      <w:r>
        <w:rPr>
          <w:rFonts w:ascii="Times New Roman;serif" w:hAnsi="Times New Roman;serif"/>
          <w:b w:val="false"/>
          <w:color w:val="000000"/>
          <w:sz w:val="20"/>
          <w:u w:val="single"/>
        </w:rPr>
        <w:t>Spinco Software</w:t>
      </w:r>
      <w:r>
        <w:rPr>
          <w:color w:val="000000"/>
        </w:rPr>
        <w:t xml:space="preserve">” </w:t>
      </w:r>
      <w:r>
        <w:rPr>
          <w:rFonts w:ascii="Times New Roman;serif" w:hAnsi="Times New Roman;serif"/>
          <w:b w:val="false"/>
          <w:color w:val="000000"/>
          <w:sz w:val="20"/>
        </w:rPr>
        <w:t>means the tangible embodiments of the proprietary Software primarily used or held for use in the operation of the Spinco Business, in each case, excluding any Software or associated systems or services owned, controlled or provided by any Third Party.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(81) “</w:t>
      </w:r>
      <w:r>
        <w:rPr>
          <w:rFonts w:ascii="Times New Roman;serif" w:hAnsi="Times New Roman;serif"/>
          <w:b w:val="false"/>
          <w:color w:val="000000"/>
          <w:sz w:val="20"/>
          <w:u w:val="single"/>
        </w:rPr>
        <w:t>Spinco Intellectual Property</w:t>
      </w:r>
      <w:r>
        <w:rPr>
          <w:color w:val="000000"/>
        </w:rPr>
        <w:t xml:space="preserve">” </w:t>
      </w:r>
      <w:r>
        <w:rPr>
          <w:rFonts w:ascii="Times New Roman;serif" w:hAnsi="Times New Roman;serif"/>
          <w:b w:val="false"/>
          <w:color w:val="000000"/>
          <w:sz w:val="20"/>
        </w:rPr>
        <w:t xml:space="preserve">means (a) the Patents set forth on Schedule 1.81(a); (b) the Trademarks set forth on Schedule 1.81(b); (c) the Copyrights and Trade Secrets owned by Parent or any of its Subsidiaries as of the Distribution Time in and to the Spinco Software; (d) the Other Intellectual Property owned by Parent or any of its Subsidiaries as of the Distribution Time that are primarily used or held for use in the operation of the Spinco Business and (e) the Spinco Domain &amp; Internet Properties.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(82) “</w:t>
      </w:r>
      <w:r>
        <w:rPr>
          <w:rFonts w:ascii="Times New Roman;serif" w:hAnsi="Times New Roman;serif"/>
          <w:b w:val="false"/>
          <w:color w:val="000000"/>
          <w:sz w:val="20"/>
          <w:u w:val="single"/>
        </w:rPr>
        <w:t>Subsidiary</w:t>
      </w:r>
      <w:r>
        <w:rPr>
          <w:color w:val="000000"/>
        </w:rPr>
        <w:t xml:space="preserve">” </w:t>
      </w:r>
      <w:r>
        <w:rPr>
          <w:rFonts w:ascii="Times New Roman;serif" w:hAnsi="Times New Roman;serif"/>
          <w:b w:val="false"/>
          <w:color w:val="000000"/>
          <w:sz w:val="20"/>
        </w:rPr>
        <w:t>means, with respect to any Person, any corporation, entity or other organization, whether incorporated or unincorporated, of which such first Person directly or indirectly owns or controls all of the securities or other interests and having voting power to elect a majority of the board of directors or others performing similar functions; </w:t>
      </w:r>
      <w:r>
        <w:rPr>
          <w:rFonts w:ascii="Times New Roman;serif" w:hAnsi="Times New Roman;serif"/>
          <w:b w:val="false"/>
          <w:color w:val="000000"/>
          <w:sz w:val="20"/>
          <w:u w:val="single"/>
        </w:rPr>
        <w:t>provided</w:t>
      </w:r>
      <w:r>
        <w:rPr>
          <w:rFonts w:ascii="Times New Roman;serif" w:hAnsi="Times New Roman;serif"/>
          <w:b w:val="false"/>
          <w:color w:val="000000"/>
          <w:sz w:val="20"/>
        </w:rPr>
        <w:t>, that, from and after the Distribution Time, none of the Spinco Entities shall be considered a Subsidiary of the Parent Group.</w:t>
      </w:r>
    </w:p>
    <w:p>
      <w:pPr>
        <w:pStyle w:val="TextBody"/>
        <w:bidi w:val="0"/>
        <w:spacing w:lineRule="auto" w:line="288" w:before="0" w:after="240"/>
        <w:ind w:left="0" w:right="0" w:firstLine="720"/>
        <w:jc w:val="left"/>
        <w:rPr/>
      </w:pPr>
      <w:r>
        <w:rPr>
          <w:rFonts w:ascii="Times New Roman;serif" w:hAnsi="Times New Roman;serif"/>
          <w:b w:val="false"/>
          <w:color w:val="000000"/>
          <w:sz w:val="20"/>
        </w:rPr>
        <w:t>(83) “</w:t>
      </w:r>
      <w:r>
        <w:rPr>
          <w:rFonts w:ascii="Times New Roman;serif" w:hAnsi="Times New Roman;serif"/>
          <w:b w:val="false"/>
          <w:color w:val="000000"/>
          <w:sz w:val="20"/>
          <w:u w:val="single"/>
        </w:rPr>
        <w:t>Tangible and Personal Property</w:t>
      </w:r>
      <w:r>
        <w:rPr>
          <w:color w:val="000000"/>
        </w:rPr>
        <w:t xml:space="preserve">” </w:t>
      </w:r>
      <w:r>
        <w:rPr>
          <w:rFonts w:ascii="Times New Roman;serif" w:hAnsi="Times New Roman;serif"/>
          <w:b w:val="false"/>
          <w:color w:val="000000"/>
          <w:sz w:val="20"/>
        </w:rPr>
        <w:t xml:space="preserve">means all equipment, machinery, parts, spare parts, tools, lab assets or other tangible personal property;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Tangible and Personal Property does not include IT Assets or any Intellectual Property.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(84) “</w:t>
      </w:r>
      <w:r>
        <w:rPr>
          <w:rFonts w:ascii="Times New Roman;serif" w:hAnsi="Times New Roman;serif"/>
          <w:b w:val="false"/>
          <w:color w:val="000000"/>
          <w:sz w:val="20"/>
          <w:u w:val="single"/>
        </w:rPr>
        <w:t>Tax</w:t>
      </w:r>
      <w:r>
        <w:rPr>
          <w:color w:val="000000"/>
        </w:rPr>
        <w:t xml:space="preserve">” </w:t>
      </w:r>
      <w:r>
        <w:rPr>
          <w:rFonts w:ascii="Times New Roman;serif" w:hAnsi="Times New Roman;serif"/>
          <w:b w:val="false"/>
          <w:color w:val="000000"/>
          <w:sz w:val="20"/>
        </w:rPr>
        <w:t>has the meaning set forth in the Tax Disaffiliation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(85) “</w:t>
      </w:r>
      <w:r>
        <w:rPr>
          <w:rFonts w:ascii="Times New Roman;serif" w:hAnsi="Times New Roman;serif"/>
          <w:b w:val="false"/>
          <w:color w:val="000000"/>
          <w:sz w:val="20"/>
          <w:u w:val="single"/>
        </w:rPr>
        <w:t>Tax Disaffiliation Agreement</w:t>
      </w:r>
      <w:r>
        <w:rPr>
          <w:color w:val="000000"/>
        </w:rPr>
        <w:t xml:space="preserve">” </w:t>
      </w:r>
      <w:r>
        <w:rPr>
          <w:rFonts w:ascii="Times New Roman;serif" w:hAnsi="Times New Roman;serif"/>
          <w:b w:val="false"/>
          <w:color w:val="000000"/>
          <w:sz w:val="20"/>
        </w:rPr>
        <w:t>means the Tax Disaffiliation Agreement dated as of the date hereof between Parent and Spinco.</w:t>
      </w:r>
    </w:p>
    <w:p>
      <w:pPr>
        <w:pStyle w:val="TextBody"/>
        <w:bidi w:val="0"/>
        <w:spacing w:lineRule="auto" w:line="288" w:before="0" w:after="240"/>
        <w:ind w:left="0" w:right="0" w:firstLine="720"/>
        <w:jc w:val="left"/>
        <w:rPr/>
      </w:pPr>
      <w:r>
        <w:rPr>
          <w:rFonts w:ascii="Times New Roman;serif" w:hAnsi="Times New Roman;serif"/>
          <w:b w:val="false"/>
          <w:color w:val="000000"/>
          <w:sz w:val="20"/>
        </w:rPr>
        <w:t>(86) “</w:t>
      </w:r>
      <w:r>
        <w:rPr>
          <w:rFonts w:ascii="Times New Roman;serif" w:hAnsi="Times New Roman;serif"/>
          <w:b w:val="false"/>
          <w:color w:val="000000"/>
          <w:sz w:val="20"/>
          <w:u w:val="single"/>
        </w:rPr>
        <w:t>Tax Opinion</w:t>
      </w:r>
      <w:r>
        <w:rPr>
          <w:color w:val="000000"/>
        </w:rPr>
        <w:t xml:space="preserve">” </w:t>
      </w:r>
      <w:r>
        <w:rPr>
          <w:rFonts w:ascii="Times New Roman;serif" w:hAnsi="Times New Roman;serif"/>
          <w:b w:val="false"/>
          <w:color w:val="000000"/>
          <w:sz w:val="20"/>
        </w:rPr>
        <w:t>has the meaning set forth in the Tax Disaffiliation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(87) “</w:t>
      </w:r>
      <w:r>
        <w:rPr>
          <w:rFonts w:ascii="Times New Roman;serif" w:hAnsi="Times New Roman;serif"/>
          <w:b w:val="false"/>
          <w:color w:val="000000"/>
          <w:sz w:val="20"/>
          <w:u w:val="single"/>
        </w:rPr>
        <w:t>Tax Opinion Representations</w:t>
      </w:r>
      <w:r>
        <w:rPr>
          <w:color w:val="000000"/>
        </w:rPr>
        <w:t xml:space="preserve">” </w:t>
      </w:r>
      <w:r>
        <w:rPr>
          <w:rFonts w:ascii="Times New Roman;serif" w:hAnsi="Times New Roman;serif"/>
          <w:b w:val="false"/>
          <w:color w:val="3B3B3B"/>
          <w:sz w:val="20"/>
        </w:rPr>
        <w:t>has the meaning set forth in the Tax Disaffiliation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(88) “</w:t>
      </w:r>
      <w:r>
        <w:rPr>
          <w:rFonts w:ascii="Times New Roman;serif" w:hAnsi="Times New Roman;serif"/>
          <w:b w:val="false"/>
          <w:color w:val="000000"/>
          <w:sz w:val="20"/>
          <w:u w:val="single"/>
        </w:rPr>
        <w:t>Tax Return</w:t>
      </w:r>
      <w:r>
        <w:rPr>
          <w:color w:val="000000"/>
        </w:rPr>
        <w:t xml:space="preserve">” </w:t>
      </w:r>
      <w:r>
        <w:rPr>
          <w:rFonts w:ascii="Times New Roman;serif" w:hAnsi="Times New Roman;serif"/>
          <w:b w:val="false"/>
          <w:color w:val="000000"/>
          <w:sz w:val="20"/>
        </w:rPr>
        <w:t>has the meaning set forth in the Tax Disaffiliation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(89) “</w:t>
      </w:r>
      <w:r>
        <w:rPr>
          <w:rFonts w:ascii="Times New Roman;serif" w:hAnsi="Times New Roman;serif"/>
          <w:b w:val="false"/>
          <w:color w:val="000000"/>
          <w:sz w:val="20"/>
          <w:u w:val="single"/>
        </w:rPr>
        <w:t>Tax-Free Status</w:t>
      </w:r>
      <w:r>
        <w:rPr>
          <w:color w:val="000000"/>
        </w:rPr>
        <w:t xml:space="preserve">” </w:t>
      </w:r>
      <w:r>
        <w:rPr>
          <w:rFonts w:ascii="Times New Roman;serif" w:hAnsi="Times New Roman;serif"/>
          <w:b w:val="false"/>
          <w:color w:val="000000"/>
          <w:sz w:val="20"/>
        </w:rPr>
        <w:t>has the meaning set forth in the Tax Disaffiliation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(90) “</w:t>
      </w:r>
      <w:r>
        <w:rPr>
          <w:rFonts w:ascii="Times New Roman;serif" w:hAnsi="Times New Roman;serif"/>
          <w:b w:val="false"/>
          <w:color w:val="000000"/>
          <w:sz w:val="20"/>
          <w:u w:val="single"/>
        </w:rPr>
        <w:t>Transaction Documents</w:t>
      </w:r>
      <w:r>
        <w:rPr>
          <w:color w:val="000000"/>
        </w:rPr>
        <w:t xml:space="preserve">” </w:t>
      </w:r>
      <w:r>
        <w:rPr>
          <w:rFonts w:ascii="Times New Roman;serif" w:hAnsi="Times New Roman;serif"/>
          <w:b w:val="false"/>
          <w:color w:val="000000"/>
          <w:sz w:val="20"/>
        </w:rPr>
        <w:t>means this Agreement, the Employee Matters Agreement, the Spinco Financing Agreements, the Tax Disaffiliation Agreement, the Transition Services Agreement, the Registration Rights Agreement and any other agreements between the Parties hereto or their respective Affiliates in connection with the transactions contemplated hereby, and including all annexes, exhibits, schedules, attachments and appendices thereto, and any certificate or other instrument delivered by any Party to other Party pursuant to this Agreement or any of the foregoing.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(91) “</w:t>
      </w:r>
      <w:r>
        <w:rPr>
          <w:rFonts w:ascii="Times New Roman;serif" w:hAnsi="Times New Roman;serif"/>
          <w:b w:val="false"/>
          <w:color w:val="000000"/>
          <w:sz w:val="20"/>
          <w:u w:val="single"/>
        </w:rPr>
        <w:t>Transfer Documents</w:t>
      </w:r>
      <w:r>
        <w:rPr>
          <w:color w:val="000000"/>
        </w:rPr>
        <w:t xml:space="preserve">” </w:t>
      </w:r>
      <w:r>
        <w:rPr>
          <w:rFonts w:ascii="Times New Roman;serif" w:hAnsi="Times New Roman;serif"/>
          <w:b w:val="false"/>
          <w:color w:val="000000"/>
          <w:sz w:val="20"/>
        </w:rPr>
        <w:t>means the Pre-Distribution Transfer Documents and the Post-Distribution Transfer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(92) “</w:t>
      </w:r>
      <w:r>
        <w:rPr>
          <w:rFonts w:ascii="Times New Roman;serif" w:hAnsi="Times New Roman;serif"/>
          <w:b w:val="false"/>
          <w:color w:val="000000"/>
          <w:sz w:val="20"/>
          <w:u w:val="single"/>
        </w:rPr>
        <w:t>Transfer Taxes</w:t>
      </w:r>
      <w:r>
        <w:rPr>
          <w:color w:val="000000"/>
        </w:rPr>
        <w:t xml:space="preserve">” </w:t>
      </w:r>
      <w:r>
        <w:rPr>
          <w:rFonts w:ascii="Times New Roman;serif" w:hAnsi="Times New Roman;serif"/>
          <w:b w:val="false"/>
          <w:color w:val="000000"/>
          <w:sz w:val="20"/>
        </w:rPr>
        <w:t>has the meaning set forth in the Tax Disaffiliation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(93) “</w:t>
      </w:r>
      <w:r>
        <w:rPr>
          <w:rFonts w:ascii="Times New Roman;serif" w:hAnsi="Times New Roman;serif"/>
          <w:b w:val="false"/>
          <w:color w:val="000000"/>
          <w:sz w:val="20"/>
          <w:u w:val="single"/>
        </w:rPr>
        <w:t>Transition Services Agreement</w:t>
      </w:r>
      <w:r>
        <w:rPr>
          <w:color w:val="000000"/>
        </w:rPr>
        <w:t xml:space="preserve">” </w:t>
      </w:r>
      <w:r>
        <w:rPr>
          <w:rFonts w:ascii="Times New Roman;serif" w:hAnsi="Times New Roman;serif"/>
          <w:b w:val="false"/>
          <w:color w:val="000000"/>
          <w:sz w:val="20"/>
        </w:rPr>
        <w:t>means the Transition Services Agreement dated as of the date hereof between Parent and Spinco.</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(94) “</w:t>
      </w:r>
      <w:r>
        <w:rPr>
          <w:rFonts w:ascii="Times New Roman;serif" w:hAnsi="Times New Roman;serif"/>
          <w:b w:val="false"/>
          <w:color w:val="000000"/>
          <w:sz w:val="20"/>
          <w:u w:val="single"/>
        </w:rPr>
        <w:t>Transition Support Termination</w:t>
      </w:r>
      <w:r>
        <w:rPr>
          <w:color w:val="000000"/>
        </w:rPr>
        <w:t xml:space="preserve">” </w:t>
      </w:r>
      <w:r>
        <w:rPr>
          <w:rFonts w:ascii="Times New Roman;serif" w:hAnsi="Times New Roman;serif"/>
          <w:b w:val="false"/>
          <w:color w:val="000000"/>
          <w:sz w:val="20"/>
        </w:rPr>
        <w:t>means the effective date of the termination or expiration of the Transition Services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(95) “</w:t>
      </w:r>
      <w:r>
        <w:rPr>
          <w:rFonts w:ascii="Times New Roman;serif" w:hAnsi="Times New Roman;serif"/>
          <w:b w:val="false"/>
          <w:color w:val="000000"/>
          <w:sz w:val="20"/>
          <w:u w:val="single"/>
        </w:rPr>
        <w:t>Sullivan &amp; Cromwell</w:t>
      </w:r>
      <w:r>
        <w:rPr>
          <w:color w:val="000000"/>
        </w:rPr>
        <w:t xml:space="preserve">” </w:t>
      </w:r>
      <w:r>
        <w:rPr>
          <w:rFonts w:ascii="Times New Roman;serif" w:hAnsi="Times New Roman;serif"/>
          <w:b w:val="false"/>
          <w:color w:val="000000"/>
          <w:sz w:val="20"/>
        </w:rPr>
        <w:t>means Sullivan &amp; Cromwell LLP.</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1.2 </w:t>
      </w:r>
      <w:r>
        <w:rPr>
          <w:rFonts w:ascii="Times New Roman;serif" w:hAnsi="Times New Roman;serif"/>
          <w:b w:val="false"/>
          <w:color w:val="000000"/>
          <w:sz w:val="20"/>
          <w:u w:val="single"/>
        </w:rPr>
        <w:t>Other Terms</w:t>
      </w:r>
      <w:r>
        <w:rPr>
          <w:rFonts w:ascii="Times New Roman;serif" w:hAnsi="Times New Roman;serif"/>
          <w:b w:val="false"/>
          <w:color w:val="000000"/>
          <w:sz w:val="20"/>
        </w:rPr>
        <w:t>. For purposes of this Agreement, the following terms have the meanings set forth in the sections indicated:</w:t>
      </w:r>
    </w:p>
    <w:tbl>
      <w:tblPr>
        <w:tblW w:w="8145" w:type="dxa"/>
        <w:jc w:val="left"/>
        <w:tblInd w:w="0" w:type="dxa"/>
        <w:tblLayout w:type="fixed"/>
        <w:tblCellMar>
          <w:top w:w="28" w:type="dxa"/>
          <w:left w:w="28" w:type="dxa"/>
          <w:bottom w:w="28" w:type="dxa"/>
          <w:right w:w="28" w:type="dxa"/>
        </w:tblCellMar>
      </w:tblPr>
      <w:tblGrid>
        <w:gridCol w:w="1389"/>
        <w:gridCol w:w="1221"/>
        <w:gridCol w:w="1230"/>
        <w:gridCol w:w="1257"/>
        <w:gridCol w:w="1257"/>
        <w:gridCol w:w="1791"/>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Definition</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Location</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Agreed Procedures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4.1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Preamble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Cash</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3.l(c)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Chosen Courts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9.2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Copyrights</w:t>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i/>
                <w:color w:val="000000"/>
                <w:sz w:val="20"/>
              </w:rPr>
              <w:t xml:space="preserve">See definition of Intellectual Property, </w:t>
            </w:r>
            <w:r>
              <w:rPr>
                <w:rFonts w:ascii="Times New Roman;serif" w:hAnsi="Times New Roman;serif"/>
                <w:b w:val="false"/>
                <w:color w:val="000000"/>
                <w:sz w:val="20"/>
              </w:rPr>
              <w:t>Section 1.1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Delayed Transferred Asset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2.4(b)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Discharge</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3.5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Recitals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Escalation Notice</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8.2(a)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Excluded Assets</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2.2(b)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Excluded Liabilities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2.3(b)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Guarantees</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6.5(a)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Indemnified Party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6.4(a)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Indemnifying Party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6.4(a)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Indemnity Payment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6.4(a)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Properties</w:t>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See definition of </w:t>
            </w:r>
            <w:r>
              <w:rPr>
                <w:rFonts w:ascii="Times New Roman;serif" w:hAnsi="Times New Roman;serif"/>
                <w:b w:val="false"/>
                <w:i/>
                <w:color w:val="000000"/>
                <w:sz w:val="20"/>
              </w:rPr>
              <w:t xml:space="preserve">Intellectual Property, </w:t>
            </w:r>
            <w:r>
              <w:rPr>
                <w:rFonts w:ascii="Times New Roman;serif" w:hAnsi="Times New Roman;serif"/>
                <w:b w:val="false"/>
                <w:color w:val="000000"/>
                <w:sz w:val="20"/>
              </w:rPr>
              <w:t>Section 1.1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Preamble</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Parent Shares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Preamble</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 Guarantees</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2.12(a)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Parent Indemnified Parties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6.1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Parent Released Persons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Section 5.1(a)</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See definition of </w:t>
            </w:r>
            <w:r>
              <w:rPr>
                <w:rFonts w:ascii="Times New Roman;serif" w:hAnsi="Times New Roman;serif"/>
                <w:b w:val="false"/>
                <w:i/>
                <w:color w:val="000000"/>
                <w:sz w:val="20"/>
              </w:rPr>
              <w:t xml:space="preserve">Intellectual Property, </w:t>
            </w:r>
            <w:r>
              <w:rPr>
                <w:rFonts w:ascii="Times New Roman;serif" w:hAnsi="Times New Roman;serif"/>
                <w:b w:val="false"/>
                <w:color w:val="000000"/>
                <w:sz w:val="20"/>
              </w:rPr>
              <w:t xml:space="preserve">Section 1.1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Permits</w:t>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See definition of </w:t>
            </w:r>
            <w:r>
              <w:rPr>
                <w:rFonts w:ascii="Times New Roman;serif" w:hAnsi="Times New Roman;serif"/>
                <w:b w:val="false"/>
                <w:i/>
                <w:color w:val="000000"/>
                <w:sz w:val="20"/>
              </w:rPr>
              <w:t xml:space="preserve">Assets, </w:t>
            </w:r>
            <w:r>
              <w:rPr>
                <w:rFonts w:ascii="Times New Roman;serif" w:hAnsi="Times New Roman;serif"/>
                <w:b w:val="false"/>
                <w:color w:val="000000"/>
                <w:sz w:val="20"/>
              </w:rPr>
              <w:t>Section 1.1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Post-Distribution Spinco Transfer Documents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2.4(a)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Pre-Distribution Transfer Documents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2.l(b)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Separation Step Plan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Section 2.1(a)</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Spinco</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Preamble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Spinco Shares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Recitals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Spinco Entity Guarantees</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2.12(b)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Spinco Indemnification Obligations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Section 6.1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Spinco Indemnified Parties</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6.2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Spinco Liabilities</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2.3(a)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Spinco Prepaid Expenses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2.2(a)(ix)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Spinco Released Persons</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5.1(b)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Spinco Tangible and Personal Property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Section 2.2(a)(v)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Claim</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Section 6.6(a)</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w:t>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See definition of </w:t>
            </w:r>
            <w:r>
              <w:rPr>
                <w:rFonts w:ascii="Times New Roman;serif" w:hAnsi="Times New Roman;serif"/>
                <w:b w:val="false"/>
                <w:i/>
                <w:color w:val="000000"/>
                <w:sz w:val="20"/>
              </w:rPr>
              <w:t xml:space="preserve">Intellectual Property, </w:t>
            </w:r>
            <w:r>
              <w:rPr>
                <w:rFonts w:ascii="Times New Roman;serif" w:hAnsi="Times New Roman;serif"/>
                <w:b w:val="false"/>
                <w:color w:val="000000"/>
                <w:sz w:val="20"/>
              </w:rPr>
              <w:t xml:space="preserve">Section 1.1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Trademarks </w:t>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See definition of </w:t>
            </w:r>
            <w:r>
              <w:rPr>
                <w:rFonts w:ascii="Times New Roman;serif" w:hAnsi="Times New Roman;serif"/>
                <w:b w:val="false"/>
                <w:i/>
                <w:color w:val="000000"/>
                <w:sz w:val="20"/>
              </w:rPr>
              <w:t xml:space="preserve">Intellectual Property, </w:t>
            </w:r>
            <w:r>
              <w:rPr>
                <w:rFonts w:ascii="Times New Roman;serif" w:hAnsi="Times New Roman;serif"/>
                <w:b w:val="false"/>
                <w:color w:val="000000"/>
                <w:sz w:val="20"/>
              </w:rPr>
              <w:t>Section 1.1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Matters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Section 4.7(a)</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Privileged Materials</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Section 4.7(b)</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II</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REORGANIZATION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2.1 </w:t>
      </w:r>
      <w:r>
        <w:rPr>
          <w:rFonts w:ascii="Times New Roman;serif" w:hAnsi="Times New Roman;serif"/>
          <w:b w:val="false"/>
          <w:color w:val="000000"/>
          <w:sz w:val="20"/>
          <w:u w:val="single"/>
        </w:rPr>
        <w:t>Transfer of Assets and Assumption of Liabilities Prior to the Distribution</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Subject to Section 2.4 and Section 2.5 and in accordance with the plan and structure set forth on Schedule 2.1) (such plan and structure, as it may be revised in accordance with Section 2.1(c), being referred to herein as the “</w:t>
      </w:r>
      <w:r>
        <w:rPr>
          <w:rFonts w:ascii="Times New Roman;serif" w:hAnsi="Times New Roman;serif"/>
          <w:b w:val="false"/>
          <w:color w:val="000000"/>
          <w:sz w:val="20"/>
          <w:u w:val="single"/>
        </w:rPr>
        <w:t>Separation Step Plan</w:t>
      </w:r>
      <w:r>
        <w:rPr>
          <w:color w:val="000000"/>
        </w:rPr>
        <w:t>”</w:t>
      </w:r>
      <w:r>
        <w:rPr>
          <w:rFonts w:ascii="Times New Roman;serif" w:hAnsi="Times New Roman;serif"/>
          <w:b w:val="false"/>
          <w:color w:val="000000"/>
          <w:sz w:val="20"/>
        </w:rPr>
        <w:t xml:space="preserve">) and to the extent not previously effected pursuant to the steps of the Separation Step Plan that have been completed prior to the date of this Agreement, as promptly as practicable following the date of this Agreement: </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u w:val="single"/>
        </w:rPr>
        <w:t>Spinco Assets</w:t>
      </w:r>
      <w:r>
        <w:rPr>
          <w:rFonts w:ascii="Times New Roman;serif" w:hAnsi="Times New Roman;serif"/>
          <w:b w:val="false"/>
          <w:color w:val="000000"/>
          <w:sz w:val="20"/>
        </w:rPr>
        <w:t>. Parent hereby assigns, transfers and conveys to Spinco, and Spinco shall accept from Parent, all of Parent’s direct or indirect right, title and interest in and to the Spinco Assets (it being understood that if any Spinco Asset shall be held by a Directly Transferred Entity or a direct or indirect Subsidiary of a Directly Transferred Entity, such Spinco Asset shall be deemed assigned, transferred, conveyed and delivered to Spinco as a result of the transfer of all of the Equity Interests in such Directly Transferred Entity from Parent or the applicable members of the Parent Group to Spinco or the applicable member of the Spinco Group as designated by Spinco (the “</w:t>
      </w:r>
      <w:r>
        <w:rPr>
          <w:rFonts w:ascii="Times New Roman;serif" w:hAnsi="Times New Roman;serif"/>
          <w:b w:val="false"/>
          <w:color w:val="000000"/>
          <w:sz w:val="20"/>
          <w:u w:val="single"/>
        </w:rPr>
        <w:t>Spinco Designee</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(ii) </w:t>
      </w:r>
      <w:r>
        <w:rPr>
          <w:rFonts w:ascii="Times New Roman;serif" w:hAnsi="Times New Roman;serif"/>
          <w:b w:val="false"/>
          <w:color w:val="000000"/>
          <w:sz w:val="20"/>
          <w:u w:val="single"/>
        </w:rPr>
        <w:t>Spinco Liabilities</w:t>
      </w:r>
      <w:r>
        <w:rPr>
          <w:rFonts w:ascii="Times New Roman;serif" w:hAnsi="Times New Roman;serif"/>
          <w:b w:val="false"/>
          <w:color w:val="000000"/>
          <w:sz w:val="20"/>
        </w:rPr>
        <w:t>. Spinco shall accept and assume from Parent and its Subsidiaries (other than Spinco) and agree to perform, discharge and fulfill the Spinco Liabilities, in accordance with their respective terms (it being understood that if any Spinco Liability is a liability of a Directly Transferred Entity or a direct or indirect Subsidiary of a Directly Transferred Entity, such Spinco Liability shall be deemed assumed by Spinco as a result of the transfer of all of the Equity Interests in such Directly Transferred Entity from Parent or the applicable members of the Parent Group to Spinco or the applicable Spinco Designee). Spinco shall be responsible for all Spinco Liabilities, regardless of when or where such Spinco Liabilities arose or arise, or the legal entity that incurred or holds the Spinco Liability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nothing contained herein shall preclude, restrict or otherwise inhibit Spinco from asserting against third parties any defenses available to the legal entity that incurred or holds such Spinco Liability), or whether the facts on which they are based occurred prior to, at or subsequent to the Distribution Time, regardless of where or against whom such Spinco Liabilities are asserted or determined or whether asserted or determined prior to the date of this Agreement, and regardless of whether arising from or alleged to arise from negligence, recklessness, violation of Law, fraud or misrepresentation by any member of the Parent Group or the Spinco Group, any predecessor of any such member or any of their respective directors, officers, employees, agents or Affiliates,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notwithstanding anything to the contrary, Spinco Liabilities shall not include any Liabilities arising out of or resulting from (x) fraud or willful misconduct by any member of the Parent Group or its senior management acting outside the ordinary course of the Spinco Business or (y) any violation under applicable federal and state securities Laws relating to, arising out of or resulting from any of the Disclosure Documents, other than information primarily relating to the Spinco Business, whenever arising;</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(iii) </w:t>
      </w:r>
      <w:r>
        <w:rPr>
          <w:rFonts w:ascii="Times New Roman;serif" w:hAnsi="Times New Roman;serif"/>
          <w:b w:val="false"/>
          <w:color w:val="000000"/>
          <w:sz w:val="20"/>
          <w:u w:val="single"/>
        </w:rPr>
        <w:t>Excluded Assets</w:t>
      </w:r>
      <w:r>
        <w:rPr>
          <w:rFonts w:ascii="Times New Roman;serif" w:hAnsi="Times New Roman;serif"/>
          <w:b w:val="false"/>
          <w:color w:val="000000"/>
          <w:sz w:val="20"/>
        </w:rPr>
        <w:t>. Spinco shall assign, transfer and convey to Parent or one or more of its other Subsidiaries designated by Parent (other than Spinco or the other the Spinco Entities), and Parent or such other Subsidiaries shall accept from Spinco, Spinco’s respective direct or indirect right, title and interest in and to any Excluded Assets in the manner specified by Parent to be so assigned, transferred and conveyed; and</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(iv) </w:t>
      </w:r>
      <w:r>
        <w:rPr>
          <w:rFonts w:ascii="Times New Roman;serif" w:hAnsi="Times New Roman;serif"/>
          <w:b w:val="false"/>
          <w:color w:val="000000"/>
          <w:sz w:val="20"/>
          <w:u w:val="single"/>
        </w:rPr>
        <w:t>Excluded Liabilities</w:t>
      </w:r>
      <w:r>
        <w:rPr>
          <w:rFonts w:ascii="Times New Roman;serif" w:hAnsi="Times New Roman;serif"/>
          <w:b w:val="false"/>
          <w:color w:val="000000"/>
          <w:sz w:val="20"/>
        </w:rPr>
        <w:t>. Parent or one or more of its Subsidiaries designated by Parent (other than Spinco or the other the Spinco Entities) shall accept and assume from Spinco and agree to perform, discharge and fulfill the Excluded Liabilities in accordance with their respective terms, and Parent or its applicable Subsidiaries shall be responsible for all Excluded Liabilities, regardless of when or where such Excluded Liabilities arose or arise, or the legal entity that incurred or holds the Excluded Liability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nothing contained herein shall preclude, restrict or otherwise inhibit Parent or one or more of its applicable Subsidiaries from asserting against third parties any defenses available to the legal entity that incurred or holds such Excluded Liability), or whether the facts on which they are based occurred prior to, at or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subsequent to the Distribution Time, regardless of where or against whom such Excluded Liabilities are asserted or determined or whether asserted or determined prior to the date of this Agreement, and regardless of whether arising from or alleged to arise from negligence, recklessness, violation of Law, fraud or misrepresentation by any member of the Parent Group or the Spinco Group or any of their respective directors, officers, employees, agents or Affiliates.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(b) In furtherance of any such assignment, transfer, conveyance or assumption pursuant to Section 2.1(a), and without any additional consideration therefor, each of Spinco and Parent shall prepare, execute and deliver and cause their Affiliates to prepare, execute and deliver such documents and instruments (including any deeds, leases, subleases, licenses, lease assignments, novations or other instruments with respect to any real property interests required to effectuate the Separation Step Plan) as may be reasonably necessary or appropriate to effect and/or evidence such assignment, transfer, conveyance or assumption, in each case to the extent reasonably requested by the other (with all of such documents and instruments referred to collectively herein as the “</w:t>
      </w:r>
      <w:r>
        <w:rPr>
          <w:rFonts w:ascii="Times New Roman;serif" w:hAnsi="Times New Roman;serif"/>
          <w:b w:val="false"/>
          <w:color w:val="000000"/>
          <w:sz w:val="20"/>
          <w:u w:val="single"/>
        </w:rPr>
        <w:t>Pre-Distribution Transfer Documents</w:t>
      </w:r>
      <w:r>
        <w:rPr>
          <w:color w:val="000000"/>
        </w:rPr>
        <w:t>”</w:t>
      </w:r>
      <w:r>
        <w:rPr>
          <w:rFonts w:ascii="Times New Roman;serif" w:hAnsi="Times New Roman;serif"/>
          <w:b w:val="false"/>
          <w:color w:val="000000"/>
          <w:sz w:val="20"/>
        </w:rPr>
        <w:t>). Except for the representations, warranties and covenants contained in this Agreement, the Parties or their Affiliates shall not be required to make any other express or implied representation, warranty or covenant, either written or oral, in the Pre-Distribution Transfer Documents.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Without limiting any other provision hereof, in connection with the Reorganization contemplated by Section 2.1(a), each of Parent and Spinco will take, and will cause each member of its respective Group to take, such actions as are reasonably necessary to consummate the applicable transactions contemplated by the Separation Step Plan (whether prior to, at or after the Distribution Time). Parent may make amendments or modifications the Separation Step Plan in its reasonable discretion; provided that without the prior written consent of Spinco (any such consents not to be unreasonably withheld, conditioned or delayed), such amendments or modifications shall not (A) materially adversely affect the likelihood the Distribution qualifies for Tax-Free Status or (B) materially delay the timing of the Distribution contemplated hereby.</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(d) To the extent that the assignment, transfer or conveyance of any Excluded Asset or Spinco Asset, or the assumption of any Excluded Liability or Spinco Liability, requires any Approvals or Notifications, (x) the Parties shall use their reasonable best efforts and cooperate in good faith to obtain or make such Approvals or Notifications, respectively, as soon as reasonably practicable and (y) each Party, at the reasonable request of Parent, shall use its reasonable best efforts to obtain, or to cause to be obtained, as soon as reasonably practicable, any Consent, substitution or amendment required to assign (or, to the extent requested by Parent, novate) all obligations under Contracts and other obligations or Liabilities for which one or more members of the Spinco Group are liable and that do not constitute Spinco Liabilities or for which one or more members of the Parent Group are liable and that do not constitute Excluded Liabilities, so that, in any such case, the members of the applicable Group will be solely responsible for the applicable Liabilities;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except to the extent expressly provided in this Agreement or any of the other Transaction Documents, neither Parent nor Spinco or any of their respective Affiliates shall be obligated to (i) amend or modify any Contract (except as expressly set forth in the foregoing clause (y)), (ii) modify, relinquish, forbear or narrow any right, (iii) contribute capital or pay any consideration in any form (including providing any letter of credit, guaranty or other financial accommodation) to any Person, or (iv) commence any Action, in each case in connection with the actions required by the foregoing clauses (x) and (y);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the obligation to take any such action shall terminate on the date that is twelve (12) months after the Distribution Date (or, solely with respect to any Delayed Transferred Asset, twelve (12) months after the transfer of the Delayed Transferred Asset). Except as otherwise provided in this Agreement or the other Transaction Documents, if Parent or Spinco is unable to obtain, or to cause to be obtained, any required Consent, substitution or amendment in connection with clause (y) of the preceding sentence, Parent and Spinco will, to the extent permitted by applicable Law and the terms of the applicable Contract, use reasonable best efforts to enter into subcontracting or other arrangements, effective as of the Distribution Time or as promptly as practicable thereafter, to provide to the Parties the economic and operational equivalent of the transfer, assignment or conveyance (or novation) of such Contract to the appropriate Party and the performance by such Party of the obligations under such Contract as of the Distribution Time. In furtherance of the foregoing, (i) the Party that is intended to be the counterparty to such Contract, as applicable, will, as agent or subcontractor for the other or the applicable member of the other Party’s Group, pay, perform and discharge fully the Liabilities of the applicable Party or the applicable member of the other Party’s Group thereunder from and after the Distribution Time in accordance with any such alternate arrangement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and (ii) the Party that remains the legal counterparty to such Contract, as applicable, will, or will cause the applicable member of such Party’s Group to, at the other Party’s expense, from and after the Distribution Time hold in trust for and pay to the other Party promptly upon receipt thereof all income, proceeds and other consideration received by the legal counterparty (or the applicable member of the Parent Group or the Spinco Group, as applicable) in connection with such alternate arrangement;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for purposes of this sentence, with respect to any Delayed Transferred Asset, references to the Distribution Time in this sentence will refer instead to the date of transfer of the Delayed Transferred Asset. The Party that is intended to be the counterparty to each such Contract shall indemnify the other Party and hold it harmless against any Liabilities arising from the agent or subcontractor relationship described in this paragraph. Parent and Spinco shall, and shall cause their Affiliates to, (i) for all U.S. federal (and applicable state, local and foreign) income Tax purposes, treat any Spinco Asset, Spinco Liability, Excluded Asset or Excluded Liability transferred, assigned or assumed after the Distribution Time pursuant to this Section 2.1(d) or Section 2.4 as having been so transferred, assigned or assumed at the time at which it was intended to have been so transferred, assigned or assumed as reflected in this Agreement (including the Separation Step Plan) and (ii) file all Tax Returns in a manner consistent with such treatment and not take any Tax position inconsistent therewith except to the extent otherwise required pursuant to a “determination” within the meaning of Section 1313(a) of the Code (or any similar provision of state, local or foreign Law)</w:t>
      </w:r>
      <w:r>
        <w:rPr>
          <w:rFonts w:ascii="Times New Roman;serif" w:hAnsi="Times New Roman;serif"/>
          <w:b w:val="false"/>
          <w:color w:val="3A3A3A"/>
          <w:sz w:val="20"/>
        </w:rPr>
        <w:t>, in each case of (i) and (ii), subject to and in a manner consistent with the Tax Disaffiliation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(e) Without limiting any other provision hereof, (i) the Parties shall use commercially reasonable efforts to obtain or cause to be obtained prior to the Distribution Date, on behalf of the members of the Spinco Group, any Permits that are both (A) necessary to own or operate the Spinco Business as of the Distribution Date and (B) that are not Spinco Permits, and (ii) if any such Permits have not been obtained prior to the Distribution Date, the Parties shall use commercially reasonable efforts to develop and implement lawful arrangements under which the members of the Spinco Group shall obtain the benefit of any such Permit held by any member of the Parent Group in connection with the ownership and operation of the Spinco Business following the Distribution;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Spinco Entities shall bear all out-of-pocket costs and expenses incurred by any of Parent and its Subsidiaries under such arrangements and Parent and its Subsidiaries (other than the Spinco Entities) shall not be obligated to (A) modify, relinquish, forbear or narrow any right, (B) contribute capital or pay any consideration in any form (including providing any letter of credit, guaranty or other financial accommodation) to any Person or (C) commence any Action, in each case in connection with the actions required by the foregoing. The obligations set forth in this Section 2.1(e) will terminate on the date that is twelve (12) months after the Distribution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2.2 </w:t>
      </w:r>
      <w:r>
        <w:rPr>
          <w:rFonts w:ascii="Times New Roman;serif" w:hAnsi="Times New Roman;serif"/>
          <w:b w:val="false"/>
          <w:color w:val="000000"/>
          <w:sz w:val="20"/>
          <w:u w:val="single"/>
        </w:rPr>
        <w:t>Allocation of Assets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w:t>
      </w:r>
      <w:r>
        <w:rPr>
          <w:rFonts w:ascii="Times New Roman;serif" w:hAnsi="Times New Roman;serif"/>
          <w:b w:val="false"/>
          <w:color w:val="000000"/>
          <w:sz w:val="20"/>
          <w:u w:val="single"/>
        </w:rPr>
        <w:t>Spinco Assets</w:t>
      </w:r>
      <w:r>
        <w:rPr>
          <w:color w:val="000000"/>
        </w:rPr>
        <w:t xml:space="preserve">” </w:t>
      </w:r>
      <w:r>
        <w:rPr>
          <w:rFonts w:ascii="Times New Roman;serif" w:hAnsi="Times New Roman;serif"/>
          <w:b w:val="false"/>
          <w:color w:val="000000"/>
          <w:sz w:val="20"/>
        </w:rPr>
        <w:t>means, in each case to the extent existing and owned or held immediately prior to the Distribution Time by Parent or any of its Subsidiaries, Parent’s and its Subsidiaries’ right, title and interest in, to and under the following Assets, but in each case excluding any Excluded Assets:</w:t>
      </w:r>
    </w:p>
    <w:p>
      <w:pPr>
        <w:pStyle w:val="TextBody"/>
        <w:bidi w:val="0"/>
        <w:spacing w:lineRule="auto" w:line="288" w:before="0" w:after="240"/>
        <w:ind w:left="0" w:right="0" w:firstLine="1440"/>
        <w:jc w:val="left"/>
        <w:rPr/>
      </w:pPr>
      <w:r>
        <w:rPr>
          <w:rFonts w:ascii="Times New Roman;serif" w:hAnsi="Times New Roman;serif"/>
          <w:b w:val="false"/>
          <w:color w:val="000000"/>
          <w:sz w:val="20"/>
        </w:rPr>
        <w:t>(i) (A) the Equity Interests of the Spinco Entities (other than Spinco) (collectively, the “</w:t>
      </w:r>
      <w:r>
        <w:rPr>
          <w:rFonts w:ascii="Times New Roman;serif" w:hAnsi="Times New Roman;serif"/>
          <w:b w:val="false"/>
          <w:color w:val="000000"/>
          <w:sz w:val="20"/>
          <w:u w:val="single"/>
        </w:rPr>
        <w:t>Transferring Equity Securities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(ii) the Inventory that primarily relates to or is primarily used in connection with the Spinco Business (the “</w:t>
      </w:r>
      <w:r>
        <w:rPr>
          <w:rFonts w:ascii="Times New Roman;serif" w:hAnsi="Times New Roman;serif"/>
          <w:b w:val="false"/>
          <w:color w:val="000000"/>
          <w:sz w:val="20"/>
          <w:u w:val="single"/>
        </w:rPr>
        <w:t>Spinco Inventory</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(iii) the Spinco Contracts;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(iv) the Spinco Permits;</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(v) except as listed on </w:t>
      </w:r>
      <w:r>
        <w:rPr>
          <w:rFonts w:ascii="Times New Roman;serif" w:hAnsi="Times New Roman;serif"/>
          <w:b w:val="false"/>
          <w:color w:val="000000"/>
          <w:sz w:val="20"/>
          <w:u w:val="single"/>
        </w:rPr>
        <w:t>Section 2.2(b)</w:t>
      </w:r>
      <w:r>
        <w:rPr>
          <w:color w:val="000000"/>
        </w:rPr>
        <w:t xml:space="preserve"> </w:t>
      </w:r>
      <w:r>
        <w:rPr>
          <w:rFonts w:ascii="Times New Roman;serif" w:hAnsi="Times New Roman;serif"/>
          <w:b w:val="false"/>
          <w:color w:val="000000"/>
          <w:sz w:val="20"/>
        </w:rPr>
        <w:t>of the Schedules, the Tangible and Personal Property that primarily relates to or is primarily used in connection with the Spinco Business (collectively, the “</w:t>
      </w:r>
      <w:r>
        <w:rPr>
          <w:rFonts w:ascii="Times New Roman;serif" w:hAnsi="Times New Roman;serif"/>
          <w:b w:val="false"/>
          <w:color w:val="000000"/>
          <w:sz w:val="20"/>
          <w:u w:val="single"/>
        </w:rPr>
        <w:t>Spinco Tangible and Personal Property</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(vi) (A) the Spinco Intellectual Property, including all rights to seek and recover all remedies (including damages, royalties, fees, income payments and other proceeds due from and after the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including for the past or future infringement, misappropriation or violation of any of the foregoing and the goodwill appurtenant thereto or associated with any Trademarks included in the foregoing;</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(vii) any and all goodwill and other intangibles primarily related to the Spinco Business, excluding, for clarity, any Intellectual Property;</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(viii) the Spinco IT Assets, excluding, for clarity, any Intellectual Property therein or thereto;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(subject to the terms of Section 4.1 with respect to the transfer of Spinco Business Records), any hardware included in the Spinco IT Assets may be reset by Parent to factory settings and otherwise modified to remove specific functionalities and settings related to the Parent Business; </w:t>
      </w:r>
    </w:p>
    <w:p>
      <w:pPr>
        <w:pStyle w:val="TextBody"/>
        <w:bidi w:val="0"/>
        <w:spacing w:lineRule="auto" w:line="288" w:before="0" w:after="240"/>
        <w:ind w:left="0" w:right="0" w:firstLine="1440"/>
        <w:jc w:val="left"/>
        <w:rPr/>
      </w:pPr>
      <w:r>
        <w:rPr>
          <w:rFonts w:ascii="Times New Roman;serif" w:hAnsi="Times New Roman;serif"/>
          <w:b w:val="false"/>
          <w:color w:val="000000"/>
          <w:sz w:val="20"/>
        </w:rPr>
        <w:t>(ix) any prepaid expenses, credits, deposits and advance payments, in each case, to the extent relating to any other Spinco Asset (the “</w:t>
      </w:r>
      <w:r>
        <w:rPr>
          <w:rFonts w:ascii="Times New Roman;serif" w:hAnsi="Times New Roman;serif"/>
          <w:b w:val="false"/>
          <w:color w:val="000000"/>
          <w:sz w:val="20"/>
          <w:u w:val="single"/>
        </w:rPr>
        <w:t>Spinco Prepaid Expenses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 a copy of the Spinco Business Records (subject to Section 4.1);</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(xi) other than with respect to Taxes (which are, for the avoidance of doubt, covered by the Tax Disaffiliation Agreement) or claims under any Insurance Policies, rights available to or being pursued by Parent or any of its Subsidiaries in connection with any Action or any other claims, defenses, causes of action, rights of recovery, rights of set-off, rights under warranties, rights to indemnities, rights to refunds, rights of recoupment, guarantees and all similar rights against third parties, in each case, to the extent relating to the Spinco Business, any Spinco Asset or any Spinco Liability;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(xii) the Assets set forth in Section 2.2(a) of the Schedules;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(xiii) any and all accounts receivable and other current assets of the Spinco Entities as of immediately prior to the Distribution, and all Cash, bank accounts, lock boxes and other deposit arrangements of the Spinco Entities as of immediately prior to the Distribution;</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(xiv) the Transferred Coverage (subject to the limitations set forth in Section 2.4 and 7.3);</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(xv) all Assets of Parent and its Subsidiaries as of immediately prior to the Distribution Time that are to be transferred to Spinco or any other member of the Spinco Group by the express terms of this Agreement or any other Transaction Document;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(xvi) the Spinco Owned Real Property and the Spinco Leased Real Property; and</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(xvii) all other Assets of Parent and its Subsidiaries as of immediately prior to the Distribution Time that are primarily related to or primarily used in connection with the Spinco Business;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intention of this clause (xviii) is only to rectify any omission of the assignment, transfer or conveyance to Spinco or any other member of Spinco Group of any Assets that, had the Parties given specific consideration to such Asset as of the date of this Agreement, would have been classified as a Spinco Asset. No Asset will be deemed to be a Spinco Asset solely as a result of this clause (xviii) (A) if it is within any category of Assets addressed by any other section of this Section 2.2 or if it constitutes an Excluded Asset and (B) unless a claim with respect to such Asset is made by Spinco on or prior to the eighteen (18)-month anniversary of the Distribution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Parties acknowledge and agree that a single Asset may fall within more than one of clauses (i) through (xvii) above; such fact does not imply that (A) such Asset shall be transferred more than once or (B) any duplication of such Asset is required.</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0"/>
        </w:rPr>
        <w:t>(b) “</w:t>
      </w:r>
      <w:r>
        <w:rPr>
          <w:rFonts w:ascii="Times New Roman;serif" w:hAnsi="Times New Roman;serif"/>
          <w:b w:val="false"/>
          <w:color w:val="000000"/>
          <w:sz w:val="20"/>
          <w:u w:val="single"/>
        </w:rPr>
        <w:t>Excluded Assets</w:t>
      </w:r>
      <w:r>
        <w:rPr>
          <w:color w:val="000000"/>
        </w:rPr>
        <w:t xml:space="preserve">” </w:t>
      </w:r>
      <w:r>
        <w:rPr>
          <w:rFonts w:ascii="Times New Roman;serif" w:hAnsi="Times New Roman;serif"/>
          <w:b w:val="false"/>
          <w:color w:val="000000"/>
          <w:sz w:val="20"/>
        </w:rPr>
        <w:t>means all of the Assets of Parent and its Subsidiaries other than the Spinco Assets. Notwithstanding anything in this Agreement to the contrary, the Excluded Assets include the following:</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all Equity Interests (excluding the Transferring Equity Securities and any Equity Interests of Spinco);</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 any and all Cash and any and all accounts receivable, current assets and security deposits, in each case except as set forth in the definition of Spinco Assets;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(iii) all Inventory, other than the Spinco Inventory;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(iv) all Insurance Policies and all rights and claims thereunder, other than the Transferred Coverage as set forth in Section 7.3, and any Insurance Policies set forth in Section 7.3 of the Schedules;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 all real property, whether owned, leased, subleased, licensed, or otherwise occupied by Parent or any of its Subsidiaries, and any equipment, fixtures, furniture, furnishings, physical facilities, machinery, inventory, spare parts, supplies, tools and other tangible personal property located thereon, other than the Spinco Owned Real Property and Spinco Leased Real Property;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(vi) all Permits, other than the Spinco Permits;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(vii) all Tangible and Personal Property, other than the Spinco Tangible and Personal Property;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(viii) all Contracts, other than the Spinco Contracts;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(ix) all IT Assets, other than the Spinco IT Assets;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 all Intellectual Property, other than the Spinco Intellectual Property, including, as an Excluded Asset covered by this Section 2.2(b)(x), the Parent Marks and the Intellectual Property listed in Section 2.2(b) of the Schedules;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(xi) all Assets (other than any Assets primarily related to the Spinco Business) used or held for use by Parent or any of its Subsidiaries in connection with the provision of Overhead and Shared Services, including any proprietary tools and processes;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(xii) all credit support from Parent or any of its Subsidiaries from which the Spinco Business benefits;</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(xiii) all Books and Records;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Spinco shall be entitled to a copy of the Spinco Business Records as provided in Section 4.1;</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(xiv) all rights that accrue or shall accrue to Parent or any member of the Parent Group pursuant to this Agreement or any Transaction Document;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(xv) all prepaid expenses, credits, deposits, and advance payments, other than the Spinco Prepaid Expenses;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(xvi) all rights to claims, defenses, causes of action, rights of recovery, rights of set-off, rights under warranties, rights to indemnities, rights to refunds, rights of recoupment, guarantees and all similar rights against third parties, in each case, to the extent relating to any other Excluded Asset or Excluded Liability;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(xvii) all accounts, notes or loans payable recorded on the books of Parent or any of its Affiliates for goods or services purchased by the Spinco Business from Parent or any of its Subsidiaries (other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than the Spinco Entities), or provided to the Spinco Business by Parent or any of its Subsidiaries (other than the Spinco Entities), or advances (cash or otherwise) or any other extensions of credit to the Spinco Business from Parent or any of its Subsidiaries (other than the Spinco Entities), whether current or non-current;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(xviii) all Insurance Proceeds that Parent or any of its Subsidiaries has a right to receive, except to the extent that such Insurance Proceeds are primarily related to the Spinco Business;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(xix) the Assets set forth in Section 2.2(b) of the Schedules; and</w:t>
      </w:r>
    </w:p>
    <w:p>
      <w:pPr>
        <w:pStyle w:val="TextBody"/>
        <w:bidi w:val="0"/>
        <w:spacing w:lineRule="auto" w:line="288" w:before="0" w:after="240"/>
        <w:ind w:left="0" w:right="0" w:firstLine="1440"/>
        <w:jc w:val="left"/>
        <w:rPr/>
      </w:pPr>
      <w:r>
        <w:rPr>
          <w:rFonts w:ascii="Times New Roman;serif" w:hAnsi="Times New Roman;serif"/>
          <w:b w:val="false"/>
          <w:color w:val="000000"/>
          <w:sz w:val="20"/>
        </w:rPr>
        <w:t>(xx) except for those Assets expressly identified as Spinco Assets in clauses (i) through (xxi) of the definition of “</w:t>
      </w:r>
      <w:r>
        <w:rPr>
          <w:rFonts w:ascii="Times New Roman;serif" w:hAnsi="Times New Roman;serif"/>
          <w:b w:val="false"/>
          <w:color w:val="000000"/>
          <w:sz w:val="20"/>
          <w:u w:val="single"/>
        </w:rPr>
        <w:t>Spinco Assets</w:t>
      </w:r>
      <w:r>
        <w:rPr>
          <w:rFonts w:ascii="Times New Roman;serif" w:hAnsi="Times New Roman;serif"/>
          <w:b w:val="false"/>
          <w:color w:val="000000"/>
          <w:sz w:val="20"/>
        </w:rPr>
        <w:t>,” all Assets of Parent or any of its Subsidiaries, wherever located, whether tangible or intangible, real, personal or mixed.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2.3 </w:t>
      </w:r>
      <w:r>
        <w:rPr>
          <w:rFonts w:ascii="Times New Roman;serif" w:hAnsi="Times New Roman;serif"/>
          <w:b w:val="false"/>
          <w:color w:val="000000"/>
          <w:sz w:val="20"/>
          <w:u w:val="single"/>
        </w:rPr>
        <w:t>Allocation of Liabilities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w:t>
      </w:r>
      <w:r>
        <w:rPr>
          <w:rFonts w:ascii="Times New Roman;serif" w:hAnsi="Times New Roman;serif"/>
          <w:b w:val="false"/>
          <w:color w:val="000000"/>
          <w:sz w:val="20"/>
          <w:u w:val="single"/>
        </w:rPr>
        <w:t>Spinco Liabilities</w:t>
      </w:r>
      <w:r>
        <w:rPr>
          <w:color w:val="000000"/>
        </w:rPr>
        <w:t xml:space="preserve">” </w:t>
      </w:r>
      <w:r>
        <w:rPr>
          <w:rFonts w:ascii="Times New Roman;serif" w:hAnsi="Times New Roman;serif"/>
          <w:b w:val="false"/>
          <w:color w:val="000000"/>
          <w:sz w:val="20"/>
        </w:rPr>
        <w:t>means all of the following Liabilities (other than Excluded Liabilities) of Parent or any of its Subsidiaries, or any of their respective predecessor companies or businesses: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all Liabilities (other than Taxes, which are, for the avoidance of doubt, covered by the Tax Disaffiliation Agreement) to the extent relating to, arising out of or resulting from the ownership, operation or conduct of the Spinco Business, the Spinco Assets, whether known or unknown, fixed or contingent, asserted or unasserted, and not satisfied or extinguished as of the Distribution Date, including any and all Liabilities in respect of any Actions related thereto, which for the avoidance of doubt includes all Liabilities arising out of or relating to any Spinco Contracts or any Spinco Intellectual Property, including the use thereof;</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 all Liabilities assumed by, retained by or agreed to be performed by Spinco or any of its Subsidiaries and Affiliates pursuant to the terms of this Agreement or any other Transaction Document;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(iii) all Liabilities (including under applicable federal and state securities Laws) relating to, arising out of or resulting from any of the Disclosure Documents, other than information relating to Parent and its Subsidiaries with respect to the Parent Business, whenever arising;</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(iv) all Liabilities relating to, arising out of or resulting from the Spinco Financing Agreements, whenever arising;</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 all Environmental Liabilities, to the extent relating to, arising out of or resulting from (A) the Spinco Owned Real Property or the Spinco Leased Real Property, except to the extent such Environmental Liability is attributable to any Parent Business conducted at, or any Excluded Asset used, operated or stored at, or removed from, such real property, whether arising before or after the Distribution Date, or (B) the ownership or operation of the Spinco Business, the Spinco Assets (other than the Spinco Owned Real Property or the Spinco Leased Real Property), or the conduct of the Spinco Business;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(vi) any Liabilities in respect of “integrated risk insurance”;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Parties acknowledge and agree that a single Liability may fall within more than one of clauses (i) through (vi) above; such fact does not imply that (1) such Liability shall be transferred more than once or (2) any duplication of such Liability is required. With respect to this Section 2.3(a), Environmental Liabilities shall not fall within any clause other than clause (v) above.</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0"/>
        </w:rPr>
        <w:t>(b) For the purposes of this Agreement, “</w:t>
      </w:r>
      <w:r>
        <w:rPr>
          <w:rFonts w:ascii="Times New Roman;serif" w:hAnsi="Times New Roman;serif"/>
          <w:b w:val="false"/>
          <w:color w:val="000000"/>
          <w:sz w:val="20"/>
          <w:u w:val="single"/>
        </w:rPr>
        <w:t>Excluded Liabilities</w:t>
      </w:r>
      <w:r>
        <w:rPr>
          <w:color w:val="000000"/>
        </w:rPr>
        <w:t xml:space="preserve">” </w:t>
      </w:r>
      <w:r>
        <w:rPr>
          <w:rFonts w:ascii="Times New Roman;serif" w:hAnsi="Times New Roman;serif"/>
          <w:b w:val="false"/>
          <w:color w:val="000000"/>
          <w:sz w:val="20"/>
        </w:rPr>
        <w:t>means the following Liabilities of Parent or any of its Subsidiaries, or any of their respective predecessor companies or businesses, other than Spinco Liabilities: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all Liabilities (other than Taxes, which are, for the avoidance of doubt, covered by the Tax Disaffiliation Agreement) to the extent relating to, arising out of or resulting from the ownership, operation or conduct of the Excluded Assets (other than any Liabilities for which Spinco or any member of the Spinco Group expressly has responsibility pursuant to the terms of any other Transaction Document, and other than Liabilities that are separately allocated pursuant to any other agreement or transaction related to Excluded Assets between the Parent Group, on the one hand, and the Spinco Group, on the other hand, including any commercial or other agreements unrelated to this Agreement, as applicable), including any Liability attributable to any Excluded Asset used, operated or stored at, or removed from, the Spinco Owned Real Property or the Spinco Leased Real Property, whether arising before or after the Distribution Date;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(ii) any Liability (other than Taxes, which are, for the avoidance of doubt, covered by the Tax Disaffiliation Agreement) attributable to any Parent Business conducted at the Spinco Owned Real Property and Spinco Leased Real Property, whether arising before or after the Distribution Date;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(iii) all Liabilities assumed by, retained by or agreed to be performed by Parent or any of its Subsidiaries (other than the Spinco Entities) pursuant to this Agreement or any other Transaction Document; and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(iv) any Liabilities arising out of or resulting from (A) fraud or willful misconduct by any member of the Parent Group or its senior management acting outside the ordinary course of the Spinco Business or (B) any violation of applicable federal and state securities Laws to the extent relating to disclosures by Parent or any member of the Parent Group (other than disclosures primarily relating to the Octave Business).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2.4 </w:t>
      </w:r>
      <w:r>
        <w:rPr>
          <w:rFonts w:ascii="Times New Roman;serif" w:hAnsi="Times New Roman;serif"/>
          <w:b w:val="false"/>
          <w:color w:val="000000"/>
          <w:sz w:val="20"/>
          <w:u w:val="single"/>
        </w:rPr>
        <w:t>Non-Transferred and Delayed Transferred Assets and Liabilities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 Notwithstanding anything in this Agreement to the contrary, if (x) any Spinco Asset cannot be assigned, transferred or conveyed to, or any Spinco Liability cannot be assumed by, a member of the Spinco Group without an Approval or Notification or (y) any Excluded Asset cannot be assigned, transferred or conveyed to, or any Excluded Liability cannot be assumed by a member of the Parent Group without an Approval or Notification, and in either case such Approval or Notification has not been obtained or made prior to the Distribution Time, then, unless Parent and Spinco shall mutually otherwise determine, such assignment, transfer, conveyance or assumption shall automatically be deemed to be deferred, with any such purported transfer, assignment, conveyance or assumption deemed null and void until such time as such Approval or Notification is obtained, as applicable. Notwithstanding the foregoing, any such Spinco Assets or Spinco Liabilities shall continue to constitute Spinco Assets and Spinco Liabilities, and any such Excluded Assets or Excluded Liabilities shall continue to constitute Excluded Assets and Excluded Liabilities, for all other purposes of this Agreement. If and when the required Approval or Notification is subsequently obtained or made, as applicable, the relevant Asset will be automatically assigned, transferred and conveyed to, or the relevant Liability will be automatically assumed by, Spinco or Parent, as applicable, or a member of the applicable Party’s respective Group designated by such Party without any further action required on the part of any Person, in accordance with the terms of this Agreement and the other Transaction Documents. In furtherance of any such assignment, transfer, conveyance or assumption pursuant to this Section 2.4(a), and without any additional consideration therefor, each of Spinco and Parent shall execute and deliver, and cause their Affiliates to execute and deliver, such documents and instruments (including any deeds, lease, assignments, novations or other instruments of conveyance with respect to any real property interests required to effectuate the Separation Step Plan) as may be reasonably necessary to effect and/or evidence such assignment, transfer, conveyance or assumption, in each case to the extent reasonably requested by the other and mutually agreed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between Spinco and Parent (with all of such documents and instruments referred to collectively herein as the “</w:t>
      </w:r>
      <w:r>
        <w:rPr>
          <w:rFonts w:ascii="Times New Roman;serif" w:hAnsi="Times New Roman;serif"/>
          <w:b w:val="false"/>
          <w:color w:val="000000"/>
          <w:sz w:val="20"/>
          <w:u w:val="single"/>
        </w:rPr>
        <w:t>Post-Distribution Transfer Documents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(b) Notwithstanding anything in this Agreement to the contrary, if it is reasonably necessary or appropriate to delay the transfer, assignment or conveyance to Spinco or one or more of its Subsidiaries of any Spinco Asset until the applicable Transition Support Termination to allow Parent or any of its Subsidiaries to perform their respective obligations under, or to otherwise carry out the contemplated transactions and activities contemplated, by the Transition Services Agreement (each such Spinco Asset, a “</w:t>
      </w:r>
      <w:r>
        <w:rPr>
          <w:rFonts w:ascii="Times New Roman;serif" w:hAnsi="Times New Roman;serif"/>
          <w:b w:val="false"/>
          <w:color w:val="000000"/>
          <w:sz w:val="20"/>
          <w:u w:val="single"/>
        </w:rPr>
        <w:t>Delayed Transferred Asset</w:t>
      </w:r>
      <w:r>
        <w:rPr>
          <w:color w:val="000000"/>
        </w:rPr>
        <w:t>”</w:t>
      </w:r>
      <w:r>
        <w:rPr>
          <w:rFonts w:ascii="Times New Roman;serif" w:hAnsi="Times New Roman;serif"/>
          <w:b w:val="false"/>
          <w:color w:val="000000"/>
          <w:sz w:val="20"/>
        </w:rPr>
        <w:t xml:space="preserve">), such Delayed Transferred Asset shall not be transferred, assigned or conveyed to Spinco or any of its Subsidiaries at or prior to the Distribution Time. Upon the applicable Transition Support Termination, the relevant Delayed Transferred Asset shall be automatically assigned, transferred and conveyed to Spinco or its Subsidiaries without any further action required on the part of any Party and without any additional consideration;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if, upon the Transition Support Termination, such Delayed Transferred Asset cannot be assigned or transferred to Spinco without any Approval or Notification, the provisions of Section 2.4(a) and Section 2.1(d) shall apply.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2.5 </w:t>
      </w:r>
      <w:r>
        <w:rPr>
          <w:rFonts w:ascii="Times New Roman;serif" w:hAnsi="Times New Roman;serif"/>
          <w:b w:val="false"/>
          <w:color w:val="000000"/>
          <w:sz w:val="20"/>
          <w:u w:val="single"/>
        </w:rPr>
        <w:t>Shared Contracts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(a) Except as otherwise provided in this Agreement or the Transaction Documents, and except with respect to any Shared Contract that relates to services to be provided under the Transition Services Agreement, Parent and Spinco will use their commercially reasonable efforts for a period ending thirty-six (36) months after the Distribution Date (or, if earlier, upon termination or expiration of each such Shared Contract) to separate any Shared Contract (or take such other action as may be reasonably agreed between Parent and Spinco) so that the Spinco Business will remain entitled to the rights and benefits, and shall be subject to the Liabilities, with respect to or arising from such Shared Contract to the extent related to the Spinco Business, and Parent will retain the rights and benefits, and shall be subject to the Liabilities, with respect to arising from such Shared Contract to the extent related to the Parent Business;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(x) neither Group shall be required to pay any amount to any third party (other than as provided for in the underlying Contract), commence or participate in any Action or offer or grant any accommodation (financial or otherwise, including any accommodation or arrangement to remain secondarily liable or contingently liable for any Liability of the other Group) to any third party to obtain any such separation. If a counterparty to any Shared Contract is entitled under the terms of such Shared Contract to consent to the separation of such Shared Contract and has not provided such consent, or if the separation of a Shared Contract has not been completed as of the Distribution Time for any other reason, then the Parties shall use their commercially reasonable efforts to develop and implement arrangements (including subcontracting, sublicensing, subleasing or back-to-back agreement) to pass along to the Spinco Group the benefits and the Liabilities of the portion of any such Shared Contract related to the Spinco Business and to pass along to the Parent Group the benefits and the Liabilities of the portion of such Shared Contract related to the Parent Business, as the case may be. If and when any such consent is obtained, such Shared Contract will be separated in accordance with this Section 2.5(a). Parent and Spinco shall equally bear any costs related to separating the Shared Contracts.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Except as otherwise agreed by Parent and Spinco or as otherwise provided in this Agreement or any other Transaction Document, (i) with respect to any Permits issued prior to the Distribution Time that are an Excluded Asset, but that, as of immediately prior to the Distribution Time, provided rights or benefits that are reasonably required for the operation of the Spinco Business and (ii) with respect to any Spinco Permits issued prior to the Distribution Time that, as of immediately prior to the Distribution Time, provided rights or benefits that are reasonably required for the operation of the Parent Business, in each case of clause (i) and (ii), the Parties shall use their commercially reasonable efforts to split, transfer, assign or convey such existing Permits, or apply for any new Permits, in each case as reasonably required to effectuate the Transactions.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2.6 </w:t>
      </w:r>
      <w:r>
        <w:rPr>
          <w:rFonts w:ascii="Times New Roman;serif" w:hAnsi="Times New Roman;serif"/>
          <w:b w:val="false"/>
          <w:color w:val="000000"/>
          <w:sz w:val="20"/>
          <w:u w:val="single"/>
        </w:rPr>
        <w:t>Termination of Intercompany Contracts; Settlement of Intercompany Payables and Receivables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Subject to Section 2.6(c) and except for (i) this Agreement and the other Transaction Documents (and each other Contract expressly contemplated by this Agreement, any other Transaction Document to be entered into or continued by Parent and Spinco or any of the members of their respective Groups after the Distribution Time), (ii) as set forth on Schedule 2.6(a) (the “</w:t>
      </w:r>
      <w:r>
        <w:rPr>
          <w:rFonts w:ascii="Times New Roman;serif" w:hAnsi="Times New Roman;serif"/>
          <w:b w:val="false"/>
          <w:color w:val="000000"/>
          <w:sz w:val="20"/>
          <w:u w:val="single"/>
        </w:rPr>
        <w:t>Surviving Intercompany Contracts</w:t>
      </w:r>
      <w:r>
        <w:rPr>
          <w:color w:val="000000"/>
        </w:rPr>
        <w:t>”</w:t>
      </w:r>
      <w:r>
        <w:rPr>
          <w:rFonts w:ascii="Times New Roman;serif" w:hAnsi="Times New Roman;serif"/>
          <w:b w:val="false"/>
          <w:color w:val="000000"/>
          <w:sz w:val="20"/>
        </w:rPr>
        <w:t xml:space="preserve">), (iii)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to payables, receivables or other intercompany accounts governed by Section 2.6(b) (collectively, “</w:t>
      </w:r>
      <w:r>
        <w:rPr>
          <w:rFonts w:ascii="Times New Roman;serif" w:hAnsi="Times New Roman;serif"/>
          <w:b w:val="false"/>
          <w:color w:val="000000"/>
          <w:sz w:val="20"/>
          <w:u w:val="single"/>
        </w:rPr>
        <w:t>Intercompany Accounts</w:t>
      </w:r>
      <w:r>
        <w:rPr>
          <w:color w:val="000000"/>
        </w:rPr>
        <w:t>”</w:t>
      </w:r>
      <w:r>
        <w:rPr>
          <w:rFonts w:ascii="Times New Roman;serif" w:hAnsi="Times New Roman;serif"/>
          <w:b w:val="false"/>
          <w:color w:val="000000"/>
          <w:sz w:val="20"/>
        </w:rPr>
        <w:t>), and (iv) any Contracts to which any Person, other than Parent, Spinco and their respective wholly owned Subsidiaries, is a party, in furtherance of the releases and other provisions of Section 5.1, Spinco and each member of the Spinco Group, on the one hand, and Parent and each member of the Parent Group, on the other hand, hereby settle or terminate, effective as of (or prior to) the Distribution Time and without further payment or performance, all Contracts between or among Spinco or any member of the Spinco Group, on the one hand, and Parent or any member of the Parent Group, on the other hand (such Contracts, “</w:t>
      </w:r>
      <w:r>
        <w:rPr>
          <w:rFonts w:ascii="Times New Roman;serif" w:hAnsi="Times New Roman;serif"/>
          <w:b w:val="false"/>
          <w:color w:val="000000"/>
          <w:sz w:val="20"/>
          <w:u w:val="single"/>
        </w:rPr>
        <w:t>lntercompany Contracts</w:t>
      </w:r>
      <w:r>
        <w:rPr>
          <w:color w:val="000000"/>
        </w:rPr>
        <w:t xml:space="preserve">” </w:t>
      </w:r>
      <w:r>
        <w:rPr>
          <w:rFonts w:ascii="Times New Roman;serif" w:hAnsi="Times New Roman;serif"/>
          <w:b w:val="false"/>
          <w:color w:val="000000"/>
          <w:sz w:val="20"/>
        </w:rPr>
        <w:t>and together with the Intercompany Accounts, “</w:t>
      </w:r>
      <w:r>
        <w:rPr>
          <w:rFonts w:ascii="Times New Roman;serif" w:hAnsi="Times New Roman;serif"/>
          <w:b w:val="false"/>
          <w:color w:val="000000"/>
          <w:sz w:val="20"/>
          <w:u w:val="single"/>
        </w:rPr>
        <w:t>lntercompany Contracts and Accounts</w:t>
      </w:r>
      <w:r>
        <w:rPr>
          <w:color w:val="000000"/>
        </w:rPr>
        <w:t>”</w:t>
      </w:r>
      <w:r>
        <w:rPr>
          <w:rFonts w:ascii="Times New Roman;serif" w:hAnsi="Times New Roman;serif"/>
          <w:b w:val="false"/>
          <w:color w:val="000000"/>
          <w:sz w:val="20"/>
        </w:rPr>
        <w:t>), that are effective or outstanding as of immediately prior to the Distribution Time, and such Contracts shall cease to have any further force and effect, such that no party thereto shall have any further obligations or Liabilities therefor or thereunder.</w:t>
      </w:r>
    </w:p>
    <w:p>
      <w:pPr>
        <w:pStyle w:val="TextBody"/>
        <w:bidi w:val="0"/>
        <w:spacing w:lineRule="auto" w:line="288" w:before="0" w:after="240"/>
        <w:ind w:left="0" w:right="0" w:firstLine="1440"/>
        <w:jc w:val="left"/>
        <w:rPr/>
      </w:pPr>
      <w:r>
        <w:rPr>
          <w:rFonts w:ascii="Times New Roman;serif" w:hAnsi="Times New Roman;serif"/>
          <w:b w:val="false"/>
          <w:color w:val="000000"/>
          <w:sz w:val="20"/>
        </w:rPr>
        <w:t>(b) Except (i) as set forth on Schedule 2.6(b) or (ii) for any payables, receivables or other intercompany accounts under any Transaction Document, Parent shall, as of (or prior to) the Distribution Time, settle or eliminate all intercompany accounts existing prior to the Distribution Time, whether payables or receivables, between a member of the Spinco Group, on the one hand, and a member of the Parent Group, on the other hand, in each case with no further obligation or Liability of any member of Spinco Group. Any such intercompany accounts that are settled after 11</w:t>
      </w:r>
      <w:r>
        <w:rPr>
          <w:rFonts w:ascii="Times New Roman;serif" w:hAnsi="Times New Roman;serif"/>
          <w:b w:val="false"/>
          <w:color w:val="525252"/>
          <w:sz w:val="20"/>
        </w:rPr>
        <w:t xml:space="preserve">:59 </w:t>
      </w:r>
      <w:r>
        <w:rPr>
          <w:rFonts w:ascii="Times New Roman;serif" w:hAnsi="Times New Roman;serif"/>
          <w:b w:val="false"/>
          <w:color w:val="000000"/>
          <w:sz w:val="20"/>
        </w:rPr>
        <w:t>p</w:t>
      </w:r>
      <w:r>
        <w:rPr>
          <w:rFonts w:ascii="Times New Roman;serif" w:hAnsi="Times New Roman;serif"/>
          <w:b w:val="false"/>
          <w:color w:val="646464"/>
          <w:sz w:val="20"/>
        </w:rPr>
        <w:t>.</w:t>
      </w:r>
      <w:r>
        <w:rPr>
          <w:rFonts w:ascii="Times New Roman;serif" w:hAnsi="Times New Roman;serif"/>
          <w:b w:val="false"/>
          <w:color w:val="000000"/>
          <w:sz w:val="20"/>
        </w:rPr>
        <w:t>m. Eastern Time on the date prior to the Distribution Date but in connection with the Reorganization and the Distribution shall be deemed for purposes of this Agreement to have been settled as of immediately prior to such time. Intercompany balances and accounts solely among any members of the Spinco Group or any members of the Parent Group shall not be affected by the provisions of this Section 2.6(b).</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The arrangements described in this Section 2.6 will be eliminated or satisfied, in Parent’s sole discretion, by way of repayment, capital contribution, distribution, forgiveness, offset, or any combination of the foregoing without any further Liability to, or obligation of, each of Spinco or any member of the Spinco Group, on the one hand, and Parent or any member of the Parent Group, on the other hand. Following the Distribution Time, no Contract terminated pursuant to Section 2.6(a) (including any provision thereof that purports to survive termination) or intercompany Liability eliminated pursuant to Section 2.6(b) shall be of any further force or effect from and after the Distribution Time.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2.7 </w:t>
      </w:r>
      <w:r>
        <w:rPr>
          <w:rFonts w:ascii="Times New Roman;serif" w:hAnsi="Times New Roman;serif"/>
          <w:b w:val="false"/>
          <w:color w:val="000000"/>
          <w:sz w:val="20"/>
          <w:u w:val="single"/>
        </w:rPr>
        <w:t>Wrong Pockets; Mail and Other Communications; Payments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After the Distribution Time, if either Spinco, on the one hand, or Parent, on the other hand, or any of their respective Subsidiaries becomes aware that any of the Spinco Assets or Spinco Liabilities have not been transferred, assigned or conveyed to, or assumed by, Spinco or any of its Subsidiaries, as applicable, as required by this Agreement, or that any of the Excluded Assets or Excluded Liabilities have not been retained by or transferred, assigned or conveyed to Parent or any of its Subsidiaries (other than the Spinco Entities), as applicable, as required by this Agreement, it will promptly notify the other Party and the Parties will cooperate in good faith to as promptly as reasonably practicable effect the transfer, assignment, conveyance or assumption of the relevant Asset or Liability to the appropriate Party at the expense of the Party who would have been responsible for the related expenses if such Asset or Liability had been transferred or assumed at or prior to the Distribution Time.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(b) After the Distribution Time, if either Spinco, on the one hand, or Parent, on the other hand, or any of their respective Subsidiaries becomes aware that (i) any Patent or Trademark subsisting as of the Distribution Time that was exclusively related to or primarily used in connection with the Spinco Business as of the Distribution Time is owned by Parent or any member of the Parent Group, Parent shall, and shall cause the applicable members of the Parent Group to, execute, acknowledge and deliver all reasonable documents in order to promptly effect the transfer, assignment or conveyance to Spinco of such Patent or Trademark, as the case may be, as promptly as reasonably practicable and (ii) any Patent or Trademark subsisting as of the Distribution Time that was exclusively related to or primarily used in connection with the Parent Business as of the Distribution Time is owned by Spinco or any member of the Spinco Group, Spinco shall, and shall cause the applicable members of the Spinco Group to, execute, acknowledge and deliver all reasonable documents in order to promptly effect the transfer, assignment or conveyance to Parent of such Patent or Trademark, as the case may be, as promptly as reasonably practicable, in each of clauses (i) and (ii), including by executing, delivering and recording with any relevant Governmental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Authority an Intellectual Property assignment agreement or such other document, or take such other actions as may be reasonably necessary to evidence, effect or record such transfers in any applicable jurisdiction.</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(c) After the Distribution Time, each of Parent, Spinco and the members of their respective Groups may receive mail, packages, facsimiles, email and other communications properly belonging to the other (or the other’s Subsidiaries). Accordingly, each of Parent and Spinco and the members of their respective Groups authorizes Parent and the other members of the Parent Group, on the one hand, or Spinco and the other members of the Spinco Group, on the other hand, as the case may be, to receive and, if not unambiguously intended for such other Party (or any member of its Group) or any of such other Party’s (or any of its Group’s) officers or directors, open (acting solely as agent for the other Party), all mail, packages, facsimiles, email and other communications received by it, and to retain the same to the extent that they relate to the business of the receiving Party or, to the extent that they do not relate to the business of the receiving Party, the receiving Party shall promptly deliver such mail, packages, facsimiles, email or other communications (or, in case the same relate to both businesses, copies thereof) to the other Party. The provisions of this </w:t>
      </w:r>
      <w:r>
        <w:rPr>
          <w:rFonts w:ascii="Times New Roman;serif" w:hAnsi="Times New Roman;serif"/>
          <w:b w:val="false"/>
          <w:color w:val="000000"/>
          <w:sz w:val="20"/>
          <w:u w:val="single"/>
        </w:rPr>
        <w:t>Section 2.7</w:t>
      </w:r>
      <w:r>
        <w:rPr>
          <w:color w:val="000000"/>
        </w:rPr>
        <w:t xml:space="preserve"> </w:t>
      </w:r>
      <w:r>
        <w:rPr>
          <w:rFonts w:ascii="Times New Roman;serif" w:hAnsi="Times New Roman;serif"/>
          <w:b w:val="false"/>
          <w:color w:val="000000"/>
          <w:sz w:val="20"/>
        </w:rPr>
        <w:t>are not intended to, and shall not be deemed to, constitute an authorization by any of the Company, Spinco or the members of their respective Groups to (i) permit the other to accept service of process on its behalf and neither party is or shall be deemed to be the agent of the other for service of process purposes or (ii) waive any rights or privileges in respect of any such mail, package, facsimile, email or other communication or the information contained therein.</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Parent shall, or shall cause its applicable Subsidiary to, promptly pay or deliver to Spinco (or its designated Affiliates) any monies or checks that have been sent to or that are received by Parent or any of its Subsidiaries after the Distribution Time, including by or from any customers, suppliers or other commercial counterparties of the Spinco Business or the Spinco Group, to the extent that they constitute Spinco Assets.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 Spinco shall, or shall cause its applicable Affiliate to, promptly pay or deliver to Parent (or its designated Subsidiaries) any monies or checks that have been sent to Spinco or any of its Affiliates (including the Spinco Business and the Spinco Group) after the Distribution Time to the extent that they constitute an Excluded Asset.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2.8 </w:t>
      </w:r>
      <w:r>
        <w:rPr>
          <w:rFonts w:ascii="Times New Roman;serif" w:hAnsi="Times New Roman;serif"/>
          <w:b w:val="false"/>
          <w:color w:val="000000"/>
          <w:sz w:val="20"/>
          <w:u w:val="single"/>
        </w:rPr>
        <w:t>Disclaimer of Representations and Warranties</w:t>
      </w:r>
      <w:r>
        <w:rPr>
          <w:rFonts w:ascii="Times New Roman;serif" w:hAnsi="Times New Roman;serif"/>
          <w:b w:val="false"/>
          <w:color w:val="000000"/>
          <w:sz w:val="20"/>
        </w:rPr>
        <w:t>. EACH OF PARENT (ON BEHALF OF ITSELF AND EACH MEMBER OF THE PARENT GROUP) AND SPINCO (ON BEHALF OF ITSELF AND EACH MEMBER OF THE SPINCO GROUP), UNDERSTANDS AND AGREES THAT, EXCEPT AS EXPRESSLY SET FORTH IN THIS AGREEMENT OR ANY OTHER TRANSACTION DOCUMENT (AND EXCEPT FOR ANY PARENT TAX OPINION REPRESENTATIONS), NO PARTY TO THIS AGREEMENT OR ANY OTHER TRANSACTION DOCUMENT IS REPRESENTING OR WARRANTING TO ANY OTHER PARTY HERETO OR THERETO IN ANY WAY AS TO THE ASSETS, BUSINESSES OR LIABILITIES TRANSFERRED OR ASSUMED AS CONTEMPLATED HEREBY OR THEREBY; AS TO ANY APPROVALS OR NOTIFICATIONS REQUIRED IN CONNECTION HEREWITH OR THEREWITH; AS TO THE VALUE OR FREEDOM FROM ANY SECURITY INTERESTS OF, OR ANY OTHER MATTER CONCERNING, ANY ASSETS OF SUCH PARTY; AS TO THE ABSENCE OF ANY DEFENSES OR RIGHT OF SETOFF OR FREEDOM FROM COUNTERCLAIM WITH RESPECT TO ANY ACTION OR OTHER ASSET, INCLUDING ANY ACCOUNTS RECEIVABLE, OF ANY PARTY; OR AS TO THE LEGAL SUFFICIENCY OF ANY ASSIGNMENT, DOCUMENT, CERTIFICATE OR INSTRUMENT DELIVERED UNDER THIS AGREEMENT OR ANY OTHER TRANSACTION DOCUMENT TO CONVEY TITLE TO ANY ASSET OR THING OF VALUE UPON THE EXECUTION, DELIVERY AND FILING HEREOF OR THEREOF. EXCEPT AS EXPRESSLY SET FORTH IN THIS AGREEMENT OR ANY OTHER TRANSACTION DOCUMENT, ALL SUCH ASSETS ARE BEING TRANSFERRED ON AN “AS IS,” “WHERE IS” BASIS AND THE RESPECTIVE TRANSFEREES SHALL BEAR THE ECONOMIC AND LEGAL RISKS THAT ANY CONVEYANCE SHALL BE INSUFFICIENT TO VEST IN THE TRANSFEREE GOOD OR MARKETABLE TITLE, FREE AND CLEAR OF ANY SECURITY INTEREST.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2.9 </w:t>
      </w:r>
      <w:r>
        <w:rPr>
          <w:rFonts w:ascii="Times New Roman;serif" w:hAnsi="Times New Roman;serif"/>
          <w:b w:val="false"/>
          <w:color w:val="000000"/>
          <w:sz w:val="20"/>
          <w:u w:val="single"/>
        </w:rPr>
        <w:t>Termination of Overhead and Shared Services</w:t>
      </w:r>
      <w:r>
        <w:rPr>
          <w:rFonts w:ascii="Times New Roman;serif" w:hAnsi="Times New Roman;serif"/>
          <w:b w:val="false"/>
          <w:color w:val="000000"/>
          <w:sz w:val="20"/>
        </w:rPr>
        <w:t xml:space="preserve">. Spinco acknowledges and agrees that (a) the Spinco Business currently receives from Parent and its Subsidiaries certain Overhead and Shared Services, (b) except as expressly provided in the Transition Services Agreement, all Overhead and Shared Services shall cease at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Distribution Time, and all agreements and arrangements (whether or not in writing) in respect thereof shall terminate as of the Distribution Time, with no further obligation of Parent or any of its Subsidiaries, and (c) from and after the Distribution Time, Spinco shall have no rights or Liabilities under any Shared Contracts that are not Spinco Contracts, except to the extent set forth and in accordance with the terms and conditions of any Transaction Document.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2.10 </w:t>
      </w:r>
      <w:r>
        <w:rPr>
          <w:rFonts w:ascii="Times New Roman;serif" w:hAnsi="Times New Roman;serif"/>
          <w:b w:val="false"/>
          <w:color w:val="000000"/>
          <w:sz w:val="20"/>
          <w:u w:val="single"/>
        </w:rPr>
        <w:t>Use of Parent Marks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Parties hereto acknowledges and agrees that (a) the Parent Group shall retain all rights, title and interest in and to all Parent Marks and (b) except as provided in the Transition Services Agreement, the Spinco Group and any of Spinco’s other Affiliates will have no right to use or display any of the Parent Marks following the Distribution Time.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2.11 </w:t>
      </w:r>
      <w:r>
        <w:rPr>
          <w:rFonts w:ascii="Times New Roman;serif" w:hAnsi="Times New Roman;serif"/>
          <w:b w:val="false"/>
          <w:color w:val="000000"/>
          <w:sz w:val="20"/>
          <w:u w:val="single"/>
        </w:rPr>
        <w:t>Removal of Excluded Assets and Spinco Assets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Parent shall, or shall cause one of its Subsidiaries to, remove any Excluded Assets from the Spinco Owned Real Property and the Spinco Leased Real Property within one hundred eighty (180) days following the Distribution Date, unless the Excluded Asset will be used by Spinco or its Affiliates in connection with any services to be provided under any Transaction Document, in which case, such removal will occur within one hundred eighty (180) days following the termination or expiration of the relevant term of (or relevant service set forth in) the applicable Transaction Document. Following the Distribution Time, Spinco shall provide Parent and its Subsidiaries reasonable access and assistance during normal business hours upon reasonable prior written notice, to permit the removal of such Excluded Assets (including any such Excluded Assets identified after such one hundred eighty (180) day period). Except with respect to claims arising from the gross negligence or willful misconduct of Spinco or its Affiliates, neither Spinco nor any of its Affiliates shall have any Liability to Parent or its Subsidiaries in connection with the storage at, or removal from, the Spinco Owned Real Property or Spinco Leased Real Property of such Excluded Assets.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Spinco shall, or shall cause its Affiliates to, remove any Spinco Assets located at any facility of Parent or its Subsidiaries that is an Excluded Asset, within one hundred eighty (180) days following the Distribution Date, unless the Spinco Asset would reasonably be expected to be used by Parent or its Subsidiaries in connection with any Transaction Document, in which case, such removal will occur within one hundred eighty (180) days following the termination or expiration of the relevant term of (or relevant service set forth in) the applicable Transaction Document. Following the Distribution Time, Parent will provide Spinco reasonable access and assistance during normal business hours upon reasonable prior written notice to permit the removal of such Spinco Assets (including any such Spinco Assets identified after such one hundred eighty (180) day period). Except with respect to claims arising from the gross negligence or willful misconduct of Parent or its Subsidiaries, neither Parent nor any of its Subsidiaries shall have any Liability to Spinco or its Affiliates in connection with the storage at, or removal from, any of such facilities of Parent or its Subsidiaries of such Spinco Assets. Risk of loss with respect to the Spinco Assets will pass to Spinco at the Distribution Time.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Upon the removal of assets pursuant to this Section 2.11, the removing Party will, at its sole cost and expense, restore the areas of such facilities in which the removed assets were located (and any other areas of such facilities that were impacted or damaged in connection with such removal) to a broom clean and safe condition. including by (i) safely capping supply and discharge lines (electrical, liquids, gas, etc.) to the logical distribution or junction points. (ii) repairing any damage or holes to concrete. floors. walls. roofs. ceilings or other portions of any real property resulting from the removal of such Spinco Assets or Excluded Assets. as applicable, therefrom after the Distribution Date.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Notwithstanding anything in this Section 2.11, if the storage, use, transfer or removal of any Excluded Asset or Spinco Asset is otherwise expressly addressed in any Transaction Document, the terms of such Transaction Document will control to the extent in conflict with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2.12 </w:t>
      </w:r>
      <w:r>
        <w:rPr>
          <w:rFonts w:ascii="Times New Roman;serif" w:hAnsi="Times New Roman;serif"/>
          <w:b w:val="false"/>
          <w:color w:val="000000"/>
          <w:sz w:val="20"/>
          <w:u w:val="single"/>
        </w:rPr>
        <w:t>Guarantees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From and after the Distribution, Spinco shall indemnify and hold harmless the members of the Parent Group against any Liabilities that the members of the Parent Group suffer, incur or are liable for by reason of or arising out of or in consequence of (i) the members of the Parent Group issuing, making payment under, being required to pay or reimburse the issuer of, or being a party to, any guarantee, indemnity, surety bond, letter of credit, letter of comfort, commitments or other similar obligation to the extent relating to the Spinco Business or the Spinco Entities (collectively, the “</w:t>
      </w:r>
      <w:r>
        <w:rPr>
          <w:rFonts w:ascii="Times New Roman;serif" w:hAnsi="Times New Roman;serif"/>
          <w:b w:val="false"/>
          <w:color w:val="000000"/>
          <w:sz w:val="20"/>
          <w:u w:val="single"/>
        </w:rPr>
        <w:t>Parent Guarantees</w:t>
      </w:r>
      <w:r>
        <w:rPr>
          <w:color w:val="000000"/>
        </w:rPr>
        <w:t>”</w:t>
      </w:r>
      <w:r>
        <w:rPr>
          <w:rFonts w:ascii="Times New Roman;serif" w:hAnsi="Times New Roman;serif"/>
          <w:b w:val="false"/>
          <w:color w:val="000000"/>
          <w:sz w:val="20"/>
        </w:rPr>
        <w:t>), (ii) any claim or demand for payment made on a member of the Parent Group with respect to any of the Parent Guarantees or (iii) any Action by any Person who is or claims to be entitled to the benefit of or claims to be entitled to payment, reimbursement or indemnity with respect to any Parent Guarantees, and shall reimburse the members of the Parent Group for any fees or expenses reasonably incurred in connection with any of the foregoing clauses (i) through (iii). With respect to any Parent Guarantee, Parent and each of its Affiliates is referred to as a “</w:t>
      </w:r>
      <w:r>
        <w:rPr>
          <w:rFonts w:ascii="Times New Roman;serif" w:hAnsi="Times New Roman;serif"/>
          <w:b w:val="false"/>
          <w:color w:val="000000"/>
          <w:sz w:val="20"/>
          <w:u w:val="single"/>
        </w:rPr>
        <w:t>Guarantee Indemnified Party</w:t>
      </w:r>
      <w:r>
        <w:rPr>
          <w:color w:val="000000"/>
        </w:rPr>
        <w:t xml:space="preserve">” </w:t>
      </w:r>
      <w:r>
        <w:rPr>
          <w:rFonts w:ascii="Times New Roman;serif" w:hAnsi="Times New Roman;serif"/>
          <w:b w:val="false"/>
          <w:color w:val="000000"/>
          <w:sz w:val="20"/>
        </w:rPr>
        <w:t>for purposes of this Section 2.12.</w:t>
      </w:r>
    </w:p>
    <w:p>
      <w:pPr>
        <w:pStyle w:val="TextBody"/>
        <w:bidi w:val="0"/>
        <w:spacing w:lineRule="auto" w:line="288" w:before="0" w:after="240"/>
        <w:ind w:left="0" w:right="0" w:firstLine="1440"/>
        <w:jc w:val="left"/>
        <w:rPr/>
      </w:pPr>
      <w:r>
        <w:rPr>
          <w:rFonts w:ascii="Times New Roman;serif" w:hAnsi="Times New Roman;serif"/>
          <w:b w:val="false"/>
          <w:color w:val="000000"/>
          <w:sz w:val="20"/>
        </w:rPr>
        <w:t>(b) From and after the Distribution, Parent shall indemnify and hold harmless members of the Spinco Group against any Liabilities that members of the Spinco Group suffer, incur or are liable for by reason of or arising out of or in consequence of (i) the members of the Spinco Group issuing, making payment under, being required to pay or reimburse the issuer of, or being a party to, any guarantee, indemnity, surety bond, letter of credit, letter of comfort, commitments or other similar obligation to the extent relating to the Parent Business (collectively, the “</w:t>
      </w:r>
      <w:r>
        <w:rPr>
          <w:rFonts w:ascii="Times New Roman;serif" w:hAnsi="Times New Roman;serif"/>
          <w:b w:val="false"/>
          <w:color w:val="000000"/>
          <w:sz w:val="20"/>
          <w:u w:val="single"/>
        </w:rPr>
        <w:t>Spinco Entity Guarantees</w:t>
      </w:r>
      <w:r>
        <w:rPr>
          <w:color w:val="000000"/>
        </w:rPr>
        <w:t xml:space="preserve">” </w:t>
      </w:r>
      <w:r>
        <w:rPr>
          <w:rFonts w:ascii="Times New Roman;serif" w:hAnsi="Times New Roman;serif"/>
          <w:b w:val="false"/>
          <w:color w:val="000000"/>
          <w:sz w:val="20"/>
        </w:rPr>
        <w:t>and, together with Parent Guarantees, the “</w:t>
      </w:r>
      <w:r>
        <w:rPr>
          <w:rFonts w:ascii="Times New Roman;serif" w:hAnsi="Times New Roman;serif"/>
          <w:b w:val="false"/>
          <w:color w:val="000000"/>
          <w:sz w:val="20"/>
          <w:u w:val="single"/>
        </w:rPr>
        <w:t>Guarantees</w:t>
      </w:r>
      <w:r>
        <w:rPr>
          <w:color w:val="000000"/>
        </w:rPr>
        <w:t>”</w:t>
      </w:r>
      <w:r>
        <w:rPr>
          <w:rFonts w:ascii="Times New Roman;serif" w:hAnsi="Times New Roman;serif"/>
          <w:b w:val="false"/>
          <w:color w:val="000000"/>
          <w:sz w:val="20"/>
        </w:rPr>
        <w:t>), (ii) any claim or demand for payment made on a member of the Spinco Group or any of its Affiliates with respect to any of the Spinco Entity Guarantees or (iii) any Action by any Person who is or claims to be entitled to the benefit of or claims to be entitled to payment, reimbursement or indemnity with respect to any Spinco Entity Guarantees, and shall reimburse the members of the Spinco Group for any fees or expenses reasonably incurred in connection with any of the foregoing clauses (i) through (iii). With respect to any Spinco Entity Guarantee, each member of the Spinco Group and its Affiliates is referred to as an “</w:t>
      </w:r>
      <w:r>
        <w:rPr>
          <w:rFonts w:ascii="Times New Roman;serif" w:hAnsi="Times New Roman;serif"/>
          <w:b w:val="false"/>
          <w:color w:val="000000"/>
          <w:sz w:val="20"/>
          <w:u w:val="single"/>
        </w:rPr>
        <w:t>Guarantee Indemnified Party</w:t>
      </w:r>
      <w:r>
        <w:rPr>
          <w:rFonts w:ascii="Times New Roman;serif" w:hAnsi="Times New Roman;serif"/>
          <w:b w:val="false"/>
          <w:color w:val="000000"/>
          <w:sz w:val="20"/>
        </w:rPr>
        <w:t>.” for purposes of this Section 2.12.</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 Without limiting Section 2.12(a) or Section 2.12(b) in any respect, Spinco (in the case of any Parent Guarantee) and Parent (in the case of any Spinco Entity Guarantee) shall use commercially reasonable efforts, at its sole expense, to cause itself or its Affiliates to be substituted in all respects for the Guarantee Indemnified Party, and for the Guarantee Indemnified Party to be released in respect of, or otherwise terminate (and cause the Guarantee Indemnified Party to be released in respect of), all obligations of the Guarantee Indemnified Party under each Parent Guarantee or Spinco Entity Guarantee, as applicable (including, in each case, by delivering at the Distribution or as promptly as practicable thereafter (i) executed agreements to assume reimbursement obligations for such Guarantees, (ii) executed instruments of guaranty, letters of credit or other documents requested by any banks, customers or other counterparties with respect to such Guarantees, and (iii) any other documents requested by Parent (in the case of any Parent Guarantee) or Spinco (in the case of any Spinco Entity Guarantee) in connection with such party’s obligations under this Section 2.12). In furtherance and not in limitation of the foregoing, at the request of a Guarantee Indemnified Party, Spinco (in the case of Parent Guarantees) and Parent (in the case of the Spinco Entity Guarantees) shall and shall cause its Affiliates to assign or cause to be assigned any Contract underlying such Guarantee to a Subsidiary of Spinco (in the case of Parent Guarantees) or Parent (in the case of the Spinco Entity Guarantees) meeting the applicable net worth and other requirements in such Contract to give effect to the provisions of the preceding sentence. For any Guarantees for which Spinco or any Spinco Entity (in the case of a Parent Guarantee) or Parent or any of its Affiliates (in the case of a Spinco Entity Guarantee), as applicable, is not substituted in all respects for the Guarantee Indemnified Party (or for which the Guarantee Indemnified Party is not released) effective as of the Distribution and that cannot otherwise be terminated effective as of the Distribution (with the Guarantee Indemnified Party to be released in respect thereof), each of Spinco (in the case of a Parent Guarantee) and Parent (in the case of a Spinco Entity Guarantee), shall continue to use its commercially reasonable efforts and shall cause its Affiliates to use their best efforts to effect such substitution or termination and release after the Distribution. Without limiting the foregoing, neither Spinco (in the case of a Parent Guarantee) nor Parent (in the case of an Spinco Entity Guarantee) shall, or shall permit any of its Affiliates to, extend or renew any Contract containing or underlying a Guarantee unless, prior to or concurrently with such extension or renewal, Spinco or the Spinco Entities (in the case of a Parent Guarantee) or Parent or any of its Affiliates (in the case of a Spinco Entity Guarantee) are substituted in all respects for the Guarantee Indemnified Party, and the Guarantee Indemnified Party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is released, in respect of all obligations of the Guarantee Indemnified Party under such Guarantee. In the event that either party or any of its Affiliates or any of their respective successors or assigns (i) consolidates with or merges into any other Person and is not the continuing or surviving corporation or entity of such consolidation or merger or (ii) transfers or conveys all or a majority of its properties, assets or Equity Interests to any Person, then, in each case, proper provision shall be made so that the successors and assigns of such party or its Affiliates, as the case may be, shall succeed to the obligations of this Section 2.12.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2.13 </w:t>
      </w:r>
      <w:r>
        <w:rPr>
          <w:rFonts w:ascii="Times New Roman;serif" w:hAnsi="Times New Roman;serif"/>
          <w:b w:val="false"/>
          <w:color w:val="000000"/>
          <w:sz w:val="20"/>
          <w:u w:val="single"/>
        </w:rPr>
        <w:t>Bulk Sales</w:t>
      </w:r>
      <w:r>
        <w:rPr>
          <w:rFonts w:ascii="Times New Roman;serif" w:hAnsi="Times New Roman;serif"/>
          <w:b w:val="false"/>
          <w:color w:val="000000"/>
          <w:sz w:val="20"/>
        </w:rPr>
        <w:t>. Each of Parent and Spinco hereby waives compliance by each and every member of the Spinco Group or the Parent Group, respectively, with the requirements and provisions of any “bulk-sale” or “bulk-transfer” Laws of any jurisdiction that may otherwise be applicable with respect to the assignment, transfer or conveyance of any or all of the Excluded Assets to any member of the Parent Group or the Spinco Assets to any member of the Spinco Group.</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III</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DISTRIBUTION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3.1 </w:t>
      </w:r>
      <w:r>
        <w:rPr>
          <w:rFonts w:ascii="Times New Roman;serif" w:hAnsi="Times New Roman;serif"/>
          <w:b w:val="false"/>
          <w:color w:val="000000"/>
          <w:sz w:val="20"/>
          <w:u w:val="single"/>
        </w:rPr>
        <w:t>Actions at or Prior to the Distribution Time</w:t>
      </w:r>
      <w:r>
        <w:rPr>
          <w:rFonts w:ascii="Times New Roman;serif" w:hAnsi="Times New Roman;serif"/>
          <w:b w:val="false"/>
          <w:color w:val="000000"/>
          <w:sz w:val="20"/>
        </w:rPr>
        <w:t>. Prior to the Distribution Time and subject to the terms and conditions set forth herein, the following shall occur:</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Securities Law Matters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Spinco shall cooperate with Parent to accomplish the Distribution, including in connection with the preparation of all documents and the making of all filings required in connection with the Distribution. Parent shall be permitted to reasonably direct and control the efforts of Spinco in connection with the Distribution, and Spinco shall use reasonable best efforts to take, or cause to be taken, all actions and to do, or cause to be done, all other things reasonably necessary to facilitate the Distribution as reasonably directed by Parent in good faith and in accordance with the applicable terms and subject to the conditions of this Agreement and the other Transaction Documents.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 Spinco and Parent, as applicable, with respect to the listing of the Spinco Class B Ordinary Shares to be issued in the Distribution on Nasdaq New York, shall file the relevant Disclosure Documents and any amendments or supplements thereto as may be necessary or advisable in order to cause such Disclosure Documents to become and remain effective as required by the SEC or federal, state or other applicable securities Laws. Spinco and Parent, as applicable, with respect to the listing of the Spinco SDRs to be issued in the Distribution on Nasdaq Stockholm, shall file the relevant Disclosure Documents and any amendments or supplements thereto as may be necessary or advisable in order to cause such Disclosure Documents to be approved by the SFSA. Parent and Spinco shall prepare and mail or otherwise make available, prior to any Distribution Date, to the holders of Parent Shares, such information concerning Spinco and Spinco’s business, operations and management, the Distribution and such other matters as Parent shall reasonably determine and as may be required by Law. Parent and Spinco will prepare, and Spinco will, to the extent required by applicable Law, file with the SEC, any such documentation that Parent determines are necessary or desirable to effectuate the Distribution, and Parent and Spinco shall use their respective reasonable best efforts to obtain all necessary approvals from the SEC with respect thereto as soon as practicable. Parent and Spinco shall take all such actions as may be necessary or appropriate under the securities or “blue sky” Laws of states or other political subdivisions of the United States and shall use commercially reasonable efforts to comply with all applicable foreign securities Laws in connection with the transactions contemplated by this Agreement and the other Transaction Documents.</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Stock Exchange Matters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Spinco shall prepare and file, and shall use its reasonable best efforts to have approved, an application for the listing of the Spinco Class B Ordinary Shares to be issued in the Distribution on Nasdaq New York, subject to official notice of distribution.</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(ii) Spinco shall prepare and file, and shall use its reasonable best efforts to have approved, an application for the listing of the Spinco SDRs to be issued in the Distribution on Nasdaq Stockholm. </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Cash Reduction; Contribution</w:t>
      </w:r>
      <w:r>
        <w:rPr>
          <w:rFonts w:ascii="Times New Roman;serif" w:hAnsi="Times New Roman;serif"/>
          <w:b w:val="false"/>
          <w:color w:val="000000"/>
          <w:sz w:val="20"/>
        </w:rPr>
        <w:t>. Without limiting the requirements of Section 2.6, prior to the Distribution Time, Parent may, and may cause the members of the Parent Group and the Spinco Group to, take such actions as Parent deems advisable to minimize or reduce the amount of cash and cash equivalents remaining in any accounts held by or in the name of a member of the Spinco Group as of the Distribution Time (the “</w:t>
      </w:r>
      <w:r>
        <w:rPr>
          <w:rFonts w:ascii="Times New Roman;serif" w:hAnsi="Times New Roman;serif"/>
          <w:b w:val="false"/>
          <w:color w:val="000000"/>
          <w:sz w:val="20"/>
          <w:u w:val="single"/>
        </w:rPr>
        <w:t>Available Cash</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Parent shall not, and shall not permit any member of the Parent Group or Spinco Group to, remove cash and cash equivalents (A) in an amount that would result in a violation of the minimum capital required by Law to be held by an Spinco Entity, if any such requirement is applicable, or (B) in a manner that would materially and adversely impair the ability of an Spinco Entity to operate in the ordinary course immediately after the Distribution Date, as reasonably determined by Parent.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Substantially concurrent with the Distribution, in partial consideration for the transfer of Parent’s direct or indirect right, title and interest in and to the Spinco Assets to Spinco, Spinco (or an Affiliate thereof identified by Parent) shall transfer to Parent cash in an aggregate amount equal to approximately $[•] million, in immediately available funds to one or more accounts designated by Parent.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Existing Spinco Shares</w:t>
      </w:r>
      <w:r>
        <w:rPr>
          <w:rFonts w:ascii="Times New Roman;serif" w:hAnsi="Times New Roman;serif"/>
          <w:b w:val="false"/>
          <w:color w:val="000000"/>
          <w:sz w:val="20"/>
        </w:rPr>
        <w:t xml:space="preserve">. Immediately before the Distribution, Spinco shall cancel the Existing Spinco Shares. </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Distribution Agent</w:t>
      </w:r>
      <w:r>
        <w:rPr>
          <w:rFonts w:ascii="Times New Roman;serif" w:hAnsi="Times New Roman;serif"/>
          <w:b w:val="false"/>
          <w:color w:val="000000"/>
          <w:sz w:val="20"/>
        </w:rPr>
        <w:t>. Parent shall enter into a distribution agent agreement with the Distribution Agent or otherwise provide instructions to the Distribution Agent regarding the Distribution.</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Custodian Bank</w:t>
      </w:r>
      <w:r>
        <w:rPr>
          <w:rFonts w:ascii="Times New Roman;serif" w:hAnsi="Times New Roman;serif"/>
          <w:b w:val="false"/>
          <w:color w:val="000000"/>
          <w:sz w:val="20"/>
        </w:rPr>
        <w:t xml:space="preserve">. Spinco shall have entered into an SDR issuer agreement with the Custodian Bank or otherwise provided instructions to the Custodian Bank regarding the Distribution, and Parent shall have entered into a side agreement to such SDR issuer agreement with the Custodian Bank.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3.2 </w:t>
      </w:r>
      <w:r>
        <w:rPr>
          <w:rFonts w:ascii="Times New Roman;serif" w:hAnsi="Times New Roman;serif"/>
          <w:b w:val="false"/>
          <w:color w:val="000000"/>
          <w:sz w:val="20"/>
          <w:u w:val="single"/>
        </w:rPr>
        <w:t>Conditions Precedent to the Distribution</w:t>
      </w:r>
      <w:r>
        <w:rPr>
          <w:rFonts w:ascii="Times New Roman;serif" w:hAnsi="Times New Roman;serif"/>
          <w:b w:val="false"/>
          <w:color w:val="000000"/>
          <w:sz w:val="20"/>
        </w:rPr>
        <w:t>. In no event shall the Distribution occur unless each of the following conditions shall have been satisfied or waived by Parent, in whole or in part, in its sole discretion (other than the condition set forth in Section 3.2(a)):</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the SEC shall have declared effective the Form 10, no order suspending the effectiveness of the Form 10 shall be in effect, and no proceedings for such purposes shall have been instituted or threatened by the SEC;</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Parent shall have received the Tax Opinion from Sullivan &amp; Cromwell;</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Parent shall have received a written confirmation from the Swedish Tax Agency that the Distribution, together with certain related transactions, qualifies as a transaction that is generally tax exempt for Swedish tax purposes under the so-called Lex-ASEA rule in the Swedish Income Tax Act and under the conditions described in the application for written confirmation;</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(d) the Spinco Class B Ordinary Shares to be issued to holders of Parent Class B Shares in the Distribution shall have been accepted for listing on Nasdaq New York, subject to official notice of distribution; and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(e) the Spinco SDRs to be issued to holders of Parent Class B Shares in the Distribution shall have been accepted for listing on Nasdaq Stockholm.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of the foregoing conditions is for the sole benefit of Parent and shall not give rise to or create any duty on the part of Parent or the Parent Board to waive or not to waive any such condition in this Agreement, or in any way limit Parent’s rights of termination set forth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3.3 </w:t>
      </w:r>
      <w:r>
        <w:rPr>
          <w:rFonts w:ascii="Times New Roman;serif" w:hAnsi="Times New Roman;serif"/>
          <w:b w:val="false"/>
          <w:color w:val="000000"/>
          <w:sz w:val="20"/>
          <w:u w:val="single"/>
        </w:rPr>
        <w:t>The Distribution</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Parent Board, in accordance with applicable Law, shall establish a Record Date and the Distribution Date, and Parent shall establish appropriate procedures in connection with, and to effectuate in accordance with applicable Law, the Distribution. On the Distribution Date, the Spinco Shares and Spinco SDRs shall be issued to the holders of record of Parent Shares in the manner determined by Parent and in accordance with Section 3.3(f). In accordance with Section 3.3(f), each holder of Parent Shares on the Record Date (a “</w:t>
      </w:r>
      <w:r>
        <w:rPr>
          <w:rFonts w:ascii="Times New Roman;serif" w:hAnsi="Times New Roman;serif"/>
          <w:b w:val="false"/>
          <w:color w:val="000000"/>
          <w:sz w:val="20"/>
          <w:u w:val="single"/>
        </w:rPr>
        <w:t>Record Holder</w:t>
      </w:r>
      <w:r>
        <w:rPr>
          <w:color w:val="000000"/>
        </w:rPr>
        <w:t>”</w:t>
      </w:r>
      <w:r>
        <w:rPr>
          <w:rFonts w:ascii="Times New Roman;serif" w:hAnsi="Times New Roman;serif"/>
          <w:b w:val="false"/>
          <w:color w:val="000000"/>
          <w:sz w:val="20"/>
        </w:rPr>
        <w:t>) shall be entitled to receive, in respect of the aggregate number of shares of Parent held by such holder on the Record Date, a number of Spinco Shares equal to one (1) Spinco Class A Ordinary Share for every ten (10) Parent Class A Shares and one (1) Spinco Class B Ordinary Share for every ten (10) Parent Class B Shares held on the Record Date, which number of Spinco Shares shall be rounded down to the nearest whole number.</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No fractional shares shall be delivered to Record Holders or credited to book-entry accounts. In lieu of any such fractional shares, each Record Holder who, but for the provisions of this Section 3.3(b), would be entitled to receive a fractional share interest of a share of Spinco Shares pursuant to the Distribution, shall be paid in cash, without any interest thereon, as hereinafter provided. As soon as practicable after the Distribution Time, Parent shall direct (i) the Distribution Agent to determine the number of whole Spinco Shares and fractional interests in Spinco Shares allocable to each Record Holder, to aggregate all such fractional share interests into whole shares, and to sell the whole shares obtained thereby in the open market at the then-prevailing prices on behalf of each Record Holder who otherwise would be entitled to receive fractional share interests (with the Distribution Agent, in its sole and absolute discretion, determining when, how and through which broker-dealer and at what price to make such sales); and (ii) the Custodian Bank to determine the number of whole and fractional SDRs of Spinco SDRs allocable to each Record Holder, to aggregate all such fractional SDRs of Spinco SDRs, and to sell the whole SDRs obtained thereby in the open market at the then-prevailing prices on behalf of each Record Holder who otherwise would be entitled to receive fractional SDR interests (with the Custodian Bank, in its sole and absolute discretion, determining when, how and through which broker-dealer and at what price to make such sales), and to cause to be distributed to each such Record Holder, in lieu of any fractional share or SDR, such Record Holder’s or owner’s ratable share of the total proceeds of such sale as provided in clauses (i) and (ii), after deducting any Taxes required to be withheld and applicable transfer Taxes, and after deducting the costs and expenses of such sale and distribution, including brokers fees and commissions. None of Parent, Spinco, the Distribution Agent or Custodian Bank will be required to guarantee any minimum sale price for the fractional Spinco Shares or fractional SDRs of the Spinco SDRs sold in accordance with this Section 3.3(b). Neither Parent nor Spinco will be required to pay any interest on the proceeds from the sale of fractional shares. Neither the Distribution Agent nor the broker-dealers through which the aggregated fractional shares are sold shall be Affiliates of Parent or Spinco. Solely for purposes of computing fractional share interests pursuant to this Section 3.3(b) and Section 3.3(c), the beneficial owner of Parent Shares held of record in the name of a nominee in any nominee account shall be treated as the Record Holder with respect to such shares.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Any Spinco Shares or cash in lieu of fractional share interests with respect to Spinco Shares and Spinco SDRs that remain unclaimed by any Record Holder one hundred and eighty (180) days after the Distribution Date shall be delivered to Spinco, and Spinco or its transfer agent on its behalf shall hold such shares and cash for the account of such Record Holder, and the Parties agree that all obligations to provide such shares and cash, if any, in lieu of fractional share interests shall be obligations of Spinco, subject in each case to applicable escheat or other abandoned property Laws, and Parent shall have no Liability with respect thereto. Any such shares and cash, if any, in lieu of fractional share interests which have remained unclaimed for six years from the Distribution Date shall be forfeited and cease to remain owing by the Company.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None of the Parties, nor any of their Affiliates shall be liable to any Person in respect of any Spinco Shares (or dividends or distributions with respect thereto) that are properly delivered to a public official pursuant to any applicable abandoned property, escheat or similar Law.</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(e) Parent, Spinco, the Distribution Agent, the Custodian Bank or any other applicable withholding agent, as applicable, shall be entitled to deduct and withhold from the consideration otherwise payable pursuant to this Agreement such amounts as are required to be deducted and withheld with respect to the making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payments under the Code or any provision of state, local, foreign or other Tax Law. Any deducted or withheld amounts will be treated for all purposes of this Agreement as having been paid to the Persons otherwise entitled thereto.</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 Upon the consummation of the Distribution, Spinco shall deliver to the Distribution Agent the Spinco Shares being issued in the Distribution for the account of Parent’s shareholders that are entitled thereto. The Distribution Agent shall hold such shares for the account of Parent’s shareholders. Spinco agrees that the Spinco Shares shall be allotted credited as fully paid up and free from any liens, charges and encumbrances whatsoever and shall have the rights described in the Spinco Articles.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3.4 </w:t>
      </w:r>
      <w:r>
        <w:rPr>
          <w:rFonts w:ascii="Times New Roman;serif" w:hAnsi="Times New Roman;serif"/>
          <w:b w:val="false"/>
          <w:color w:val="000000"/>
          <w:sz w:val="20"/>
          <w:u w:val="single"/>
        </w:rPr>
        <w:t>Release of Security</w:t>
      </w:r>
      <w:r>
        <w:rPr>
          <w:rFonts w:ascii="Times New Roman;serif" w:hAnsi="Times New Roman;serif"/>
          <w:b w:val="false"/>
          <w:color w:val="000000"/>
          <w:sz w:val="20"/>
        </w:rPr>
        <w:t>. Parent shall, at its sole cost and expense, use reasonable best efforts to cause any Security Interest on any Spinco Asset or Equity Interests of Spinco that serves as collateral or security for any indebtedness of any member of the Parent Group (other than an Spinco Entity) to be unconditionally released and discharged (any such unconditional release and discharge, a “</w:t>
      </w:r>
      <w:r>
        <w:rPr>
          <w:rFonts w:ascii="Times New Roman;serif" w:hAnsi="Times New Roman;serif"/>
          <w:b w:val="false"/>
          <w:color w:val="000000"/>
          <w:sz w:val="20"/>
          <w:u w:val="single"/>
        </w:rPr>
        <w:t>Discharge</w:t>
      </w:r>
      <w:r>
        <w:rPr>
          <w:color w:val="000000"/>
        </w:rPr>
        <w:t>”</w:t>
      </w:r>
      <w:r>
        <w:rPr>
          <w:rFonts w:ascii="Times New Roman;serif" w:hAnsi="Times New Roman;serif"/>
          <w:b w:val="false"/>
          <w:color w:val="000000"/>
          <w:sz w:val="20"/>
        </w:rPr>
        <w:t>), prior to the Distribution. If any such Security Interest is not so Discharged prior to the Distribution, Parent shall, at its sole cost and expense, use reasonable best efforts to cause such Security Interest to be Discharged as promptly as reasonably possible thereafter. Any loss of, or Liabilities resulting from restrictions on the use of, the underlying asset arising from the failure of any such Security Interest to be Discharged shall constitute an Excluded Liability.</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IV</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ACCESS TO INFORMATION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4.1 </w:t>
      </w:r>
      <w:r>
        <w:rPr>
          <w:rFonts w:ascii="Times New Roman;serif" w:hAnsi="Times New Roman;serif"/>
          <w:b w:val="false"/>
          <w:color w:val="000000"/>
          <w:sz w:val="20"/>
          <w:u w:val="single"/>
        </w:rPr>
        <w:t>Delivery of Spinco Business Records</w:t>
      </w:r>
      <w:r>
        <w:rPr>
          <w:rFonts w:ascii="Times New Roman;serif" w:hAnsi="Times New Roman;serif"/>
          <w:b w:val="false"/>
          <w:color w:val="000000"/>
          <w:sz w:val="20"/>
        </w:rPr>
        <w:t>. Prior to the Distribution Time, Parent and Spinco shall work together in good faith to determine procedures for the delivery by Parent to Spinco of a copy of the Spinco Business Records following the Distribution Time (the “</w:t>
      </w:r>
      <w:r>
        <w:rPr>
          <w:rFonts w:ascii="Times New Roman;serif" w:hAnsi="Times New Roman;serif"/>
          <w:b w:val="false"/>
          <w:color w:val="000000"/>
          <w:sz w:val="20"/>
          <w:u w:val="single"/>
        </w:rPr>
        <w:t>Agreed Procedures</w:t>
      </w:r>
      <w:r>
        <w:rPr>
          <w:color w:val="000000"/>
        </w:rPr>
        <w:t>”</w:t>
      </w:r>
      <w:r>
        <w:rPr>
          <w:rFonts w:ascii="Times New Roman;serif" w:hAnsi="Times New Roman;serif"/>
          <w:b w:val="false"/>
          <w:color w:val="000000"/>
          <w:sz w:val="20"/>
        </w:rPr>
        <w:t>), which Agreed Procedures will also apply to the delivery by Spinco to Parent of a copy of any Books and Records other than the Spinco Business Records (the “</w:t>
      </w:r>
      <w:r>
        <w:rPr>
          <w:rFonts w:ascii="Times New Roman;serif" w:hAnsi="Times New Roman;serif"/>
          <w:b w:val="false"/>
          <w:color w:val="000000"/>
          <w:sz w:val="20"/>
          <w:u w:val="single"/>
        </w:rPr>
        <w:t>Company Business Records</w:t>
      </w:r>
      <w:r>
        <w:rPr>
          <w:color w:val="000000"/>
        </w:rPr>
        <w:t>”</w:t>
      </w:r>
      <w:r>
        <w:rPr>
          <w:rFonts w:ascii="Times New Roman;serif" w:hAnsi="Times New Roman;serif"/>
          <w:b w:val="false"/>
          <w:color w:val="000000"/>
          <w:sz w:val="20"/>
        </w:rPr>
        <w:t xml:space="preserve">). Following the Distribution Time, Parent shall, and shall cause its Subsidiaries to, deliver the Spinco Business Records in accordance with the Agreed Procedures. Parent shall have the right to retain, following the Distribution Time, copies of any Spinco Business Records that Parent in good faith determines it or any of its Subsidiaries is reasonably likely to need access for bona fide business or legal purposes,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they shall be treated as Spinco Confidential Information.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4.2 </w:t>
      </w:r>
      <w:r>
        <w:rPr>
          <w:rFonts w:ascii="Times New Roman;serif" w:hAnsi="Times New Roman;serif"/>
          <w:b w:val="false"/>
          <w:color w:val="000000"/>
          <w:sz w:val="20"/>
          <w:u w:val="single"/>
        </w:rPr>
        <w:t>Delivery of Parent Business Records</w:t>
      </w:r>
      <w:r>
        <w:rPr>
          <w:rFonts w:ascii="Times New Roman;serif" w:hAnsi="Times New Roman;serif"/>
          <w:b w:val="false"/>
          <w:color w:val="000000"/>
          <w:sz w:val="20"/>
        </w:rPr>
        <w:t xml:space="preserve">. Following the Distribution Time, Spinco shall, and shall cause its Subsidiaries to, deliver all Parent Business Records in accordance with the Agreed Procedures. Spinco will only be required to deliver Parent Business Records as contemplated by this Section 4.2. Spinco shall have the right to retain, following the Distribution Time, copies of Parent Business Records that Spinco in good faith determines it or any of its Subsidiaries is reasonably likely to need access for bona fide business or legal purposes,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they shall be treated as Parent Confidential Information.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4.3 </w:t>
      </w:r>
      <w:r>
        <w:rPr>
          <w:rFonts w:ascii="Times New Roman;serif" w:hAnsi="Times New Roman;serif"/>
          <w:b w:val="false"/>
          <w:color w:val="000000"/>
          <w:sz w:val="20"/>
          <w:u w:val="single"/>
        </w:rPr>
        <w:t>Access to Business Records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(a) From and after the Distribution Date for a period consistent with such Party’s bona fide record retention policies, each of Spinco and Parent, on behalf of its respective Group, will (i) use commercially reasonable efforts to maintain the Spinco Business Records in accordance with such Party’s bona fide record retention policies and (ii) provide the other Party and its Representatives reasonable access to the Spinco Business Records relating to periods prior to the Distribution Date for any reasonable purpose;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except as provided otherwise in the Transition Services Agreement or any other Transaction Document, neither Party shall be required to provide the requesting Party with access to any of such Party’s information technology systems to review any Spinco Business Records. All access to Spinco Business Records, personnel and assistance provided pursuant to this Section 4.3 following the Distribution Date will be (x) conducted during normal business hours upon reasonable advance notice to the Party providing access and (y) conducted in such a manner as not to interfere unreasonably with the normal operations of the businesses of the Party and its Affiliates providing access. The Party providing access will have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right to have one or more of its Representatives present at all times during any visits, examinations, discussions or contacts contemplated by this Section 4.3.</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(b) From and after the Distribution Date for a period consistent with Spinco’s bona fide record retention policies, Spinco, on behalf of the Spinco Group, will (i) use commercially reasonable efforts to maintain the Parent Business Records in accordance with its bona fide record retention policies and (ii) provide Parent and its Representatives reasonable access to the Parent Business Records relating to periods prior to the Distribution Date for any reasonable purpose;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except as provided otherwise in the Transition Services Agreement or any other Transaction Document, Spinco shall not be required to provide Parent with access to any of Spinco’s information technology systems to review any Company Business Records. All access to Company Business Records, personnel and assistance provided pursuant to this Section 4.3 following the Distribution Date will be (x) conducted during normal business hours upon reasonable advance notice to the Party providing access and (y) conducted in such a manner as not to interfere unreasonably with the normal operations of the businesses of the Party and its Affiliates providing access. The Party providing access will have the right to have one or more of its Representatives present at all times during any visits, examinations, discussions or contacts contemplated by this Section 4.3.</w:t>
      </w:r>
    </w:p>
    <w:p>
      <w:pPr>
        <w:pStyle w:val="TextBody"/>
        <w:bidi w:val="0"/>
        <w:spacing w:lineRule="auto" w:line="288" w:before="0" w:after="240"/>
        <w:ind w:left="0" w:right="0" w:firstLine="1440"/>
        <w:jc w:val="left"/>
        <w:rPr/>
      </w:pPr>
      <w:r>
        <w:rPr>
          <w:rFonts w:ascii="Times New Roman;serif" w:hAnsi="Times New Roman;serif"/>
          <w:b w:val="false"/>
          <w:color w:val="000000"/>
          <w:sz w:val="20"/>
        </w:rPr>
        <w:t>(c) Without limiting the generality of the foregoing, until the third (3</w:t>
      </w:r>
      <w:r>
        <w:rPr>
          <w:rFonts w:ascii="Times New Roman;serif" w:hAnsi="Times New Roman;serif"/>
          <w:b w:val="false"/>
          <w:color w:val="000000"/>
          <w:sz w:val="13"/>
        </w:rPr>
        <w:t>rd</w:t>
      </w:r>
      <w:r>
        <w:rPr>
          <w:rFonts w:ascii="Times New Roman;serif" w:hAnsi="Times New Roman;serif"/>
          <w:b w:val="false"/>
          <w:color w:val="000000"/>
          <w:sz w:val="20"/>
        </w:rPr>
        <w:t>) Parent fiscal year-end occurring after the Distribution Date, each of Parent and Spinco shall use its commercially reasonable efforts to cooperate with the other’s Books and Records requests to enable (i) Parent or Spinco, as applicable,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and in connection with any incurred cost submission audits, business system audits and other customer audits by a Governmental Entity for a period of seven (7) years, and (ii) Parent’s or Spinco’s accountants to timely complete their review of the quarterly financial statements and audit of the annual financial statements of such Party, including, to the extent applicable to such Party, its auditor’s audit of its internal control over financial reporting and management’s assessment thereof in accordance with Section 404 of the Sarbanes-Oxley Act of 2002 and the SEC’s and Public Company Accounting Oversight Board’s rules and auditing standards thereunder.</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Nothing in Section 4.3 shall apply to (i) the provision of any Spinco Business Records or Parent Business Records to the extent relating to Tax matters (such matters being governed by the Tax Disaffiliation Agreement) or employee, compensation and benefits matters (such matters being governed by the Employee Matters Agreement) or (ii) the delivery of copies of Spinco Business Records or Parent Business Records following the Distribution Time (which shall be governed by Section 4.1 and Section 4.2, as applicable).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 Each of Parent and Spinco agrees to use commercially reasonable efforts to hold all the Books and Records of the Spinco Business and the Parent Business existing on the Distribution Date and not to destroy or dispose of any thereof for a period of seven (7) years from the Distribution Date or such longer time as may be required by Law, and thereafter, if it desires to destroy or dispose of such Books and Records not in accordance with its then current retention policy, to offer first in writing at least thirty (30) days prior to such destruction or disposition to surrender them to the other Party.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4.4 </w:t>
      </w:r>
      <w:r>
        <w:rPr>
          <w:rFonts w:ascii="Times New Roman;serif" w:hAnsi="Times New Roman;serif"/>
          <w:b w:val="false"/>
          <w:color w:val="000000"/>
          <w:sz w:val="20"/>
          <w:u w:val="single"/>
        </w:rPr>
        <w:t>Scope of Delivery and Access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Parent and its Subsidiaries shall be permitted to redact any portion of the Spinco Business Records that does not relate to the Spinco Business. Spinco and its Subsidiaries shall be permitted to redact any portion of the Parent Business Records that does not relate to the Parent Business.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(b) Neither Parent nor Spinco will be required to provide any Spinco Business Records or Parent Business Records, as applicable, or other information to the extent doing so would, in such Party’s reasonable discretion, (i) jeopardize such Party’s or any of its Affiliates’ attorney-client privilege or similar immunity or protection, (ii) conflict with any applicable Law, Order, Contract, Consent, privacy policy or other binding legal or contractual obligation of such Party or any of its Affiliates, or (iii) result in the disclosure of such Party’s or any of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its Affiliates’ competitively sensitive information;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applicable Party shall use its reasonable best efforts to permit the provision of such access or information in a manner that avoids any such detriment or consequence.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If Parent, on the one hand, and Spinco, on the other hand, are in an adversarial relationship in any Action, the furnishing of information, documents or records in connection with such Action will be subject to any applicable rules relating to discovery and not this Article IV.</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4.5 </w:t>
      </w:r>
      <w:r>
        <w:rPr>
          <w:rFonts w:ascii="Times New Roman;serif" w:hAnsi="Times New Roman;serif"/>
          <w:b w:val="false"/>
          <w:color w:val="000000"/>
          <w:sz w:val="20"/>
          <w:u w:val="single"/>
        </w:rPr>
        <w:t>Other Agreements Providing for Exchange of Books and Records</w:t>
      </w:r>
      <w:r>
        <w:rPr>
          <w:rFonts w:ascii="Times New Roman;serif" w:hAnsi="Times New Roman;serif"/>
          <w:b w:val="false"/>
          <w:color w:val="000000"/>
          <w:sz w:val="20"/>
        </w:rPr>
        <w:t>. The rights and obligations granted under this Article IV are subject to any specific limitations, qualifications or additional provisions on the sharing, exchange, retention or confidential treatment of Books and Records set forth in any other Transaction Document. Notwithstanding anything in this Article IV to the contrary, the Tax Disaffiliation Agreement shall exclusively govern the retention of Tax related records and the exchange of Tax-related information.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4.6 </w:t>
      </w:r>
      <w:r>
        <w:rPr>
          <w:rFonts w:ascii="Times New Roman;serif" w:hAnsi="Times New Roman;serif"/>
          <w:b w:val="false"/>
          <w:color w:val="000000"/>
          <w:sz w:val="20"/>
          <w:u w:val="single"/>
        </w:rPr>
        <w:t>Production of Witnesses and Records in Connection with an Action</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Notwithstanding anything to the contrary in this Article IV, from and after the Distribution Time, except in the case of an adversarial Action by Spinco, or a member of the Spinco Group, against Parent or a member of the Parent Group, or vice versa, each Party shall use its reasonable efforts to make available to each other Party, upon written request and during regular business hours, the former, current and future directors, officers, employees and other Representatives of the members of its respective Group as witnesses, and any Books and Records or other information within its control or that it otherwise has the ability to make available, to the extent that any such Person (giving consideration to business demands of such directors, officers, employees and other Representatives) or Books and Records or other information may reasonably be required in connection with any Action in which the requesting Party may from time to time be involved, regardless of whether such Action is a matter with respect to which indemnification may be sought under this Agreement. The requesting Party shall bear all out-of-pocket costs and expenses in connection therewith.</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The obligation of the Parties to provide witnesses pursuant to this Section 4.6 is intended to be interpreted in a manner so as to facilitate cooperation and shall include the obligation to provide as witnesses officers without regard to whether the witness or the employer of the witness could assert a possible business conflict, except in the case of an adversarial Action between Parent, on the one hand, and Spinco, on the other hand.</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In connection with any matter contemplated by this Section 4.6, the Parties will enter into a mutually acceptable joint defense agreement so as to maintain to the extent practicable any applicable attorney-client privilege, work product immunity or other applicable privileges or immunities of any member of any Group.</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For the avoidance of doubt, the provisions of this Section 4.6 are in furtherance of the provisions of Section 4.1 and Section 4.2 and shall not be deemed to limit the Parties’ rights and obligations under Section 4.1 and Section 4.2.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4.7 </w:t>
      </w:r>
      <w:r>
        <w:rPr>
          <w:rFonts w:ascii="Times New Roman;serif" w:hAnsi="Times New Roman;serif"/>
          <w:b w:val="false"/>
          <w:color w:val="000000"/>
          <w:sz w:val="20"/>
          <w:u w:val="single"/>
        </w:rPr>
        <w:t>Privilege</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The Parties acknowledge and agree that, prior to the Distribution Time, Parent, Spinco and their respective Subsidiaries were represented by the same or related legal counsel in connection with the negotiation, preparation, execution and consummation of this Agreement, the other Transaction Documents and the transactions contemplated hereby and thereby (collectively, the “</w:t>
      </w:r>
      <w:r>
        <w:rPr>
          <w:rFonts w:ascii="Times New Roman;serif" w:hAnsi="Times New Roman;serif"/>
          <w:b w:val="false"/>
          <w:color w:val="000000"/>
          <w:sz w:val="20"/>
          <w:u w:val="single"/>
        </w:rPr>
        <w:t>Transaction Matters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(b) All communications among Parent, Spinco, any of their respective Subsidiaries and such counsel, and all attorney work product of such counsel, in each case relating to the Transaction Matters (collectively, the “</w:t>
      </w:r>
      <w:r>
        <w:rPr>
          <w:rFonts w:ascii="Times New Roman;serif" w:hAnsi="Times New Roman;serif"/>
          <w:b w:val="false"/>
          <w:color w:val="000000"/>
          <w:sz w:val="20"/>
          <w:u w:val="single"/>
        </w:rPr>
        <w:t>Transaction Privileged Materials</w:t>
      </w:r>
      <w:r>
        <w:rPr>
          <w:color w:val="000000"/>
        </w:rPr>
        <w:t>”</w:t>
      </w:r>
      <w:r>
        <w:rPr>
          <w:rFonts w:ascii="Times New Roman;serif" w:hAnsi="Times New Roman;serif"/>
          <w:b w:val="false"/>
          <w:color w:val="000000"/>
          <w:sz w:val="20"/>
        </w:rPr>
        <w:t>), shall be deemed to be subject to a joint-client privilege and joint attorney-client relationship between Parent, on the one hand, and Spinco and the Spinco Group, on the other hand.</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From and after the Distribution Time, Parent and Spinco shall each have an equal right to assert, maintain and enforce any attorney-client privilege, work product protection or other applicable privilege or protection with respect to the Transaction Privileged Materials, and no such privilege or protection may be waived without the prior written consent of both Parent and Spinco (not to be unreasonably withheld, conditioned or delayed).</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Notwithstanding the foregoing, each of Parent and Spinco (on behalf of its respective Group) shall be entitled to access, review, use and rely upon the Transaction Privileged Materials for any lawful purpose, including in connection with any Action (whether involving a third party or between Parent and Spinco or their respective Affiliates), and neither Party may assert the existence of any such privilege to prevent the other Party from accessing or using such Transaction Privileged Materials in any such Action.</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 The sharing of Transaction Privileged Materials between Parent and Spinco or their respective Representatives shall not constitute a waiver of any applicable privilege or protection, and the Parties shall take all reasonable steps to preserve such privilege and protection, including entering into joint defense or common interest agreements where appropriate.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V</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RELEASES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5.1 </w:t>
      </w:r>
      <w:r>
        <w:rPr>
          <w:rFonts w:ascii="Times New Roman;serif" w:hAnsi="Times New Roman;serif"/>
          <w:b w:val="false"/>
          <w:color w:val="000000"/>
          <w:sz w:val="20"/>
          <w:u w:val="single"/>
        </w:rPr>
        <w:t>Release of Pre-Distribution Claims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Except (i) as provided in Section 5.1(c), (ii) as may be otherwise expressly provided in this Agreement or any other Transaction Document and (iii) for any matter for which any Party is entitled to indemnification or contribution pursuant to Article VI, effective as of the Distribution Time, Spinco hereby, for itself and each other member of the Spinco Group, its Affiliates, successors and assigns, and all Persons who at any time prior to the Distribution Time have been directors, officers, agents or employees of any member of the Spinco Group (in each case, in their respective capacities as such), remise, release and forever discharge Parent and the other members of the Parent Group, their respective Affiliates, successors and assigns, and all Persons who at any time prior to the Distribution Time have been stockholders, members, partners, directors, managers, officers, agents or employees of any member of the Parent Group (in each case, in their respective capacities as such), and their respective heirs, executors, administrators, successors and assigns (collectively, the “</w:t>
      </w:r>
      <w:r>
        <w:rPr>
          <w:rFonts w:ascii="Times New Roman;serif" w:hAnsi="Times New Roman;serif"/>
          <w:b w:val="false"/>
          <w:color w:val="000000"/>
          <w:sz w:val="20"/>
          <w:u w:val="single"/>
        </w:rPr>
        <w:t>Parent Released Persons</w:t>
      </w:r>
      <w:r>
        <w:rPr>
          <w:color w:val="000000"/>
        </w:rPr>
        <w:t>”</w:t>
      </w:r>
      <w:r>
        <w:rPr>
          <w:rFonts w:ascii="Times New Roman;serif" w:hAnsi="Times New Roman;serif"/>
          <w:b w:val="false"/>
          <w:color w:val="000000"/>
          <w:sz w:val="20"/>
        </w:rPr>
        <w:t>), from any and all Liabilities whatsoever, whether at Law or in equity (including any right of contribution), whether arising under any Contract, by operation of Law or otherwise, to the extent existing or arising from any acts or events occurring or failing to occur or alleged to have occurred or to have failed to occur or any conditions existing or alleged to have existed, in each case, at or prior to the Distribution Time, including in connection with the transactions and all other activities to implement the Reorganization, the Contribution, the Distribution, the Spinco Financing Agreements and any of the other transactions contemplated by this Agreement or other Transaction Documents. Without limitation, the foregoing release includes a release of any rights and benefits with respect to such Liabilities that Spinco and each member of the Spinco Group, and their respective Affiliates, successors and assigns, now has or in the future may have conferred upon them by virtue of any statute or common law principle which provides that a general release does not extend to claims that a party does not know or suspect to exist in its favor at the time of executing the release, if knowledge of such claims would have materially affected such party’s settlement with the obligor. In this connection, Spinco hereby acknowledges that it is aware that factual matters now unknown to it may have given or may hereafter give rise to Liabilities that are presently unknown, unanticipated and unsuspected, and it further agrees that this release has been negotiated and agreed upon in light of that awareness and it nevertheless hereby intends to release the Parent Released Persons from the Liabilities described in the first sentence of this Section 5.1(a).</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(b) Except (i) as provided in Section 5.1(c), (ii) as may be otherwise expressly provided in this Agreement or any other Transaction Document and (iii) for any matter for which any Party is entitled to indemnification or contribution pursuant to Article VI, effective as of the Distribution Time, Parent does hereby, for itself and each other member of the Parent Group, their respective Affiliates, successors and assigns, and all Persons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who at any time prior to the Distribution Time have been stockholders, members, partners, directors, managers, officers, agents or employees of any member of the Parent Group (in each case, in their respective capacities as such), remise, release and forever discharge Spinco, the respective members of the Spinco Group, their respective Affiliates, successors and assigns, and all Persons who at any time prior to the Distribution Time have been stockholders, members, partners, directors, managers, officers, agents or employees of any member of the Spinco Group (in each case, in their respective capacities as such), and their respective heirs, executors, administrators, successors and assigns (collectively, the “</w:t>
      </w:r>
      <w:r>
        <w:rPr>
          <w:rFonts w:ascii="Times New Roman;serif" w:hAnsi="Times New Roman;serif"/>
          <w:b w:val="false"/>
          <w:color w:val="000000"/>
          <w:sz w:val="20"/>
          <w:u w:val="single"/>
        </w:rPr>
        <w:t>Spinco Released Persons</w:t>
      </w:r>
      <w:r>
        <w:rPr>
          <w:color w:val="000000"/>
        </w:rPr>
        <w:t>”</w:t>
      </w:r>
      <w:r>
        <w:rPr>
          <w:rFonts w:ascii="Times New Roman;serif" w:hAnsi="Times New Roman;serif"/>
          <w:b w:val="false"/>
          <w:color w:val="000000"/>
          <w:sz w:val="20"/>
        </w:rPr>
        <w:t>), from any and all Liabilities whatsoever, whether at Law or in equity (including any right of contribution), whether arising under any Contract, by operation of Law or otherwise, to the extent existing or arising from any acts or events occurring or failing to occur or alleged to have occurred or to have failed to occur or any conditions existing or alleged to have existed, in each case, at or prior to the Distribution Time, including in connection with the transactions and all other activities to implement the Reorganization, the Contribution, the Distribution and any of the other transactions contemplated by this Agreement or the other Transaction Documents. Without limitation, the foregoing release includes a release of any rights and benefits with respect to such Liabilities that Parent and each member of the Parent Group, and their respective Affiliates, successors and assigns, now has or in the future may have conferred upon them by virtue of any statute or common law principle which provides that a general release does not extend to claims that a party does not know or suspect to exist in its favor at the time of executing the release, if knowledge of such claims would have materially affected such party’s settlement with the obligor. In this connection, Parent hereby acknowledges that it is aware that factual matters now unknown to it may have given or may hereafter give rise to Liabilities that are presently unknown, unanticipated and unsuspected, and it further agrees that this release has been negotiated and agreed upon in light of that awareness and it nevertheless hereby intends to release the Spinco Released Persons from the Liabilities described in the first sentence of this Section 5.1(b).</w:t>
      </w:r>
    </w:p>
    <w:p>
      <w:pPr>
        <w:pStyle w:val="TextBody"/>
        <w:bidi w:val="0"/>
        <w:spacing w:lineRule="auto" w:line="288" w:before="0" w:after="240"/>
        <w:ind w:left="0" w:right="0" w:firstLine="1440"/>
        <w:jc w:val="left"/>
        <w:rPr/>
      </w:pPr>
      <w:r>
        <w:rPr>
          <w:rFonts w:ascii="Times New Roman;serif" w:hAnsi="Times New Roman;serif"/>
          <w:b w:val="false"/>
          <w:color w:val="000000"/>
          <w:sz w:val="20"/>
        </w:rPr>
        <w:t>(c) Nothing contained in Section 5.1(a) or Section 5.1(b) shall impair or otherwise impact any right of any Party, and as applicable, any member of such Party’s Group, to enforce this Agreement, any other Transaction Document or any Contracts that are specified in Section 2.6(a), in each case in accordance with its terms. Nothing contained in Section 5.1(a) or Section 5</w:t>
      </w:r>
      <w:r>
        <w:rPr>
          <w:rFonts w:ascii="Times New Roman;serif" w:hAnsi="Times New Roman;serif"/>
          <w:b w:val="false"/>
          <w:i/>
          <w:color w:val="000000"/>
          <w:sz w:val="20"/>
        </w:rPr>
        <w:t>.</w:t>
      </w:r>
      <w:r>
        <w:rPr>
          <w:rFonts w:ascii="Times New Roman;serif" w:hAnsi="Times New Roman;serif"/>
          <w:b w:val="false"/>
          <w:color w:val="000000"/>
          <w:sz w:val="20"/>
        </w:rPr>
        <w:t>l(b) shall release any Person from:</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any Liability provided in or resulting from (A) any Transaction Document or (B) any Contract among any members of the Parent Group or the Spinco Group that is specified in Section 2.6 as not terminating as of the Distribution Time or any other Liability specified in Section 2.6 as not terminating as of the Distribution Time;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 any Liability, contingent or otherwise, assumed, transferred, assigned or allocated to the Group of which such Person is a member in accordance with, or any other Liability of any member of any Group under, this Agreement or any other Transaction Document;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(iii) any Liability for the sale, lease, construction or receipt of goods, property or services purchased, obtained or used in the ordinary course of business by a member of one Group from a member of the other Group prior to the Distribution Time;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(iv) any Liability for unpaid amounts for products or services or refunds owing on products or services due on a value-received basis for work done by a member of one Group at the request or on behalf of a member of the other Group;</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 any Liability provided in or resulting from any Contract that is entered into after the Distribution Time between any Party (and/or a member of such Party’s Group), on the one hand, and the other Party (and/or a member of the other Party’s Group), on the other hand;</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(vi) any Liability that the Parties may have with respect to indemnification or contribution pursuant to this Agreement or otherwise for claims brought against the Parties by third Persons, which Liability shall be governed by the provisions of Article VI and, if applicable, the appropriate provisions of the other Transaction Documents; or</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(vii) any Liability the release of which would result in the release of any Person other than the Persons released pursuant to Section 5.1(a) and Section 5.1(b).</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nothing contained in Section 5.l(a) shall release: (A) Parent from indemnifying any director, officer or employee of the Spinco Group who was a director, officer or employee of Parent or any of its Affiliates at or prior to the Distribution Time, to the extent that such director, officer or employee is or becomes a named defendant in any Action with respect to which he or she was entitled to such indemnification from a member of the Parent Group pursuant to then-existing obligations, it being understood that if the underlying obligation giving rise to such Action is an Spinco Liability, Spinco shall indemnify Parent for such Liability (including Parent’s costs to indemnify the director, officer or employee) in accordance with the provisions set forth in Article VI; and (B) Spinco from indemnifying any director, officer or employee of the Parent Group who was a director, officer or employee of Parent or any of its Affiliates at or prior to the Distribution Time, to the extent that such director, officer or employee is or becomes a named defendant in any Action with respect to which he or she was entitled to such indemnification from a member of the Spinco Group pursuant to then-existing obligations, it being understood that if the underlying obligation giving rise to such Action is an Excluded Liability, Parent shall indemnify Spinco for such Liability (including Spinco’s costs to indemnify the director, officer or employee) in accordance with the provisions set forth in Article VI.</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Spinco shall not make, and shall not permit any member of the Spinco Group to make, any claim or demand, or commence any Action asserting any claim or demand, including any claim of contribution or any indemnification, against Parent or any member of the Parent Group, or any other Person released pursuant to Section 5.1(a), with respect to any Liabilities released pursuant to Section 5.1(a). Parent shall not make, and shall not permit any member of the Parent Group to make, any claim or demand, or commence any Action asserting any claim or demand, including any claim of contribution or any indemnification, against Spinco or any member of the Spinco Group, or any other Person released pursuant to Section 5.1(b), with respect to any Liabilities released pursuant to Section 5.1(b).</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 It is the intent of each of Parent and Spinco, by virtue of the provisions of this Section 5.1, to provide for a full and complete release and discharge of all Liabilities existing or arising from all acts and events occurring or failing to occur or alleged to have occurred or to have failed to occur and all conditions existing or alleged to have existed prior to the Distribution Time, between or among Spinco or any member of the Spinco Group, on the one hand, and Parent or any member of the Parent Group, on the other hand, except as expressly set forth in Section 5.1(c). From and after the Distribution Time, each Party shall cause each member of its respective Group to execute and deliver releases reflecting such provisions at the request of the other Party.</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VI</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INDEMNIFICATION, GUARANTEES AND LITIGATION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6.1 </w:t>
      </w:r>
      <w:r>
        <w:rPr>
          <w:rFonts w:ascii="Times New Roman;serif" w:hAnsi="Times New Roman;serif"/>
          <w:b w:val="false"/>
          <w:color w:val="000000"/>
          <w:sz w:val="20"/>
          <w:u w:val="single"/>
        </w:rPr>
        <w:t>General Indemnification by Spinco</w:t>
      </w:r>
      <w:r>
        <w:rPr>
          <w:rFonts w:ascii="Times New Roman;serif" w:hAnsi="Times New Roman;serif"/>
          <w:b w:val="false"/>
          <w:color w:val="000000"/>
          <w:sz w:val="20"/>
        </w:rPr>
        <w:t>. Spinco shall indemnify, defend and hold harmless each member of the Parent Group and each of their respective directors, officers and employees, and each of the heirs, executors, successors and assigns of any of the foregoing (collectively, the “</w:t>
      </w:r>
      <w:r>
        <w:rPr>
          <w:rFonts w:ascii="Times New Roman;serif" w:hAnsi="Times New Roman;serif"/>
          <w:b w:val="false"/>
          <w:color w:val="000000"/>
          <w:sz w:val="20"/>
          <w:u w:val="single"/>
        </w:rPr>
        <w:t>Parent Indemnified Parties</w:t>
      </w:r>
      <w:r>
        <w:rPr>
          <w:color w:val="000000"/>
        </w:rPr>
        <w:t>”</w:t>
      </w:r>
      <w:r>
        <w:rPr>
          <w:rFonts w:ascii="Times New Roman;serif" w:hAnsi="Times New Roman;serif"/>
          <w:b w:val="false"/>
          <w:color w:val="000000"/>
          <w:sz w:val="20"/>
        </w:rPr>
        <w:t>), from and against any and all Liabilities of the Parent Indemnified Parties relating to, arising out of or resulting from any of the following items (without duplication) (collectively, the “</w:t>
      </w:r>
      <w:r>
        <w:rPr>
          <w:rFonts w:ascii="Times New Roman;serif" w:hAnsi="Times New Roman;serif"/>
          <w:b w:val="false"/>
          <w:color w:val="000000"/>
          <w:sz w:val="20"/>
          <w:u w:val="single"/>
        </w:rPr>
        <w:t>Spinco Indemnification Obligations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any Spinco Liability;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the failure of Spinco or any other member of the Spinco Group or any other Person to pay, perform or otherwise promptly discharge any Spinco Liabilities, whether prior to, at or after the Distribution Time;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 any breach by any member of the Spinco Group of this Agreement or any of the other Transaction Documents after the Distribution Time (other than any Transaction Document that expressly contains indemnification provisions, in which case breaches of any such Transaction Document shall be subject to the indemnification provisions contained in such Transaction Document and not those in this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(d) any Liabilities arising out of claims made by the securityholders or lenders of a Party or any of their Affiliates to the extent relating to the Spinco Financing.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6.2 </w:t>
      </w:r>
      <w:r>
        <w:rPr>
          <w:rFonts w:ascii="Times New Roman;serif" w:hAnsi="Times New Roman;serif"/>
          <w:b w:val="false"/>
          <w:color w:val="000000"/>
          <w:sz w:val="20"/>
          <w:u w:val="single"/>
        </w:rPr>
        <w:t>General Indemnification by Parent</w:t>
      </w:r>
      <w:r>
        <w:rPr>
          <w:rFonts w:ascii="Times New Roman;serif" w:hAnsi="Times New Roman;serif"/>
          <w:b w:val="false"/>
          <w:color w:val="000000"/>
          <w:sz w:val="20"/>
        </w:rPr>
        <w:t>. Parent shall indemnify, defend and hold harmless each member of the Spinco Group and each of their respective directors, officers and employees, and each of the heirs, executors, successors and assigns of any of the foregoing (collectively, the “</w:t>
      </w:r>
      <w:r>
        <w:rPr>
          <w:rFonts w:ascii="Times New Roman;serif" w:hAnsi="Times New Roman;serif"/>
          <w:b w:val="false"/>
          <w:color w:val="000000"/>
          <w:sz w:val="20"/>
          <w:u w:val="single"/>
        </w:rPr>
        <w:t>Spinco Indemnified Parties</w:t>
      </w:r>
      <w:r>
        <w:rPr>
          <w:color w:val="000000"/>
        </w:rPr>
        <w:t>”</w:t>
      </w:r>
      <w:r>
        <w:rPr>
          <w:rFonts w:ascii="Times New Roman;serif" w:hAnsi="Times New Roman;serif"/>
          <w:b w:val="false"/>
          <w:color w:val="000000"/>
          <w:sz w:val="20"/>
        </w:rPr>
        <w:t>), from and against any and all Liabilities of the Spinco Indemnified Parties relating to, arising out of or resulting from any of the following items (without duplication):</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any Excluded Liability;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the failure of Parent or any other member of the Parent Group or any other Person to pay, perform or otherwise promptly discharge any Excluded Liabilities, whether prior to, at or after the Distribution Time;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 any breach by any member of the Parent Group of this Agreement or any of the other Transaction Documents after the Distribution Time (other than any Transaction Document that expressly contains indemnification provisions, which shall be subject to the indemnification provisions contained in such document or agreement and not this Agreement);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(d) any Liabilities arising out of claims made by the securityholders or lenders of a Party or any of their Affiliates to the extent related to the use of information relating to the Parent Business and provided by Parent in connection with the Spinco Financing; and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 any Liabilities relating to, arising out of or resulting from the matters set forth on Schedule 6.2.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6.3 </w:t>
      </w:r>
      <w:r>
        <w:rPr>
          <w:rFonts w:ascii="Times New Roman;serif" w:hAnsi="Times New Roman;serif"/>
          <w:b w:val="false"/>
          <w:color w:val="000000"/>
          <w:sz w:val="20"/>
          <w:u w:val="single"/>
        </w:rPr>
        <w:t>Contribution</w:t>
      </w:r>
      <w:r>
        <w:rPr>
          <w:rFonts w:ascii="Times New Roman;serif" w:hAnsi="Times New Roman;serif"/>
          <w:b w:val="false"/>
          <w:color w:val="000000"/>
          <w:sz w:val="20"/>
        </w:rPr>
        <w:t>. If the indemnification otherwise provided for in Section 6.1 or Section 6.2 with respect to Liabilities incurred under any securities Laws, is as a matter of applicable Law unavailable to or insufficient to hold harmless an Indemnified Party in respect of such Liabilities for which they would otherwise be indemnified hereunder, then the Indemnifying Party shall contribute to the amount paid or payable by the Indemnified Party in respect of such non-indemnified Liabilities in proportion to the relative fault and benefit of the Indemnifying Party and the Indemnified Party.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6.4 </w:t>
      </w:r>
      <w:r>
        <w:rPr>
          <w:rFonts w:ascii="Times New Roman;serif" w:hAnsi="Times New Roman;serif"/>
          <w:b w:val="false"/>
          <w:color w:val="000000"/>
          <w:sz w:val="20"/>
          <w:u w:val="single"/>
        </w:rPr>
        <w:t>Indemnification Obligations Net of Insurance Proceeds and Other Amounts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Any Liability subject to indemnification or contribution pursuant to this Article VI will be net of Insurance Proceeds that actually reduce the amount of the Liability. Accordingly, the amount that Parent or Spinco, as applicable (an “</w:t>
      </w:r>
      <w:r>
        <w:rPr>
          <w:rFonts w:ascii="Times New Roman;serif" w:hAnsi="Times New Roman;serif"/>
          <w:b w:val="false"/>
          <w:color w:val="000000"/>
          <w:sz w:val="20"/>
          <w:u w:val="single"/>
        </w:rPr>
        <w:t>Indemnifying Party</w:t>
      </w:r>
      <w:r>
        <w:rPr>
          <w:color w:val="000000"/>
        </w:rPr>
        <w:t>”</w:t>
      </w:r>
      <w:r>
        <w:rPr>
          <w:rFonts w:ascii="Times New Roman;serif" w:hAnsi="Times New Roman;serif"/>
          <w:b w:val="false"/>
          <w:color w:val="000000"/>
          <w:sz w:val="20"/>
        </w:rPr>
        <w:t>), is required to pay to any Person entitled to indemnification or contribution under this Article VI (an “</w:t>
      </w:r>
      <w:r>
        <w:rPr>
          <w:rFonts w:ascii="Times New Roman;serif" w:hAnsi="Times New Roman;serif"/>
          <w:b w:val="false"/>
          <w:color w:val="000000"/>
          <w:sz w:val="20"/>
          <w:u w:val="single"/>
        </w:rPr>
        <w:t>Indemnified Party</w:t>
      </w:r>
      <w:r>
        <w:rPr>
          <w:color w:val="000000"/>
        </w:rPr>
        <w:t>”</w:t>
      </w:r>
      <w:r>
        <w:rPr>
          <w:rFonts w:ascii="Times New Roman;serif" w:hAnsi="Times New Roman;serif"/>
          <w:b w:val="false"/>
          <w:color w:val="000000"/>
          <w:sz w:val="20"/>
        </w:rPr>
        <w:t>) will be reduced by any Insurance Proceeds theretofore actually recovered by or on behalf of the Indemnified Party in respect of the related Liability. If an Indemnified Party receives a payment (an “</w:t>
      </w:r>
      <w:r>
        <w:rPr>
          <w:rFonts w:ascii="Times New Roman;serif" w:hAnsi="Times New Roman;serif"/>
          <w:b w:val="false"/>
          <w:color w:val="000000"/>
          <w:sz w:val="20"/>
          <w:u w:val="single"/>
        </w:rPr>
        <w:t>Indemnity Payment</w:t>
      </w:r>
      <w:r>
        <w:rPr>
          <w:color w:val="000000"/>
        </w:rPr>
        <w:t>”</w:t>
      </w:r>
      <w:r>
        <w:rPr>
          <w:rFonts w:ascii="Times New Roman;serif" w:hAnsi="Times New Roman;serif"/>
          <w:b w:val="false"/>
          <w:color w:val="000000"/>
          <w:sz w:val="20"/>
        </w:rPr>
        <w:t>) required by this Agreement from an Indemnifying Party in respect of any Liability and subsequently receives Insurance Proceeds in respect of such Liability, then the Indemnified Party will pay to the Indemnifying Party an amount equal to such Insurance Proceeds but not exceeding the amount of the Indemnity Payment paid by the Indemnifying Party in respect of such Liability.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An insurer who would otherwise be obligated to pay any claim shall not be relieved of the responsibility with respect thereto or have any subrogation rights with respect thereto solely by virtue of the indemnification provisions of this Agreement. The Indemnified Party shall use its commercially reasonable efforts to seek to collect or recover any third-party Insurance Proceeds or other indemnification, contribution or similar payments to which the Indemnified Party is entitled in connection with any Liability for which the Indemnified Party seeks indemnification pursuant to this Article VI; provided that the Indemnified Party’s ability or inability to collect or recover any such Insurance Proceeds shall not limit the Indemnifying Party’s obligations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The amount of any Indemnity Payment by an Indemnified Party under this Agreement (i) shall be reduced to reflect any actual Tax savings or insurance proceeds received by any Indemnified Party that result from the Liability that gave rise to such Indemnity Payment and (ii) shall be increased by an amount equal to any Tax cost incurred by any Indemnified Party that results from receipt of payments under this Article VI.</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6.5 </w:t>
      </w:r>
      <w:r>
        <w:rPr>
          <w:rFonts w:ascii="Times New Roman;serif" w:hAnsi="Times New Roman;serif"/>
          <w:b w:val="false"/>
          <w:color w:val="000000"/>
          <w:sz w:val="20"/>
          <w:u w:val="single"/>
        </w:rPr>
        <w:t>Certain Matters Relating to Indemnification of Third-Party Claims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rPr>
        <w:t xml:space="preserve">Notice of a Third-Party Claim. </w:t>
      </w:r>
      <w:r>
        <w:rPr>
          <w:rFonts w:ascii="Times New Roman;serif" w:hAnsi="Times New Roman;serif"/>
          <w:b w:val="false"/>
          <w:color w:val="000000"/>
          <w:sz w:val="20"/>
        </w:rPr>
        <w:t>If an Indemnified Party receives written notice that a Person that is not a member of the Parent Group or the Spinco Group has asserted any claim or commenced any Action (collectively, a “</w:t>
      </w:r>
      <w:r>
        <w:rPr>
          <w:rFonts w:ascii="Times New Roman;serif" w:hAnsi="Times New Roman;serif"/>
          <w:b w:val="false"/>
          <w:color w:val="000000"/>
          <w:sz w:val="20"/>
          <w:u w:val="single"/>
        </w:rPr>
        <w:t>Third-Party Claim</w:t>
      </w:r>
      <w:r>
        <w:rPr>
          <w:color w:val="000000"/>
        </w:rPr>
        <w:t>”</w:t>
      </w:r>
      <w:r>
        <w:rPr>
          <w:rFonts w:ascii="Times New Roman;serif" w:hAnsi="Times New Roman;serif"/>
          <w:b w:val="false"/>
          <w:color w:val="000000"/>
          <w:sz w:val="20"/>
        </w:rPr>
        <w:t>) that may implicate an Indemnifying Party’s obligation to indemnify pursuant to Section 6.1 or Section 6.2, or any other section of this Agreement or any other Transaction Document (other than any Transaction Document that expressly contains indemnification provisions, in which case such Transaction Documents shall be subject to the indemnification provisions contained in such document or agreement and not this Agreement), the Indemnified Party shall provide the Indemnifying Party written notice thereof as promptly as practicable (and no later than thirty (30) days) after becoming aware of the Third-Party Claim. Such notice shall describe the Third-Party Claim in reasonable detail and include copies of all notices and documents (including court papers) received by the Indemnified Party relating to the Third-Party Claim. Notwithstanding the foregoing, the failure of an Indemnified Party to provide notice in accordance with this Section 6.6(a) shall not relieve an Indemnifying Party of its indemnification obligations under this Agreement, except to the extent to which the Indemnifying Party is actually and materially prejudiced by the Indemnified Party’s failure to provide notice in accordance with this Section 6.6(a).</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rPr>
        <w:t xml:space="preserve">Subrogation. </w:t>
      </w:r>
      <w:r>
        <w:rPr>
          <w:rFonts w:ascii="Times New Roman;serif" w:hAnsi="Times New Roman;serif"/>
          <w:b w:val="false"/>
          <w:color w:val="000000"/>
          <w:sz w:val="20"/>
        </w:rPr>
        <w:t>To the extent that an indemnification or contribution payment is made by or on behalf of any Indemnifying Party to any Indemnified Party in connection with any Third-Party Claim, such Indemnifying Party shall be subrogated to and shall stand in the place of such Indemnified Party as to any right, defense or claim that such Indemnified Party may have relating to such Third-Party Claim. Subject to Section 6.10, such Indemnified Party shall cooperate with such Indemnifying Party in a reasonable manner, and at the cost and expense of such Indemnifying Party, in prosecuting any subrogated right, defense or claim.</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6.6 </w:t>
      </w:r>
      <w:r>
        <w:rPr>
          <w:rFonts w:ascii="Times New Roman;serif" w:hAnsi="Times New Roman;serif"/>
          <w:b w:val="false"/>
          <w:color w:val="000000"/>
          <w:sz w:val="20"/>
          <w:u w:val="single"/>
        </w:rPr>
        <w:t>Additional Matters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Indemnification or contribution payments in respect of any Liabilities for which an Indemnified Party is entitled to indemnification or contribution under this Article VI shall be paid by the Indemnifying Party to the Indemnified Party as such Liabilities are incurred upon demand by the Indemnified Party, including reasonably satisfactory documentation setting forth the basis for the amount of such payment (including where reasonably practicable an itemization of costs and expenses, attorney invoices and supporting documentation from other vendors in the form reviewed by the Indemnified Party, and any applicable orders, judgments or settlement agreements). The indemnity and contribution agreements contained in this Article VI shall remain operative and in full force and effect, regardless of (i) any investigation made by or on behalf of any Indemnified Party or (ii) the knowledge by the Indemnified Party of Liabilities for which it might be entitled to indemnification or contribution under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(b) Any claim for indemnification under this Article VI other than in respect of a Third-Party Claim shall be asserted by written notice given by the Indemnified Party to the Indemnifying Party;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failure to so notify the Indemnifying Party will not relieve the Indemnifying Party of its obligations hereunder except to the extent that the Indemnifying Party has been actually and materially prejudiced. Such Indemnifying Party shall have thirty (30) days after the receipt of such notice to respond thereto. If such Indemnifying Party does not respond within such thirty (30)-day period or rejects such claim in whole or in part, then such Indemnified Party shall be free to pursue such remedies as may be available to such Indemnified Party pursuant to this Agreement and the other Transaction Documents (as applicable) (other than any Transaction Document that expressly contains indemnification provisions, in which case such Transaction Documents shall be subject to the indemnification provisions contained in such document or agreement and not this Agreement), without prejudice to its continuing rights to pursue indemnification or contribution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The provisions of this Article VI (other than this Section 6.6(c)) shall not apply with respect to Taxes or Tax matters (it being understood and agreed that Taxes and Tax matters, including the control of Tax-related proceedings, shall be governed by the Tax Disaffiliation Agreement).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Each Indemnified Party will (and will cause its Affiliates to) use commercially reasonable efforts to pursue all legal rights and remedies available to mitigate and minimize any Losses subject to indemnification pursuant to this Article VI promptly upon becoming aware of any event or circumstance that could reasonably be expected to constitute or give rise to such Losses.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(e) If a potential indemnification claim is addressed by the indemnification provisions of another Transaction Document, then the claim shall be made under such document or agreement and not under this Agreement. In no event shall any Party be entitled to double recovery for the same Losses from the indemnification provisions of this Agreement and any other Transaction Document.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6.7 </w:t>
      </w:r>
      <w:r>
        <w:rPr>
          <w:rFonts w:ascii="Times New Roman;serif" w:hAnsi="Times New Roman;serif"/>
          <w:b w:val="false"/>
          <w:color w:val="000000"/>
          <w:sz w:val="20"/>
          <w:u w:val="single"/>
        </w:rPr>
        <w:t>Exclusive Remedy</w:t>
      </w:r>
      <w:r>
        <w:rPr>
          <w:rFonts w:ascii="Times New Roman;serif" w:hAnsi="Times New Roman;serif"/>
          <w:b w:val="false"/>
          <w:color w:val="000000"/>
          <w:sz w:val="20"/>
        </w:rPr>
        <w:t>. The indemnification provisions of this Article VI shall be the sole and exclusive remedy of an Indemnified Party for any monetary or compensatory damages or losses for any breach of any representation, warranty, covenant or other claim arising out of or relating to this Agreement or any other Transaction Document or the transactions contemplated hereby or thereby (except for any express indemnification, damages or remedy provisions contained in any Transaction Document). In furtherance of the foregoing, each of the Parties hereby waives, for itself and its respective Affiliates, successors and assigns, to the fullest extent permitted under applicable Law, any and all rights, claims or remedies such Person may have against the other Party and its Affiliates, successors and assigns for any monetary or compensatory damages or losses for any breach of any representation, warranty, covenant or other claim arising out of or relating to this Agreement or any other Transaction Document or the transactions contemplated hereby or thereby, other than the right to seek indemnity pursuant to this Article VI or any express indemnification, damages or remedy provisions contained in any Transaction Document. The foregoing does not affect (a) a Party’s right to seek specific performance under this Agreement as provided in Section 9.8 or to seek resolution of any disputes regarding indemnification hereunder as provided in Article VIII, (b) a Party’s right to exercise all of their rights and seek all damages available to them under Law in the event of claims or causes of action arising from fraud or (c) any other Transaction Document that expressly contains indemnification, damages or remedy provisions, which shall be subject to the indemnification provisions contained therein and not this Article VI and (d) the matters covered by Section 2.7 and Section 2.12.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6.8 </w:t>
      </w:r>
      <w:r>
        <w:rPr>
          <w:rFonts w:ascii="Times New Roman;serif" w:hAnsi="Times New Roman;serif"/>
          <w:b w:val="false"/>
          <w:color w:val="000000"/>
          <w:sz w:val="20"/>
          <w:u w:val="single"/>
        </w:rPr>
        <w:t>Survival of Indemnities</w:t>
      </w:r>
      <w:r>
        <w:rPr>
          <w:rFonts w:ascii="Times New Roman;serif" w:hAnsi="Times New Roman;serif"/>
          <w:b w:val="false"/>
          <w:color w:val="000000"/>
          <w:sz w:val="20"/>
        </w:rPr>
        <w:t>. The rights and obligations of each of Parent and Spinco and their respective Indemnified Parties under this Article VI shall survive the sale or other transfer by any Party of any Assets or businesses or the assignment by it of any Liabilities, or the change of form or change of control of any Party.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6.9 </w:t>
      </w:r>
      <w:r>
        <w:rPr>
          <w:rFonts w:ascii="Times New Roman;serif" w:hAnsi="Times New Roman;serif"/>
          <w:b w:val="false"/>
          <w:color w:val="000000"/>
          <w:sz w:val="20"/>
          <w:u w:val="single"/>
        </w:rPr>
        <w:t>Management of Actions</w:t>
      </w:r>
      <w:r>
        <w:rPr>
          <w:rFonts w:ascii="Times New Roman;serif" w:hAnsi="Times New Roman;serif"/>
          <w:b w:val="false"/>
          <w:color w:val="000000"/>
          <w:sz w:val="20"/>
        </w:rPr>
        <w:t>. This Section 6.9 shall govern the direction of pending and future Actions in which members of the Spinco Group or the Parent Group are named as parties, but shall not alter the allocation of Liabilities set forth in Article II unless expressly set forth in this Section 6.9.</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rPr>
        <w:t xml:space="preserve">Control of Defense. </w:t>
      </w:r>
      <w:r>
        <w:rPr>
          <w:rFonts w:ascii="Times New Roman;serif" w:hAnsi="Times New Roman;serif"/>
          <w:b w:val="false"/>
          <w:color w:val="000000"/>
          <w:sz w:val="20"/>
        </w:rPr>
        <w:t xml:space="preserve">An Indemnifying Party may elect (but shall not be required) to defend (and seek to settle or compromise), at such Indemnifying Party’s own expense and by such Indemnifying Party’s own counsel (which counsel shall be reasonably satisfactory to the Indemnified Party), any Third-Party Claim;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Indemnifying Party shall not be entitled to defend such Third-Party Claim and shall pay the reasonable and documented out-of-pocket fees and expenses of one separate counsel for each Indemnified Party if the claim for indemnification relates to or arises in connection with any criminal action, indictment or allegation or if such Third-Party Claim seeks an injunction or equitable relief against any Indemnified Party (and not any Indemnifying Party or any of its Affiliates). Within thirty (30) days after the receipt of notice from an Indemnified Party in accordance with Section 6.5(a) (or sooner, if the nature of such Third-Party Claim so requires), the Indemnifying Party shall notify the Indemnified Party of its election whether the Indemnifying Party will assume responsibility for defending such Third-Party Claim, which election shall specify any reservations or exceptions to its defense. After notice from an Indemnifying Party to the Indemnified Party of its election to assume the defense of a Third-Party Claim, such Indemnified Party shall have the right to employ separate counsel and to participate in (but not control) the defense,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compromise, or settlement thereof, but the fees and expenses of such counsel shall be the expense of such Indemnified Party;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in the event that the Indemnifying Party has elected to assume the defense of the Third-Party Claim but has specified, and continues to assert, any reservations or exceptions in such notice, then, in such case, the reasonable and documented out-of-pocket fees and expenses of one separate counsel for all Indemnified Parties shall be borne by the Indemnifying Party;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that the Indemnifying Party will pay the reasonable and documented out-of-pocket fees and expenses of such separate counsel if, based on the reasonable opinion of legal counsel to the Indemnified Party, a conflict or potential conflict of interest exists between the Indemnifying Party and the Indemnified Party which makes representation of both parties inappropriate under applicable standards of professional conduct.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rPr>
        <w:t xml:space="preserve">No Assumption of Defense. </w:t>
      </w:r>
      <w:r>
        <w:rPr>
          <w:rFonts w:ascii="Times New Roman;serif" w:hAnsi="Times New Roman;serif"/>
          <w:b w:val="false"/>
          <w:color w:val="000000"/>
          <w:sz w:val="20"/>
        </w:rPr>
        <w:t>If an Indemnifying Party elects not to assume responsibility for defending a Third-Party Claim, or fails to notify an Indemnified Party of its election as provided in Section 6.9(a), then the applicable Indemnified Party may defend such Third-Party Claim at the cost and expense of the Indemnifying Party to the extent indemnification is available under the terms of this Agreement. If an Indemnifying Party elects not to assume responsibility for defending a Third-Party Claim, or fails to notify an Indemnified Party of its election as provided in Section 6.9(a), then, it shall not be a defense to any obligation of the Indemnifying Party to pay any amount in respect of such Third-Party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subject to Section 6.10, that such Third-Party Claim was incurred by reason of a settlement rather than by a judgment or other determination of liability.</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rPr>
        <w:t xml:space="preserve">Delegation of Rights of Recovery. </w:t>
      </w:r>
      <w:r>
        <w:rPr>
          <w:rFonts w:ascii="Times New Roman;serif" w:hAnsi="Times New Roman;serif"/>
          <w:b w:val="false"/>
          <w:color w:val="000000"/>
          <w:sz w:val="20"/>
        </w:rPr>
        <w:t>To the maximum extent permitted by applicable Law, the rights to recovery of each Party’s Subsidiaries in respect of any past, present or future Action are hereby delegated to such Party.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6.10 </w:t>
      </w:r>
      <w:r>
        <w:rPr>
          <w:rFonts w:ascii="Times New Roman;serif" w:hAnsi="Times New Roman;serif"/>
          <w:b w:val="false"/>
          <w:color w:val="000000"/>
          <w:sz w:val="20"/>
          <w:u w:val="single"/>
        </w:rPr>
        <w:t>Settlement of Actions</w:t>
      </w:r>
      <w:r>
        <w:rPr>
          <w:rFonts w:ascii="Times New Roman;serif" w:hAnsi="Times New Roman;serif"/>
          <w:b w:val="false"/>
          <w:color w:val="000000"/>
          <w:sz w:val="20"/>
        </w:rPr>
        <w:t>. No Party managing an Action pursuant to Section 6.9 shall settle or compromise such Action without the prior written consent of the other Party (not to be unreasonably withheld, conditioned or delayed), except that if the Party managing the Action is indemnifying the other Party, such managing Party may nevertheless settle such Action without such consent, unless such settlement or compromise would (a) result in any non-monetary remedy or relief being imposed upon any member of the other Party’s Group or any of its Affiliates or (b) contain or involve an admission or statement providing for or acknowledging any liability or criminal wrongdoing on behalf of any member of the other Party’s Group or any of its Affiliates. No settlement or compromise in respect of any Action shall be made or consented to by any Party not managing an Action pursuant to Section 6.9 without the express written consent of the Party managing such Action.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6.11 </w:t>
      </w:r>
      <w:r>
        <w:rPr>
          <w:rFonts w:ascii="Times New Roman;serif" w:hAnsi="Times New Roman;serif"/>
          <w:b w:val="false"/>
          <w:color w:val="000000"/>
          <w:sz w:val="20"/>
          <w:u w:val="single"/>
        </w:rPr>
        <w:t>Limitation on Certain Damages</w:t>
      </w:r>
      <w:r>
        <w:rPr>
          <w:rFonts w:ascii="Times New Roman;serif" w:hAnsi="Times New Roman;serif"/>
          <w:b w:val="false"/>
          <w:color w:val="000000"/>
          <w:sz w:val="20"/>
        </w:rPr>
        <w:t xml:space="preserve">. Notwithstanding anything to the contrary in this Agreement, and except to the extent such Losses are found by a court of competent jurisdiction to be owed to an unaffiliated third party in connection with a Third-Party Claim, no Party or its Affiliates shall be liable under this Agreement or any other Transaction Document (except as expressly provided in any such other Transaction Document) to the other Party for any Losses that are punitive, incidental, consequential, special, indirect, exemplary, remote, speculative or similar damages (including loss of future profits, revenue or income, loss of business reputation or opportunity, diminution in value and any damages based on any type of multiple), whether or not advised of the possibility of such damages and whether or not such damages are reasonably foreseeable; </w:t>
      </w:r>
      <w:r>
        <w:rPr>
          <w:rFonts w:ascii="Times New Roman;serif" w:hAnsi="Times New Roman;serif"/>
          <w:b w:val="false"/>
          <w:color w:val="000000"/>
          <w:sz w:val="20"/>
          <w:u w:val="single"/>
        </w:rPr>
        <w:t>provided</w:t>
      </w:r>
      <w:r>
        <w:rPr>
          <w:rFonts w:ascii="Times New Roman;serif" w:hAnsi="Times New Roman;serif"/>
          <w:b w:val="false"/>
          <w:color w:val="000000"/>
          <w:sz w:val="20"/>
        </w:rPr>
        <w:t>, that, nothing in this Section 6.11 shall limit any Party’s or its Affiliates’ remedies with respect to claims for fraud or intentional or willful misrepresentation.</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VII</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OTHER AGREEMENTS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7.1 </w:t>
      </w:r>
      <w:r>
        <w:rPr>
          <w:rFonts w:ascii="Times New Roman;serif" w:hAnsi="Times New Roman;serif"/>
          <w:b w:val="false"/>
          <w:color w:val="000000"/>
          <w:sz w:val="20"/>
          <w:u w:val="single"/>
        </w:rPr>
        <w:t>Further Assurances</w:t>
      </w:r>
      <w:r>
        <w:rPr>
          <w:rFonts w:ascii="Times New Roman;serif" w:hAnsi="Times New Roman;serif"/>
          <w:b w:val="false"/>
          <w:color w:val="000000"/>
          <w:sz w:val="20"/>
        </w:rPr>
        <w:t>. Except as specifically provided for elsewhere in this Agreement, each of the Parties will cooperate with each other and use (and will cause their respective Subsidiaries to use) commercially reasonable efforts, prior to, at and following the Distribution Time, to take, or to cause to be taken, all actions, and to do, or to cause to be done, all things, reasonably necessary on its part under applicable Law or contractual obligations to consummate and make effective the transactions contemplated by this Agreement and the other Transaction Documents, including, with respect to any Intellectual Property required to be transferred pursuant to this Agreement or any other Transaction Document, to execute, deliver and record with any relevant Governmental Authorities an Intellectual Property assignment agreement or such other documents or take such other actions as may be reasonably necessary to evidence, effect or record such transfers in any applicable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7.2 </w:t>
      </w:r>
      <w:r>
        <w:rPr>
          <w:rFonts w:ascii="Times New Roman;serif" w:hAnsi="Times New Roman;serif"/>
          <w:b w:val="false"/>
          <w:color w:val="000000"/>
          <w:sz w:val="20"/>
          <w:u w:val="single"/>
        </w:rPr>
        <w:t>Confidentiality</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(a) From and after the Distribution Time, subject to Section 7.2(c) and except as contemplated by this Agreement, any other Transaction Document or any Surviving Intercompany Contract, Parent shall not, and shall cause its Subsidiaries and their respective officers, directors, employees, agents and representatives, including attorneys, advisors and other representatives (collectively, with respect to any Person, “</w:t>
      </w:r>
      <w:r>
        <w:rPr>
          <w:rFonts w:ascii="Times New Roman;serif" w:hAnsi="Times New Roman;serif"/>
          <w:b w:val="false"/>
          <w:color w:val="000000"/>
          <w:sz w:val="20"/>
          <w:u w:val="single"/>
        </w:rPr>
        <w:t>Representatives</w:t>
      </w:r>
      <w:r>
        <w:rPr>
          <w:color w:val="000000"/>
        </w:rPr>
        <w:t>”</w:t>
      </w:r>
      <w:r>
        <w:rPr>
          <w:rFonts w:ascii="Times New Roman;serif" w:hAnsi="Times New Roman;serif"/>
          <w:b w:val="false"/>
          <w:color w:val="000000"/>
          <w:sz w:val="20"/>
        </w:rPr>
        <w:t>), not to, directly or indirectly, disclose to any Person, other than Representatives of Parent or its Subsidiaries who reasonably need to know such information in providing services to any member of the Parent Group, or use or otherwise exploit for its own benefit or for the benefit of any third Person, any Spinco Confidential Information. If any disclosures are made in connection with providing services to any member of the Parent Group under this Agreement or any other Transaction Document, then the Spinco Confidential Information so disclosed shall be used only as required to perform the services. Parent shall use the same degree of care to prevent the unauthorized use or disclosure of the Spinco Confidential Information by any of its Representatives as it currently uses for its own confidential information, but in no event less than a reasonable standard of care. For purposes of this Section 7.2(a), any Books and Records to the extent relating to the Spinco Business, furnished to or otherwise in the possession of any member of the Parent Group as a result of or in connection with the Reorganization or Distribution or the performance of any Transaction Document, irrespective of the form of communication, and the portion of any notes, analyses, compilations, forecasts, data, translations, studies, memoranda or other documents prepared by Parent, any member of the Parent Group or their respective officers, directors and Affiliates, to the extent that they contain or otherwise reflect such Books and Records, is hereinafter referred to as “</w:t>
      </w:r>
      <w:r>
        <w:rPr>
          <w:rFonts w:ascii="Times New Roman;serif" w:hAnsi="Times New Roman;serif"/>
          <w:b w:val="false"/>
          <w:color w:val="000000"/>
          <w:sz w:val="20"/>
          <w:u w:val="single"/>
        </w:rPr>
        <w:t>Spinco Confidential Information</w:t>
      </w:r>
      <w:r>
        <w:rPr>
          <w:rFonts w:ascii="Times New Roman;serif" w:hAnsi="Times New Roman;serif"/>
          <w:b w:val="false"/>
          <w:color w:val="000000"/>
          <w:sz w:val="20"/>
        </w:rPr>
        <w:t xml:space="preserve">.” Spinco Confidential Information does not include, and there shall be no obligation under this Section 7.2 with respect to, Books and Records or other information that (i) is or becomes generally available to the public, other than as a result of a disclosure by any member of the Parent Group not otherwise permissible under this Agreement, (ii) becomes available to Parent after the Distribution Time from a source other than Spinco or its Affiliates;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such source was not known by Parent to be bound by a contractual, legal or fiduciary obligation of confidentiality to Spinco or any member of the Spinco Group with respect to such Books and Records or other information, or (iii) is developed independently by a member of the Parent Group without use or reference to the Spinco Confidential Information.</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(b) From and after the Distribution Time, subject to Section 7.2(c) and except as contemplated by this Agreement, any other Transaction Document or any Surviving Intercompany Contract, Spinco shall not, and shall cause its Affiliates and their respective Representatives not to, directly or indirectly, disclose to any Person, other than Representatives of Spinco or its Affiliates who reasonably need to know such information in providing services to any member of the Spinco Group, or use or otherwise exploit for its own benefit or for the benefit of any third Person, any Parent Confidential Information. If any disclosures are made in connection with providing services to any member of the Spinco Group under this Agreement or any other Transaction Document, then Parent Confidential Information so disclosed shall be used only as required to perform the services. Spinco shall use the same degree of care to prevent the unauthorized use or disclosure of Parent Confidential Information by any of its Representatives as it currently uses for its own confidential information, but in no event less than a reasonable standard of care. For purposes of this Section 7.2(b), any Books and Records to the extent relating to the Parent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Business, furnished to or otherwise in the possession of any member of the Spinco Group as a result of or in connection with the Reorganization or Distribution or the performance of any Transaction Document, irrespective of the form of communication, and all notes, analyses, compilations, forecasts, data, translations, studies, memoranda or other documents prepared by Spinco, any member of the Spinco Group or their respective officers, directors and Affiliates, to the extent that they contain or otherwise reflect such Books and Records, is hereinafter referred to as “</w:t>
      </w:r>
      <w:r>
        <w:rPr>
          <w:rFonts w:ascii="Times New Roman;serif" w:hAnsi="Times New Roman;serif"/>
          <w:b w:val="false"/>
          <w:color w:val="000000"/>
          <w:sz w:val="20"/>
          <w:u w:val="single"/>
        </w:rPr>
        <w:t>Parent Confidential Information</w:t>
      </w:r>
      <w:r>
        <w:rPr>
          <w:rFonts w:ascii="Times New Roman;serif" w:hAnsi="Times New Roman;serif"/>
          <w:b w:val="false"/>
          <w:color w:val="000000"/>
          <w:sz w:val="20"/>
        </w:rPr>
        <w:t xml:space="preserve">.” Parent Confidential Information does not include, and there shall be no obligation under this Section 7.2 with respect to, Books and Records that (i) is or becomes generally available to the public, other than as a result of a disclosure by any member of the Spinco Group not otherwise permissible under this Agreement, (ii) becomes available to Spinco after the Distribution Time from a source other than Parent or its Affiliates;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such source was not known by Spinco to be bound by a contractual, legal or fiduciary obligation of confidentiality to Parent or any member of the Parent Group with respect to such Books and Records, or (iii) is developed independently by a member of the Spinco Group without use or reference to Parent Confidential Information.</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If a member of the Parent Group, on the one hand, or a member of the Spinco Group, on the other hand, is requested or required (by oral question, interrogatories, requests for information or documents, subpoena, civil investigative demand or similar process) by any Governmental Authority or applicable Law to disclose or provide any Spinco Confidential Information or Parent Confidential Information (other than with respect to any such Books and Records furnished pursuant to the provisions of Article IV), as applicable, then the Person receiving such request or demand shall use commercially reasonable efforts to provide the other Party with written notice of such request or demand as promptly as practicable so that such other Party shall have an opportunity to seek an appropriate protective order. The Party receiving such request or demand shall take, and cause its Representatives to take, at the requesting Party’s expense, all other reasonable steps necessary to obtain confidential treatment by the recipient. Subject to the foregoing, the Party that received such request or demand may thereafter disclose or provide any Spinco Confidential Information or Parent Confidential Information, as the case may be, to the extent required by such Governmental Authority or applicable Law (as so advised by counsel).</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(d) Notwithstanding anything in this Section 7.2, to the extent that the treatment, maintenance, use, non-use, disclosure or non-disclosure of any Spinco Confidential Information or Parent Confidential Information is expressly addressed in any Transaction Document or any Surviving Intercompany Contract, the applicable terms of such document or agreement will control in such situations. Each Party further acknowledges and agrees that, notwithstanding anything in this Section 7.2 to the contrary, (i) Representatives of Parent and its Subsidiaries may retain certain residual knowledge of the Spinco Confidential Information, and (ii) Representatives of Spinco and its Subsidiaries may retain certain residual knowledge of Parent Confidential Information, in each case that are or may be indistinguishable from generalized industry knowledge and, accordingly, each Party acknowledges and agrees that nothing herein shall prohibit any Party (or its Affiliates) from using or otherwise exploiting for its own benefit or for the benefit of any third Person such residual knowledge;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(1) such residual knowledge has been retained solely in the unaided memory of such Representative, as applicable (in each case, without intentional memorization) in intangible form and without use, copying or reference to any documented or tangible copies of Spinco Confidential Information or Parent Confidential Information, as applicable, (2) the foregoing will not be deemed to constitute a license under any Copyright or Patent, (3) the foregoing will not be deemed in any event to provide any rights under Intellectual Property of any third parties, and (4) other than as expressly set forth in any Transaction Document, any use of such residual knowledge is on an “as is, where is” basis, with all faults and all representations and warranties disclaimed and at the sole risk of such Representatives, Parent, Spinco and each Parties’ Affiliates,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7.3 </w:t>
      </w:r>
      <w:r>
        <w:rPr>
          <w:rFonts w:ascii="Times New Roman;serif" w:hAnsi="Times New Roman;serif"/>
          <w:b w:val="false"/>
          <w:color w:val="000000"/>
          <w:sz w:val="20"/>
          <w:u w:val="single"/>
        </w:rPr>
        <w:t>Insurance Matters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It is the intent of the Parties that claims for insurance coverage with respect to the Spinco Liabilities under insurance policies of Parent and its Subsidiaries written on a “claims made” basis (the “</w:t>
      </w:r>
      <w:r>
        <w:rPr>
          <w:rFonts w:ascii="Times New Roman;serif" w:hAnsi="Times New Roman;serif"/>
          <w:b w:val="false"/>
          <w:color w:val="000000"/>
          <w:sz w:val="20"/>
          <w:u w:val="single"/>
        </w:rPr>
        <w:t>Claims Made Policies</w:t>
      </w:r>
      <w:r>
        <w:rPr>
          <w:color w:val="000000"/>
        </w:rPr>
        <w:t>”</w:t>
      </w:r>
      <w:r>
        <w:rPr>
          <w:rFonts w:ascii="Times New Roman;serif" w:hAnsi="Times New Roman;serif"/>
          <w:b w:val="false"/>
          <w:color w:val="000000"/>
          <w:sz w:val="20"/>
        </w:rPr>
        <w:t xml:space="preserve">), which claims are reported to a third party insurer under such policies prior to the Distribution, shall be transferred to Spinco at or prior to the Distribution (i) to the extent of coverage under the applicable Claims Made Policies, (ii) pursuant to and to the extent permitted by the terms and conditions of the applicable Claims Made Policies, and (iii) except as otherwise provided by this Section 7.3. It is further the intent of the Parties that claims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for insurance coverage with respect to the Spinco Liabilities under insurance policies of Parent and its Subsidiaries written on an “occurrence” basis (the “</w:t>
      </w:r>
      <w:r>
        <w:rPr>
          <w:rFonts w:ascii="Times New Roman;serif" w:hAnsi="Times New Roman;serif"/>
          <w:b w:val="false"/>
          <w:color w:val="000000"/>
          <w:sz w:val="20"/>
          <w:u w:val="single"/>
        </w:rPr>
        <w:t>Occurrence Policies</w:t>
      </w:r>
      <w:r>
        <w:rPr>
          <w:color w:val="000000"/>
        </w:rPr>
        <w:t>”</w:t>
      </w:r>
      <w:r>
        <w:rPr>
          <w:rFonts w:ascii="Times New Roman;serif" w:hAnsi="Times New Roman;serif"/>
          <w:b w:val="false"/>
          <w:color w:val="000000"/>
          <w:sz w:val="20"/>
        </w:rPr>
        <w:t>, and together with the Claims Made Policies, the “</w:t>
      </w:r>
      <w:r>
        <w:rPr>
          <w:rFonts w:ascii="Times New Roman;serif" w:hAnsi="Times New Roman;serif"/>
          <w:b w:val="false"/>
          <w:color w:val="000000"/>
          <w:sz w:val="20"/>
          <w:u w:val="single"/>
        </w:rPr>
        <w:t>Liability Policies</w:t>
      </w:r>
      <w:r>
        <w:rPr>
          <w:color w:val="000000"/>
        </w:rPr>
        <w:t>”</w:t>
      </w:r>
      <w:r>
        <w:rPr>
          <w:rFonts w:ascii="Times New Roman;serif" w:hAnsi="Times New Roman;serif"/>
          <w:b w:val="false"/>
          <w:color w:val="000000"/>
          <w:sz w:val="20"/>
        </w:rPr>
        <w:t>), which claims are reported to a third party insurer under such policies prior to or after the Distribution, shall be transferred to Spinco at or after the Distribution, as applicable, (x) to the extent of coverage under the applicable Occurrence Policies, (y) pursuant to and to the extent permitted by the terms and conditions of the applicable Occurrence Policies, and (z) except as otherwise provided by this Section 7.3. Notwithstanding the foregoing, Spinco acknowledges that from and after the Distribution, the Parent Group shall cooperate with the Spinco Group (at the sole cost and expense of the Spinco Group) to pursue and settle such claims for insurance related to such transferred claims under Claims Made Policies or Occurrence Policies (the “</w:t>
      </w:r>
      <w:r>
        <w:rPr>
          <w:rFonts w:ascii="Times New Roman;serif" w:hAnsi="Times New Roman;serif"/>
          <w:b w:val="false"/>
          <w:color w:val="000000"/>
          <w:sz w:val="20"/>
          <w:u w:val="single"/>
        </w:rPr>
        <w:t>Transferred Coverage</w:t>
      </w:r>
      <w:r>
        <w:rPr>
          <w:color w:val="000000"/>
        </w:rPr>
        <w:t>”</w:t>
      </w:r>
      <w:r>
        <w:rPr>
          <w:rFonts w:ascii="Times New Roman;serif" w:hAnsi="Times New Roman;serif"/>
          <w:b w:val="false"/>
          <w:color w:val="000000"/>
          <w:sz w:val="20"/>
        </w:rPr>
        <w:t>) and Parent shall remit to Spinco or an Spinco Designee any payments received from insurers with respect to the Transferred Coverage. Notwithstanding the foregoing, following the Distribution Time (A) Parent and its Subsidiaries may, at any time, without Liability or obligation to the Spinco Group, amend, commute, terminate, extinguish liability under or otherwise modify any of its insurance policies (including any Liability Policies); provided that such amendment or termination is not done for the intended purpose of negating Spinco’s benefit under this Section 7.3, (B) any such insurance claim, and Spinco’s or its applicable Subsidiaries’ potential recovery with respect thereto, will be subject to, and Parent’s assistance in respect thereof shall be limited by, all of the terms and conditions of the applicable Liability Policy (including any coverage limits with respect thereto), (C) the Spinco Group shall pay any deductible, self-insurance retention, quota share, co-insurance, or any other cost with respect to the applicable Liability Policy when due or reasonably requested by Parent, (D) with respect to any fronting policy, policy issued by a captive insurance carrier or any arrangement under which Parent or any of its Subsidiaries is obligated to reimburse or indemnify the insurer, Parent shall remain responsible for, and shall reimburse and/or indemnify the Spinco Group for, any amounts payable in respect of claims relating to the Spinco Liabilities or otherwise relating to the Spinco Business, and (E) Parent shall engage counsel selected by Spinco and shall be entitled to be reimbursed by Spinco for all reasonable and documented out-of-pocket costs, expenses and fees (including attorneys’ fees) incurred by Parent in the defense of such matter to the extent not covered by the Liability Policy; provided that the Parent Group shall not settle, adjust or compromise any such claim without the prior written consent of Spinco (such consent not to be unreasonably withheld, conditioned or delayed), (F) the Spinco Group shall not settle, adjust or compromise any such claim without the prior written consent of Parent (such consent not to be unreasonably conditioned, withheld or delayed), and (G) “Transferred Coverage” shall not include any claims for insurance coverage under Liability Policies where the insurance policy or governing law would require insurer consent for such transfer and, absent such consent, the transfer would constitute a breach of the insurance policy. If any claim under or with respect to the Transferred Coverage that is made by the Spinco Group that is actually covered by an insurance policy relates to the same occurrence for which the Parent Group is being actually covered by an insurance company under any of the Liability Policies, and the limits under the applicable Liability Policy are not sufficient to fund the claim in its entirety, the Parent Group and the Spinco Group shall allocate among themselves the remaining limits of the applicable Liability Policy to be paid for defense or indemnity in conjunction with such claim, which allocation between the Parent Group and the Spinco Group shall be in proportion to the amounts of such covered claims.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This Agreement shall not be considered an attempted assignment of any policy of insurance or as a Contract of insurance and shall not be construed to waive any right or remedy of Parent or any of its Affiliates in respect of any insurance policy or any other Contract or policy of insurance. All Transferred Coverage shall be subject to the limitations set forth in Section 2.4 and this Section 7.3. Spinco acknowledges and agrees that neither Parent nor any of its Affiliates, nor any of their respective Representatives has made, or is making, any express or implied representation or warranty whatsoever with respect to the assignment or transfer of any Transferred Coverage.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7.4 </w:t>
      </w:r>
      <w:r>
        <w:rPr>
          <w:rFonts w:ascii="Times New Roman;serif" w:hAnsi="Times New Roman;serif"/>
          <w:b w:val="false"/>
          <w:color w:val="000000"/>
          <w:sz w:val="20"/>
          <w:u w:val="single"/>
        </w:rPr>
        <w:t>Separation Expenses</w:t>
      </w:r>
      <w:r>
        <w:rPr>
          <w:rFonts w:ascii="Times New Roman;serif" w:hAnsi="Times New Roman;serif"/>
          <w:b w:val="false"/>
          <w:color w:val="000000"/>
          <w:sz w:val="20"/>
        </w:rPr>
        <w:t>. Except as otherwise expressly set forth herein, in any other Transaction Document, all fees and expenses incurred by the Parties, including in connection with the Reorganization, the Contribution, the Distribution and the other transactions contemplated by this Agreement, shall be borne by the Party that has incurred such fees and expenses.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7.5 </w:t>
      </w:r>
      <w:r>
        <w:rPr>
          <w:rFonts w:ascii="Times New Roman;serif" w:hAnsi="Times New Roman;serif"/>
          <w:b w:val="false"/>
          <w:color w:val="000000"/>
          <w:sz w:val="20"/>
          <w:u w:val="single"/>
        </w:rPr>
        <w:t>Transaction Documents: Conflicting Agreements</w:t>
      </w:r>
      <w:r>
        <w:rPr>
          <w:rFonts w:ascii="Times New Roman;serif" w:hAnsi="Times New Roman;serif"/>
          <w:b w:val="false"/>
          <w:color w:val="000000"/>
          <w:sz w:val="20"/>
        </w:rPr>
        <w:t xml:space="preserve">. Effective on or prior to the Distribution Time, each of Parent and Spinco will, or will cause the applicable members of its Group, to execute and deliver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of the Transaction Documents to which it is a party. If and to the extent there is a conflict or inconsistency between (a) any provision of this Agreement and a provision in another Transaction Document (other than a Transfer Document), then the provision of such Transaction Document shall control in relation to a matter principally addressed by such Transaction Document and this Agreement shall control with respect to all other matters, (b) any provision of this Agreement and a provision of a Schedule, then the provision of such Schedule shall control in relation to a matter addressed by such Schedule and this Agreement shall control with respect to all other matters, and (c) any provision of this Agreement and a provision in a Transfer Document, then the provision of this Agreement shall control with respect to all matters.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VIII</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DISPUTE RESOLUTION PROCEDURES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8.1 </w:t>
      </w:r>
      <w:r>
        <w:rPr>
          <w:rFonts w:ascii="Times New Roman;serif" w:hAnsi="Times New Roman;serif"/>
          <w:b w:val="false"/>
          <w:color w:val="000000"/>
          <w:sz w:val="20"/>
          <w:u w:val="single"/>
        </w:rPr>
        <w:t>Disputes</w:t>
      </w:r>
      <w:r>
        <w:rPr>
          <w:rFonts w:ascii="Times New Roman;serif" w:hAnsi="Times New Roman;serif"/>
          <w:b w:val="false"/>
          <w:color w:val="000000"/>
          <w:sz w:val="20"/>
        </w:rPr>
        <w:t>. Except as otherwise specifically provided in any other Transaction Document and subject to Section 9.8, the procedures for discussion, negotiation, escalation and mediation set forth in this Article VIII shall apply to all disputes, controversies or claims (whether arising in contract, tort or otherwise) arising out of, relating to or in connection with this Agreement or any other Transaction Document, or the transactions contemplated hereby or thereby (including all actions taken in furtherance of the transactions contemplated hereby on or prior to the Distribution Time), or the commercial or economic relationship of the Parties relating hereto or thereto, between or among any member of the Parent Group, on the one hand, and any member of the Spinco Group, on the other hand (any such dispute, controversies, or claims, a ”</w:t>
      </w:r>
      <w:r>
        <w:rPr>
          <w:rFonts w:ascii="Times New Roman;serif" w:hAnsi="Times New Roman;serif"/>
          <w:b w:val="false"/>
          <w:color w:val="000000"/>
          <w:sz w:val="20"/>
          <w:u w:val="single"/>
        </w:rPr>
        <w:t>Dispute</w:t>
      </w:r>
      <w:r>
        <w:rPr>
          <w:color w:val="000000"/>
        </w:rPr>
        <w:t>”</w:t>
      </w:r>
      <w:r>
        <w:rPr>
          <w:rFonts w:ascii="Times New Roman;serif" w:hAnsi="Times New Roman;serif"/>
          <w:b w:val="false"/>
          <w:color w:val="000000"/>
          <w:sz w:val="20"/>
        </w:rPr>
        <w:t>). The Parties agree that, prior to initiating mediation or any Action, they shall first seek to resolve any Dispute amicably through discussions between the Parties in accordance with Section 8.2. Any indemnification, limitations on remedies, and limitations on liabilities expressly set forth in any other Transaction Document shall be governed by such express provisions therein and not by this Article VIII.</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8.2 </w:t>
      </w:r>
      <w:r>
        <w:rPr>
          <w:rFonts w:ascii="Times New Roman;serif" w:hAnsi="Times New Roman;serif"/>
          <w:b w:val="false"/>
          <w:color w:val="000000"/>
          <w:sz w:val="20"/>
          <w:u w:val="single"/>
        </w:rPr>
        <w:t>Escalation; Mediation</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 It is the intent of the Parties to use their respective commercially reasonable efforts to resolve expeditiously any Dispute that may arise from time to time on a mutually acceptable negotiated basis. Following written notice of a Dispute from one Party to the other, the Parties shall first attempt in good faith to resolve such Dispute amicably through discussions between appropriate representatives of the Parties for a period of thirty (30) days following receipt of such notice.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If the Parties are unable to resolve the Dispute within such thirty (30)-day period, the Dispute shall be escalated to any of the Parties’ respective officers listed in Schedule 8.2(b) hereto, who shall attempt in good faith to resolve the Dispute by amicable arrangement or compromise for an additional period of thirty (30) days following written notice of such escalation.</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 If the Parties fail to resolve the Dispute within such additional thirty (30)-day period, either Parent, on the one hand, or Spinco, on the other hand, may, in its sole discretion, refer the Dispute to non-binding mediation by providing written notice to the other Party. If either Party refers the Dispute to mediation pursuant to this Section 8.2(c), then the Parties shall retain a mediator to aid the Parties in their discussions and negotiations by informally providing advice to the Parties. Unless mutually agreed by the Parties in writing, any opinion expressed or delivered by the mediator shall be strictly advisory and shall not be binding on the Parties, nor shall any opinion expressed or delivered by the mediator be admissible in any other proceeding. The mediator may be chosen from a list of mediators previously selected by the Parties or by other agreement of the Parties. If a mediator cannot be agreed upon by the Parties within ten (10) days of a Party providing written notice of mediation pursuant to the first sentence of this Section 8.2(c), then each of Parent and Spinco shall nominate a mediator, and those two (2) mediators will select a third (3rd) mediator who shall act as the mediator for such Dispute. Costs of the mediation shall be borne equally by the Parties involved in the matter, except that each Party shall be responsible for its own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Notwithstanding the foregoing, any of the time periods set forth in this Section 8.2 may be shortened to the extent necessary to avoid the expiration of any applicable statute of limitations.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8.3 </w:t>
      </w:r>
      <w:r>
        <w:rPr>
          <w:rFonts w:ascii="Times New Roman;serif" w:hAnsi="Times New Roman;serif"/>
          <w:b w:val="false"/>
          <w:color w:val="000000"/>
          <w:sz w:val="20"/>
          <w:u w:val="single"/>
        </w:rPr>
        <w:t>Court Actions</w:t>
      </w:r>
      <w:r>
        <w:rPr>
          <w:rFonts w:ascii="Times New Roman;serif" w:hAnsi="Times New Roman;serif"/>
          <w:b w:val="false"/>
          <w:color w:val="000000"/>
          <w:sz w:val="20"/>
        </w:rPr>
        <w:t>. If any Party, after complying with the provisions set forth in Section 8.2, desires to commence an Action, then such Party, subject to Section 9.2 and Section 9.9, may submit the Dispute (or such series of related Disputes) to any court of competent jurisdiction as set forth in Section 9.2.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8.4 </w:t>
      </w:r>
      <w:r>
        <w:rPr>
          <w:rFonts w:ascii="Times New Roman;serif" w:hAnsi="Times New Roman;serif"/>
          <w:b w:val="false"/>
          <w:color w:val="000000"/>
          <w:sz w:val="20"/>
          <w:u w:val="single"/>
        </w:rPr>
        <w:t>Conduct during Dispute Resolution Process</w:t>
      </w:r>
      <w:r>
        <w:rPr>
          <w:rFonts w:ascii="Times New Roman;serif" w:hAnsi="Times New Roman;serif"/>
          <w:b w:val="false"/>
          <w:color w:val="000000"/>
          <w:sz w:val="20"/>
        </w:rPr>
        <w:t>. Unless otherwise agreed in writing, the Parties shall, and shall cause their respective members of their Groups to, continue to honor all covenants and agreements under this Agreement and each other Transaction Document in accordance with the terms thereof during the course of dispute resolution pursuant to the provisions of this Article VIII, unless such covenants or agreements are the specific subject of the Dispute at issue.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IX</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MISCELLANEOUS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9.1 </w:t>
      </w:r>
      <w:r>
        <w:rPr>
          <w:rFonts w:ascii="Times New Roman;serif" w:hAnsi="Times New Roman;serif"/>
          <w:b w:val="false"/>
          <w:color w:val="000000"/>
          <w:sz w:val="20"/>
          <w:u w:val="single"/>
        </w:rPr>
        <w:t>Survival of Covenants</w:t>
      </w:r>
      <w:r>
        <w:rPr>
          <w:rFonts w:ascii="Times New Roman;serif" w:hAnsi="Times New Roman;serif"/>
          <w:b w:val="false"/>
          <w:color w:val="000000"/>
          <w:sz w:val="20"/>
        </w:rPr>
        <w:t>. Except as expressly set forth in this Agreement, the covenants and other agreements contained in this Agreement, and liability for the breach of any covenants and other agreements contained herein, shall survive each of the Reorganization and the Distribution and shall remain in full force and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9.2 </w:t>
      </w:r>
      <w:r>
        <w:rPr>
          <w:rFonts w:ascii="Times New Roman;serif" w:hAnsi="Times New Roman;serif"/>
          <w:b w:val="false"/>
          <w:color w:val="000000"/>
          <w:sz w:val="20"/>
          <w:u w:val="single"/>
        </w:rPr>
        <w:t>Governing Law; Submission to Jurisdiction</w:t>
      </w:r>
      <w:r>
        <w:rPr>
          <w:rFonts w:ascii="Times New Roman;serif" w:hAnsi="Times New Roman;serif"/>
          <w:b w:val="false"/>
          <w:color w:val="000000"/>
          <w:sz w:val="20"/>
        </w:rPr>
        <w:t>. This Agreement, and all claims, disputes, controversies or causes of action (whether in contract, tort, equity or otherwise) that may be based upon, arise out of or relate to this Agreement (including any schedule or exhibit hereto) or the negotiation, execution or performance of this Agreement (including any claim, dispute, controversy or cause of action based upon, arising out of or related to any representation or warranty made in or in connection with this Agreement or as an inducement to enter into this Agreement) shall be governed by and construed in accordance with the Laws of the State of Delaware, without regard to any choice or conflict of law provision or rule (whether of the State of Delaware or any other jurisdiction) that would cause the application of the Laws of any jurisdiction other than the State of Delaware. Except as set forth in Article VIII, each of Parent and Spinco, on behalf of itself and the members of the Parent Group or the Spinco Group, as applicable, agrees that any Action related to this Agreement shall be brought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serif" w:hAnsi="Times New Roman;serif"/>
          <w:b w:val="false"/>
          <w:color w:val="000000"/>
          <w:sz w:val="20"/>
          <w:u w:val="single"/>
        </w:rPr>
        <w:t>Chosen Courts</w:t>
      </w:r>
      <w:r>
        <w:rPr>
          <w:color w:val="000000"/>
        </w:rPr>
        <w:t>”</w:t>
      </w:r>
      <w:r>
        <w:rPr>
          <w:rFonts w:ascii="Times New Roman;serif" w:hAnsi="Times New Roman;serif"/>
          <w:b w:val="false"/>
          <w:color w:val="000000"/>
          <w:sz w:val="20"/>
        </w:rPr>
        <w:t>). By executing and delivering this Agreement, each of the Parties irrevocably: (i) except as set forth in Article VIII, accepts generally and unconditionally submits to the exclusive jurisdiction of the Chosen Courts for any Action relating to this Agreement, including any Action brought for any remedy contemplated by Section 9.8; (ii) waives any objections which such party may now or hereafter have to the laying of venue of any such Action contemplated by this Section 9.2 and hereby further irrevocably waives and agrees not to plead or claim that any such Action has been brought in an inconvenient forum; (iii) agrees that it will not attempt to deny or defeat the personal jurisdiction of the Chosen Courts by motion or other request for leave from any such court; (iv) agrees that it will not bring any Action contemplated by this Section 9.2 in any court other than the Chosen Courts; (v) agrees that service of all process, including the summons and complaint, in any Action may be made by registered or certified mail, return receipt requested, to such party at their respective addresses provided in accordance with Section 9.3 or in any other manner permitted by Law; and (vi) agrees that service as provided in the preceding clause (v) is sufficient to confer personal jurisdiction over such Party in the Action, and otherwise constitutes effective and binding service in every respect. Each of the Parties agrees that a final judgment in any Action in a Chosen Court as provided above may be enforced in other jurisdictions by suit on the judgment or in any other manner provided by Law, and each Party further agrees to the non-exclusive jurisdiction of the Chosen Courts for the enforcement or execution of any such judgment.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9.3 </w:t>
      </w:r>
      <w:r>
        <w:rPr>
          <w:rFonts w:ascii="Times New Roman;serif" w:hAnsi="Times New Roman;serif"/>
          <w:b w:val="false"/>
          <w:color w:val="000000"/>
          <w:sz w:val="20"/>
          <w:u w:val="single"/>
        </w:rPr>
        <w:t>Notices</w:t>
      </w:r>
      <w:r>
        <w:rPr>
          <w:rFonts w:ascii="Times New Roman;serif" w:hAnsi="Times New Roman;serif"/>
          <w:b w:val="false"/>
          <w:color w:val="000000"/>
          <w:sz w:val="20"/>
        </w:rPr>
        <w:t xml:space="preserve">. All notices and other communications among the Parties under this Agreement shall be in writing and shall be deemed to have been duly given (w) when delivered in person, (x) when delivered after posting in the national mail having been sent registered or certified mail return receipt requested, postage prepaid,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 when delivered by FedEx or other internationally recognized overnight delivery service or (z) when delivered by facsimile (solely if receipt is confirmed) or email (so long as the sender of such email does not receive an automatic reply from the recipient’s email server indicating that the recipient did not receive such email), addressed as follows: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if to Parent or, on or prior to the Distribution Date, to Spinco, then to:</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Hexagon AB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P.O. Box 3692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SE-103 59 Stockholm, Sweden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Street address: Lilla Bantorget 15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SE-111 23 Stockholm, Sweden </w:t>
      </w:r>
    </w:p>
    <w:p>
      <w:pPr>
        <w:pStyle w:val="TextBody"/>
        <w:bidi w:val="0"/>
        <w:spacing w:lineRule="auto" w:line="288" w:before="0" w:after="0"/>
        <w:ind w:left="0" w:right="0" w:firstLine="1440"/>
        <w:jc w:val="left"/>
        <w:rPr/>
      </w:pPr>
      <w:r>
        <w:rPr>
          <w:rFonts w:ascii="Times New Roman;serif" w:hAnsi="Times New Roman;serif"/>
          <w:b w:val="false"/>
          <w:color w:val="000000"/>
          <w:sz w:val="20"/>
        </w:rPr>
        <w:t>Attention:     </w:t>
      </w:r>
      <w:r>
        <w:rPr>
          <w:color w:val="000000"/>
        </w:rPr>
        <w:t> </w:t>
      </w:r>
      <w:r>
        <w:rPr>
          <w:rFonts w:ascii="Times New Roman;serif" w:hAnsi="Times New Roman;serif"/>
          <w:b w:val="false"/>
          <w:color w:val="000000"/>
          <w:sz w:val="20"/>
        </w:rPr>
        <w:t xml:space="preserve">Thomas De Muynck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a copy (which shall not constitute notice) to:</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Sullivan &amp; Cromwell LLP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125 Broad Street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New York, NY 10004-2498</w:t>
      </w:r>
    </w:p>
    <w:p>
      <w:pPr>
        <w:pStyle w:val="TextBody"/>
        <w:bidi w:val="0"/>
        <w:spacing w:lineRule="auto" w:line="288" w:before="0" w:after="20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Sullivan &amp; Cromwell LLP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1 New Fetter Lane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London, EC4A 1AN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United Kingdom</w:t>
      </w:r>
    </w:p>
    <w:p>
      <w:pPr>
        <w:pStyle w:val="TextBody"/>
        <w:bidi w:val="0"/>
        <w:spacing w:lineRule="auto" w:line="288" w:before="0" w:after="200"/>
        <w:ind w:left="0" w:right="0" w:firstLine="1440"/>
        <w:jc w:val="left"/>
        <w:rPr/>
      </w:pPr>
      <w:r>
        <w:rPr>
          <w:rFonts w:ascii="Times New Roman;serif" w:hAnsi="Times New Roman;serif"/>
          <w:b w:val="false"/>
          <w:color w:val="000000"/>
          <w:sz w:val="20"/>
        </w:rPr>
        <w:t>Attention:     </w:t>
      </w:r>
      <w:r>
        <w:rPr>
          <w:color w:val="000000"/>
        </w:rPr>
        <w:t> </w:t>
      </w:r>
      <w:r>
        <w:rPr>
          <w:rFonts w:ascii="Times New Roman;serif" w:hAnsi="Times New Roman;serif"/>
          <w:b w:val="false"/>
          <w:color w:val="000000"/>
          <w:sz w:val="20"/>
        </w:rPr>
        <w:t>Evan S. Simpson</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Alan J. Fishman</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44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if, following the Distribution Date, to Spinco, then to:</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Octave Intelligence plc</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305 Intergraph Way</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Madison, Alabama 35758</w:t>
      </w:r>
    </w:p>
    <w:p>
      <w:pPr>
        <w:pStyle w:val="TextBody"/>
        <w:bidi w:val="0"/>
        <w:spacing w:lineRule="auto" w:line="288" w:before="0" w:after="0"/>
        <w:ind w:left="0" w:right="0" w:firstLine="1440"/>
        <w:jc w:val="left"/>
        <w:rPr/>
      </w:pPr>
      <w:r>
        <w:rPr>
          <w:rFonts w:ascii="Times New Roman;serif" w:hAnsi="Times New Roman;serif"/>
          <w:b w:val="false"/>
          <w:color w:val="000000"/>
          <w:sz w:val="20"/>
        </w:rPr>
        <w:t>Attention:     </w:t>
      </w:r>
      <w:r>
        <w:rPr>
          <w:color w:val="000000"/>
        </w:rPr>
        <w:t> </w:t>
      </w:r>
      <w:r>
        <w:rPr>
          <w:rFonts w:ascii="Times New Roman;serif" w:hAnsi="Times New Roman;serif"/>
          <w:b w:val="false"/>
          <w:color w:val="000000"/>
          <w:sz w:val="20"/>
        </w:rPr>
        <w:t>Anthony P. Zana</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 xml:space="preserve">Chief Legal Officer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a copy (which shall not constitute notice) to:</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Sullivan &amp; Cromwell LLP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125 Broad Street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New York, NY 10004-2498</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Sullivan &amp; Cromwell LLP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1 New Fetter Lane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London, EC4A 1AN </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United Kingdom</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erif" w:hAnsi="Times New Roman;serif"/>
          <w:b w:val="false"/>
          <w:color w:val="000000"/>
          <w:sz w:val="20"/>
        </w:rPr>
        <w:t>Attention:     </w:t>
      </w:r>
      <w:r>
        <w:rPr>
          <w:color w:val="000000"/>
        </w:rPr>
        <w:t> </w:t>
      </w:r>
      <w:r>
        <w:rPr>
          <w:rFonts w:ascii="Times New Roman;serif" w:hAnsi="Times New Roman;serif"/>
          <w:b w:val="false"/>
          <w:color w:val="000000"/>
          <w:sz w:val="20"/>
        </w:rPr>
        <w:t>Evan S. Simpson</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Alan J. Fishman</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44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to such other address or addresses as the Parties may from time to time designate in writing by like notice.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9.4 </w:t>
      </w:r>
      <w:r>
        <w:rPr>
          <w:rFonts w:ascii="Times New Roman;serif" w:hAnsi="Times New Roman;serif"/>
          <w:b w:val="false"/>
          <w:color w:val="000000"/>
          <w:sz w:val="20"/>
          <w:u w:val="single"/>
        </w:rPr>
        <w:t>Headings</w:t>
      </w:r>
      <w:r>
        <w:rPr>
          <w:rFonts w:ascii="Times New Roman;serif" w:hAnsi="Times New Roman;serif"/>
          <w:b w:val="false"/>
          <w:color w:val="000000"/>
          <w:sz w:val="20"/>
        </w:rPr>
        <w:t>. The headings contained in this Agreement are inserted for convenience only and shall not be considered in interpreting or construing any of the provisions contained in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9.5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This Agreement (including the Exhibits and Schedules) and the other Transaction Documents constitute the entire agreement between the Parties with respect to the subject matter hereof and supersede all prior agreements and understandings between the parties with respect to such subject matter.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9.6 </w:t>
      </w:r>
      <w:r>
        <w:rPr>
          <w:rFonts w:ascii="Times New Roman;serif" w:hAnsi="Times New Roman;serif"/>
          <w:b w:val="false"/>
          <w:color w:val="000000"/>
          <w:sz w:val="20"/>
          <w:u w:val="single"/>
        </w:rPr>
        <w:t>Amendments and Waivers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Any Party may, at any time prior to the Distribution Time, waive any of the terms or conditions of this Agreement or (without limiting Section 9.6(b)) agree to an amendment or modification to this Agreement by a duly executed agreement in writing. No waiver by any of the Parties of any breach hereunder shall be deemed to extend to any prior or subsequent breach hereunder or affect in any way any rights arising by virtue of any prior or subsequent such occurrence. No waiver by any of the Parties of any of the provisions hereof shall be effective unless explicitly set forth in writing and executed by the Party sought to be charged with such waiver.</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This Agreement may be amended or modified, in whole or in part, only by a duly authorized agreement in writing executed by Spinco and Parent which makes reference to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9.7 </w:t>
      </w:r>
      <w:r>
        <w:rPr>
          <w:rFonts w:ascii="Times New Roman;serif" w:hAnsi="Times New Roman;serif"/>
          <w:b w:val="false"/>
          <w:color w:val="000000"/>
          <w:sz w:val="20"/>
          <w:u w:val="single"/>
        </w:rPr>
        <w:t>Assignment; No Third-Party Beneficiaries</w:t>
      </w:r>
      <w:r>
        <w:rPr>
          <w:rFonts w:ascii="Times New Roman;serif" w:hAnsi="Times New Roman;serif"/>
          <w:b w:val="false"/>
          <w:color w:val="000000"/>
          <w:sz w:val="20"/>
        </w:rPr>
        <w:t xml:space="preserve">. This Agreement shall not be assigned by any Party without the prior written consent of Spinco and Parent, except that a Party may assign any or all of its rights and obligations under this Agreement in connection with a sale or disposition of any assets or entities or lines of business of such Party or in connection with a merger transaction in which such Party is not the surviving entity;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in each case, no such assignment shall release such Party from any liability or obligation under this Agreement. The provisions of this Agreement and the obligations and rights under this Agreement shall be binding upon, inure to the benefit of and be enforceable by (and against) the Parties and their respective successors and permitted transferees and assigns. Except as provided in Article VI with respect to Indemnified Parties, this Agreement is for the sole benefit of the Parties to this Agreement and members of their respective Groups and their permitted successors and assigns, and nothing in this Agreement, express or implied, is intended to or shall confer upon any other Person any legal or equitable right, benefit or remedy of any nature whatsoever under or by reason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9.8 </w:t>
      </w:r>
      <w:r>
        <w:rPr>
          <w:rFonts w:ascii="Times New Roman;serif" w:hAnsi="Times New Roman;serif"/>
          <w:b w:val="false"/>
          <w:color w:val="000000"/>
          <w:sz w:val="20"/>
          <w:u w:val="single"/>
        </w:rPr>
        <w:t>Specific Performance</w:t>
      </w:r>
      <w:r>
        <w:rPr>
          <w:rFonts w:ascii="Times New Roman;serif" w:hAnsi="Times New Roman;serif"/>
          <w:b w:val="false"/>
          <w:color w:val="000000"/>
          <w:sz w:val="20"/>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their rights under this Agreement. The Parties agree that the remedies at law for any breach or threatened breach, including monetary damages, may be inadequate compensation for any loss and that any defense in any action for specific performance that a remedy at law would be adequate is waived. Any requirements for the securing or posting of any bond with such remedy are waived by each of the Parties. Nothing in this section is intended to limit or waive the aggrieved Party’s ability to pursue any other remedy to which it is entitled.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9.9 </w:t>
      </w:r>
      <w:r>
        <w:rPr>
          <w:rFonts w:ascii="Times New Roman;serif" w:hAnsi="Times New Roman;serif"/>
          <w:b w:val="false"/>
          <w:color w:val="000000"/>
          <w:sz w:val="20"/>
          <w:u w:val="single"/>
        </w:rPr>
        <w:t>Waiver of Jury Trial</w:t>
      </w:r>
      <w:r>
        <w:rPr>
          <w:rFonts w:ascii="Times New Roman;serif" w:hAnsi="Times New Roman;serif"/>
          <w:b w:val="false"/>
          <w:color w:val="000000"/>
          <w:sz w:val="20"/>
        </w:rPr>
        <w:t xml:space="preserve">. THE PARTIES HEREBY UNCONDITIONALLY AND IRREVOCABLY WAIVE THEIR RIGHT TO TRIAL BY JURY IN ANY JUDICIAL PROCEEDING IN ANY COURT RELATING TO ANY DISPUTE, CONTROVERSY OR CLAIM ARISING OUT OF, RELATING TO OR IN CONNECTION WITH THIS AGREEMENT OR ANY TRANSACTION DOCUMENT (INCLUDING ANY SCHEDULE OR EXHIBIT HERETO AND THERETO) OR THE BREACH, TERMINATION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SECTION 9.9. NO PARTY HAS IN ANY WAY AGREED WITH OR REPRESENTED TO ANY OTHER PARTY THAT THE PROVISIONS OF THIS SECTION 9.9 WILL NOT BE FULLY ENFORCED IN ALL INSTANCES.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9.10 </w:t>
      </w:r>
      <w:r>
        <w:rPr>
          <w:rFonts w:ascii="Times New Roman;serif" w:hAnsi="Times New Roman;serif"/>
          <w:b w:val="false"/>
          <w:color w:val="000000"/>
          <w:sz w:val="20"/>
          <w:u w:val="single"/>
        </w:rPr>
        <w:t>Severability</w:t>
      </w:r>
      <w:r>
        <w:rPr>
          <w:rFonts w:ascii="Times New Roman;serif" w:hAnsi="Times New Roman;serif"/>
          <w:b w:val="false"/>
          <w:color w:val="000000"/>
          <w:sz w:val="20"/>
        </w:rPr>
        <w:t>. If any provision of this Agreement or any Transaction Document, or the application of any such provision to any Person or circumstance, shall be held invalid, illegal or unenforceable in any respect by a court of competent jurisdiction, then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9.11 </w:t>
      </w:r>
      <w:r>
        <w:rPr>
          <w:rFonts w:ascii="Times New Roman;serif" w:hAnsi="Times New Roman;serif"/>
          <w:b w:val="false"/>
          <w:color w:val="000000"/>
          <w:sz w:val="20"/>
          <w:u w:val="single"/>
        </w:rPr>
        <w:t>Counterparts</w:t>
      </w:r>
      <w:r>
        <w:rPr>
          <w:rFonts w:ascii="Times New Roman;serif" w:hAnsi="Times New Roman;serif"/>
          <w:b w:val="false"/>
          <w:color w:val="000000"/>
          <w:sz w:val="20"/>
        </w:rPr>
        <w:t>. This Agreement may be executed in two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9.12 </w:t>
      </w:r>
      <w:r>
        <w:rPr>
          <w:rFonts w:ascii="Times New Roman;serif" w:hAnsi="Times New Roman;serif"/>
          <w:b w:val="false"/>
          <w:color w:val="000000"/>
          <w:sz w:val="20"/>
          <w:u w:val="single"/>
        </w:rPr>
        <w:t>Force Majeure</w:t>
      </w:r>
      <w:r>
        <w:rPr>
          <w:rFonts w:ascii="Times New Roman;serif" w:hAnsi="Times New Roman;serif"/>
          <w:b w:val="false"/>
          <w:color w:val="000000"/>
          <w:sz w:val="20"/>
        </w:rPr>
        <w:t>. No Party (or any Person acting on its behalf) shall have any liability or responsibility for failure to fulfill any obligation (other than a payment obligation) under this Agreement or, unless otherwise expressly provided therein, any other Transaction Document, so long as and to the extent to which the fulfillment of such obligation is prevented, frustrated, hindered or delayed as a consequence of circumstances of Force Majeure. A Party claiming the benefit of this provision shall, as soon as reasonably practicable after the occurrence of any such event, (a) notify the other Parties of the nature and extent of any such Force Majeure and (b) use due diligence to remove any such causes and resume performance under this Agreement or the applicable other Transaction Document as soon as feasible.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9.13 </w:t>
      </w:r>
      <w:r>
        <w:rPr>
          <w:rFonts w:ascii="Times New Roman;serif" w:hAnsi="Times New Roman;serif"/>
          <w:b w:val="false"/>
          <w:color w:val="000000"/>
          <w:sz w:val="20"/>
          <w:u w:val="single"/>
        </w:rPr>
        <w:t>Termination</w:t>
      </w:r>
      <w:r>
        <w:rPr>
          <w:rFonts w:ascii="Times New Roman;serif" w:hAnsi="Times New Roman;serif"/>
          <w:b w:val="false"/>
          <w:color w:val="000000"/>
          <w:sz w:val="20"/>
        </w:rPr>
        <w:t xml:space="preserve">. Notwithstanding any provision of this Agreement to the contrary, the Parent Board may, in its sole discretion and without approval of Spinco or any other Person, at any time prior to the Distribution Time terminate this Agreement and/or abandon the Distribution, whether or not any Person has theretofore approved this Agreement and/or the Distribution. In the event this Agreement is terminated pursuant to the preceding sentence, this Agreement shall, to the fullest extent permitted by applicable Law, forthwith become void and neither Parent nor Spinco, nor any other member of their respective Group, nor any of their respective directors, officers, employees or agents shall have any liability of further obligation to any other Person by reason of this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Distribution Time, this Agreement may not be terminated except by an agreement in writing signed by each of Spinco and Parent. In the event of such termination, this Agreement shall become void and no Party, or any of its officers and directors, shall have any liability to any Person by reason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9.14 </w:t>
      </w:r>
      <w:r>
        <w:rPr>
          <w:rFonts w:ascii="Times New Roman;serif" w:hAnsi="Times New Roman;serif"/>
          <w:b w:val="false"/>
          <w:color w:val="000000"/>
          <w:sz w:val="20"/>
          <w:u w:val="single"/>
        </w:rPr>
        <w:t>Interpretation</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Unless the context of this Agreement otherwise requires: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and “Schedule,” refer to the specified Article, Section, Annex, Exhibit or Schedule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not exclusive;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and references to any Contract or instrument are to that Contract or instrument as from time to time amended, modified or supplemented;</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(iii) references to any federal, state, local, or foreign statute or Law shall include all regulations promulgated thereunder; and</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(iv) references to any Person include references to such Person’s successors and permitted assigns, and in the case of any Governmental Authority, to any Person succeeding to its functions and capacities.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Nothing herein (including the Schedules) shall be deemed an admission by any Party or any of its Affiliates, in any Action, that such Party or any such Affiliate, or any third party, is or is not in breach or violation of, or in default in, the performance or observance of any term or provisions of any Contract or any Law.</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(f) The phrase “to the extent” shall mean the degree to which a subject or other thing extends, and such phrase shall not mean simply “if.”</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(g) The term “writing,” “written” and comparable terms refer to printing, typing and other means of reproducing words (including electronic media) in a visible form.</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(h) All monetary figures shall be in United States dollars unless otherwise specified.</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9.15 </w:t>
      </w:r>
      <w:r>
        <w:rPr>
          <w:rFonts w:ascii="Times New Roman;serif" w:hAnsi="Times New Roman;serif"/>
          <w:b w:val="false"/>
          <w:color w:val="000000"/>
          <w:sz w:val="20"/>
          <w:u w:val="single"/>
        </w:rPr>
        <w:t>Performance</w:t>
      </w:r>
      <w:r>
        <w:rPr>
          <w:rFonts w:ascii="Times New Roman;serif" w:hAnsi="Times New Roman;serif"/>
          <w:b w:val="false"/>
          <w:color w:val="000000"/>
          <w:sz w:val="20"/>
        </w:rPr>
        <w:t>. Parent will cause to be performed, and hereby guarantees the performance of, all actions, agreements and obligations set forth in this Agreement or in any other Transaction Document to be performed by any member of the Parent Group. Spinco will cause to be performed, and hereby guarantees the performance of, all actions, agreements and obligations set forth in this Agreement or in any other Transaction Document to be performed by any member of the Spinco Group. Each Party (including its permitted successors and assigns) further agrees that it will (a) give timely notice of the terms, conditions and continuing obligations contained in this Section 9.15 to all of the other members of the Parent Group or the Spinco Group, as applicable, and (b) cause all of the other members of Parent Group or the Spinco Group, as applicable, not to take any action inconsistent with such Party’s obligations under this Agreement or any other Transaction Document or the transactions contemplated hereby or thereby.</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have caused this Agreement to be executed on the date first written above by their respective duly authorized officers.</w:t>
      </w:r>
    </w:p>
    <w:tbl>
      <w:tblPr>
        <w:tblW w:w="3310" w:type="dxa"/>
        <w:jc w:val="left"/>
        <w:tblInd w:w="0" w:type="dxa"/>
        <w:tblLayout w:type="fixed"/>
        <w:tblCellMar>
          <w:top w:w="28" w:type="dxa"/>
          <w:left w:w="28" w:type="dxa"/>
          <w:bottom w:w="28" w:type="dxa"/>
          <w:right w:w="28" w:type="dxa"/>
        </w:tblCellMar>
      </w:tblPr>
      <w:tblGrid>
        <w:gridCol w:w="124"/>
        <w:gridCol w:w="109"/>
        <w:gridCol w:w="109"/>
        <w:gridCol w:w="270"/>
        <w:gridCol w:w="270"/>
        <w:gridCol w:w="270"/>
        <w:gridCol w:w="410"/>
        <w:gridCol w:w="410"/>
        <w:gridCol w:w="412"/>
        <w:gridCol w:w="270"/>
        <w:gridCol w:w="270"/>
        <w:gridCol w:w="3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HEXAGON AB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OCTAVE INTELLIGENCE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Distribution Agreement</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Distribution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Cert. No.: 607457</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Companies Act 2014</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PUBLIC LIMITED COMPANY</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CONSTITUTION</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OCTAVE INTELLIGENCE PUBLIC LIMITED COMPANY</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MEMORANDUM OF ASSOCIATION</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(as amended by all resolutions passed up to and including [        ] 2026)</w:t>
      </w:r>
    </w:p>
    <w:p>
      <w:pPr>
        <w:pStyle w:val="TextBody"/>
        <w:bidi w:val="0"/>
        <w:spacing w:lineRule="auto" w:line="288" w:before="0" w:after="220"/>
        <w:ind w:left="0" w:right="0" w:hanging="720"/>
        <w:jc w:val="both"/>
        <w:rPr/>
      </w:pPr>
      <w:r>
        <w:rPr>
          <w:rFonts w:ascii="Times New Roman;serif" w:hAnsi="Times New Roman;serif"/>
          <w:b w:val="false"/>
          <w:color w:val="000000"/>
          <w:sz w:val="22"/>
        </w:rPr>
        <w:t xml:space="preserve">1.    The name of the Company is </w:t>
      </w:r>
      <w:r>
        <w:rPr>
          <w:rFonts w:ascii="Times New Roman;serif" w:hAnsi="Times New Roman;serif"/>
          <w:b/>
          <w:color w:val="000000"/>
          <w:sz w:val="22"/>
        </w:rPr>
        <w:t>Octave Intelligence Public Limited Company</w:t>
      </w:r>
      <w:r>
        <w:rPr>
          <w:rFonts w:ascii="Times New Roman;serif" w:hAnsi="Times New Roman;serif"/>
          <w:b w:val="false"/>
          <w:color w:val="000000"/>
          <w:sz w:val="22"/>
        </w:rPr>
        <w: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The Company is a public limited company, registered under Part 17 of the Companies Act 2014.</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    The objects for which the Company is established 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    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its branches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Company’s board of directors and to exercise its powers as a shareholder of other companies.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    To carry on the businesses of manufacturer, distributor, wholesaler, retailer, service provider, investor, designer, trader and any other business (except the issuing of policies of insurance) which may seem to the Company’s board of directors capable of being conveniently carried on in connection with these objects or calculated directly or indirectly to enhance the value of or render more profitable any of the Company’s property.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3.3    To carry on all or any of the businesses as aforesaid either as a separate business or as the principal business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3.4    To invest and deal with the property of the Company in such manner as may from time to time be determined by the Company’s board of directors and to dispose of or vary such investments and dealings.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3.5    To borrow or raise money or capital in any manner and on such terms and subject to such conditions and for such purposes as the Company’s board of directors shall think fit or expedient, whether alone or jointly and/or severally with any other person or company, including, without prejudice to the generality of the foregoing, whether by the issue of debentures or debenture stock (perpetual or otherwise) or otherwise, and to secure, with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or without consideration, the payment or repayment of any money borrowed, raised or owing or any debt, obligation or liability of the Company or of any other person or company whatsoever in such manner and on such terms and conditions as the Company’s board of directors shall think fit or expedient and, in particular by mortgage, charge, lien, pledge or debenture or any other security of whatsoever nature or howsoever described, perpetual or otherwise, charged upon all or any of the Company’s property, both present and future, and to purchase, redeem or pay off any such securities or borrowings and also to accept capital contributions from any person or company in any manner and on such terms and conditions and for such purposes as the Company’s board of directors shall think fit or expedient.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3.6    To lend and advance money or other property or give credit or financial accommodation to any company or person in any manner either with or without security and whether with or without the payment of interest and upon such terms and conditions as the Company’s board of directors shall think fit or expedient.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3.7    To guarantee, indemnify, grant indemnities in respect of, enter into any suretyship or joint obligation, or otherwise support or secure, whether by personal covenant, indemnity or undertaking or by mortgaging, charging, pledging or granting a lien or other security over all or any part of the Company’s property (both present and future) or by any one or more of such methods or any other method and whether in support of such guarantee or indemnity or suretyship or joint obligation or otherwise, on such terms and conditions as the Company’s board of directors shall think fit, the payment of any debts or the performance or discharge of any contract, obligation or liability of any person or company (including, without prejudice to the generality of the foregoing, the payment of any capital, principal, dividends or interest on any stocks, shares, debentures, debenture stock, notes, bonds or other securities of any person, authority or company) including, without prejudice to the generality of the foregoing, any company which is for the time being the Company’s holding company or another subsidiary (as defined by the Act) of the Company’s holding company or a subsidiary of the Company or otherwise associated with the Company (including any arrangements of the Company or any of its subsidiaries described in paragraph 3.19), in each case notwithstanding the fact that the Company may not receive any consideration, advantage or benefit, direct or indirect, from entering into any such guarantee or indemnity or suretyship or joint obligation or other arrangement or transaction contemplated herein.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3.8    To grant, convey, assign, transfer, exchange or otherwise alienate or dispose of any property of the Company of whatever nature or tenure for such price, consideration, sum or other return whether equal to or less than the market value thereof or for shares, debentures or securities and whether by way of gift or otherwise as the Company’s board of directors shall deem fit or expedient and where the property consists of real property to grant any fee farm grant or lease or to enter into any agreement for letting or hire of any such property for a rent or return equal to or less than the market or rack rent therefor or at no rent and subject to or free from covenants and restrictions as the Company’s board of directors shall deem appropriate.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3.9    To purchase, take on, lease, exchange, rent, hire or otherwise acquire any property and to acquire and undertake the whole or any part of the business and property of any company or person.</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3.10    To develop and turn to account any land acquired by the Company or in which it is interested and in particular by laying out and preparing the same for building purposes, constructing, altering, pulling down, decorating, maintaining, fitting out and improving buildings and conveniences and by planting, paving, draining, farming, cultivating, letting and by entering into building leases or building agreements and by advancing money to and entering into contracts and arrangements of all kinds with builders, contractors, architects, surveyors, purchasers, vendors, tenants and any other person.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3.11    To construct, improve, maintain, develop, work, manage, carry out or control any property which may seem calculated directly or indirectly to advance the Company’s interest and to contribute to, subsidise or otherwise assist or take part in the construction, improvement, maintenance, working, management, carrying out or control thereof.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3.12    To draw, make, accept, endorse, discount, execute and issue promissory notes, bills of exchange, bills of lading, warrants, debentures and other negotiable or transferable instruments.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3.13    To engage in currency exchange, interest rate and commodity transactions including, but not limited to, dealings in foreign currency, spot and forward rate exchange contracts, futures, options, forward rate agreements, swaps, caps, floors, collars and any other foreign exchange, interest rate or commodity hedging arrangements and such other instruments as are similar to, or derived from, any of the foregoing whether for the purpose of making a profit or avoiding a loss or managing a currency, interest rate or commodity exposure or any other exposure or for any other purpose.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3.14    As a pursuit in itself or otherwise and whether for the purpose of making a profit or avoiding a loss or managing a currency, interest rate or commodity exposure or any other exposure or for any other purpose whatsoever, to engage in any currency exchange transactions, interest rate transactions and commodity transactions, derivative and/or treasury transactions and any other financial or other transactions, including (without prejudice to the generality of the foregoing) securitisation, treasury and/or structured finance transactions, of whatever nature in any manner and on any terms and for any purposes whatsoever, including, without prejudice to the generality of the foregoing, any transaction entered into in connection with or for the purpose of, or capable of being for the purposes of, avoiding, reducing, minimising, hedging against or otherwise managing the risk of any loss, cost, expense, or liability arising, or which may arise, directly or indirectly, from a change or changes in any interest rate or currency exchange rate or in the price or value of any property, asset, commodity, index or liability or from any other risk or factor affecting the Company’s business, including but not limited to dealings whether involving purchases, sales or otherwise in foreign currency, spot and/or forward rate exchange contracts, futures, options, forward rate agreements, swaps, caps, floors, collars and/or any such other currency or interest rate or commodity or other hedging, treasury or structured finance arrangements and such other instruments as are similar to, or derived from any of the foregoing.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3.15    To apply for, establish, create, purchase or otherwise acquire, sell or otherwise dispose of and hold any patents, trademarks, copyrights, brevets d’invention, registered designs, licences, concessions and the like conferring any exclusive or non-exclusive or limited rights to use or any secret or other information and any invention and to use,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develop or grant licences in respect of or otherwise turn to account or exploit the property, rights or information so held.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3.16    To enter into any arrangements with any governments or authorities, national, local or otherwise and to obtain from any such government or authority any rights, privileges and concessions and to carry out, exercise and comply with any such arrangements, rights, privileges and concessions.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3.17    To establish, form, register, incorporate or promote any company or companies or person, whether inside or outside of Ireland.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3.18    To procure that the Company be registered or recognised whether as a branch or otherwise in any country or place.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3.19    To enter into partnership or into any arrangement for sharing profits, union of interests, co-operation, joint venture, reciprocal concession or otherwise with any person or company carrying on or engaged in or about to carry on or engage in any business or transaction and to engage in any transaction in connection with the foregoing.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3.20    To acquire or amalgamate with any other company or person.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3.21    To acquire and undertake the whole or any part of the business, good-will and assets of any person, firm or company carrying on or proposing to carry on any of the businesses which this Company is authorised to carry on, and as part of the consideration for such acquisition to undertake all or any of the liabilities of such person, firm or company, or to acquire an interest in, amalgamate with, or enter into any arrangement for sharing profits, or for co-operation, or for mutual assistance with any such person, firm or company and to give or accept by way of consideration for any of the acts or things aforesaid or property acquired, any shares, debentures, debenture stock or securities that may be agreed upon, and to hold and retain or sell, mortgage or deal with any shares, debentures, debenture stock or securities so received.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3.22    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or opposing any strike, movement or organisation which may be thought detrimental to the interests of the Company or its employees and to subscribe to any association or fund for any such purposes.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3.23    To make gifts to any person or company including, without prejudice to the generality of the foregoing, capital contributions and to grant bonuses to the directors or any other persons or companies who are or have been in the employment of the Company including substitute directors and any other officer or employee.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3.24    To establish and support or aid in the establishment and support of associations, institutions, funds, trusts and conveniences calculated to benefit directors, ex-directors, employees or ex-employees of the Company or any subsidiary of the Company or the dependants or connections of such persons, and to grant pensions and allowances upon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such terms and in such manner as the Company’s board of directors think fit, and to make payments towards insurance and to subscribe or guarantee money for charitable or benevolent objects or for any exhibition or for any public, general or useful object, or any other object whatsoever which the Company’s board of directors may think advisable.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3.25    To establish and contribute to any scheme for the purchase of shares or subscription for shares in the Company, its holding company or any of its or their respective subsidiaries, to be held for the benefit of the employees or former employees of the Company or any subsidiary of the Company including any person who is or was a director holding a salaried employment or office in the Company or any subsidiary of the Company and to lend or otherwise provide money to the trustees of such schemes or the employees or former employees of the Company or any subsidiary of the Company to enable them to purchase shares of the Company, its holding company or any of its or their respective subsidiaries and to formulate and carry into effect any scheme for sharing the profits of the Company, its holding company or any of its or their respective subsidiaries with its employees and/or the employees of any of its subsidiaries.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3.26    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3.27    To obtain any Act of the Oireachtas or provisional order for enabling the Company to carry any of its objects into effect or for effecting any modification of the Company’s constitution or for any other purpose which may seem expedient and to oppose any proceedings or applications which may seem calculated directly or indirectly to prejudice the Company’s interests.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3.28    To adopt such means of making known the products of the Company as may seem expedient and in particular by advertising in the press, by circulars, by purchase and exhibition of works of art or interest, by publication of books and periodicals and by granting prizes, rewards and donations.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3.29    To undertake and execute the office of trustee and nominee for the purpose of holding and dealing with any property of any kind for or on behalf of any person or company; to act as trustee, nominee, agent, executor, administrator, registrar, secretary, committee or attorney generally for any purpose and either solely or with others for any person or company; to vest any property in any person or company with or without any declared trust in favour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3.30    To pay all costs, charges, fees and expenses incurred or sustained in or about the promotion, establishment, formation and registration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3.31    To do all or any of the above things in any part of the world, and as principals, agents, contractors, trustees or otherwise and by or through trustees, agents or otherwise and either alone or in conjunction with any person or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3.32    To distribute the property of the Company in specie among the members or, if there is only one, to the sole member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3.33    To do all such other things as the Company’s board of directors may think incidental or conducive to the attainment of the above objects or any of them.</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NOTE: it is hereby declared that in this memorandum of association:</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    the word “company”, except where used in reference to this Company, shall be deemed to include a body corporate, whether a company (wherever formed, registered or incorporated), a corporation aggregate, a corporation sole and a national or local government or other legal entity; and</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    it is intended that the objects specified in each paragraph in this clause shall, except where otherwise expressed in such paragraph, be separate and distinct objects of the Company and shall not be in any way limited or restricted by reference to or inference from the terms of any other paragraph or the order in which the paragraphs of this clause occur or the name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    The liability of the members is limited.</w:t>
      </w:r>
    </w:p>
    <w:p>
      <w:pPr>
        <w:pStyle w:val="TextBody"/>
        <w:bidi w:val="0"/>
        <w:spacing w:lineRule="auto" w:line="288" w:before="0" w:after="220"/>
        <w:ind w:left="0" w:right="0" w:hanging="720"/>
        <w:jc w:val="both"/>
        <w:rPr/>
      </w:pPr>
      <w:r>
        <w:rPr>
          <w:rFonts w:ascii="Times New Roman;serif" w:hAnsi="Times New Roman;serif"/>
          <w:b w:val="false"/>
          <w:color w:val="000000"/>
          <w:sz w:val="22"/>
        </w:rPr>
        <w:t>5.    The authorised share capital of the Company is $100,000,000 and €25,000, divided into 4,500,000,000 A Ordinary Shares of $0.01 each (“</w:t>
      </w:r>
      <w:r>
        <w:rPr>
          <w:rFonts w:ascii="Times New Roman;serif" w:hAnsi="Times New Roman;serif"/>
          <w:b/>
          <w:color w:val="000000"/>
          <w:sz w:val="22"/>
        </w:rPr>
        <w:t>A Ordinary Shares</w:t>
      </w:r>
      <w:r>
        <w:rPr>
          <w:color w:val="000000"/>
        </w:rPr>
        <w:t>”</w:t>
      </w:r>
      <w:r>
        <w:rPr>
          <w:rFonts w:ascii="Times New Roman;serif" w:hAnsi="Times New Roman;serif"/>
          <w:b w:val="false"/>
          <w:color w:val="000000"/>
          <w:sz w:val="22"/>
        </w:rPr>
        <w:t>), 4,500,000,000 B Ordinary Shares of $0.01 each (“</w:t>
      </w:r>
      <w:r>
        <w:rPr>
          <w:rFonts w:ascii="Times New Roman;serif" w:hAnsi="Times New Roman;serif"/>
          <w:b/>
          <w:color w:val="000000"/>
          <w:sz w:val="22"/>
        </w:rPr>
        <w:t>B Ordinary Shares</w:t>
      </w:r>
      <w:r>
        <w:rPr>
          <w:color w:val="000000"/>
        </w:rPr>
        <w:t>”</w:t>
      </w:r>
      <w:r>
        <w:rPr>
          <w:rFonts w:ascii="Times New Roman;serif" w:hAnsi="Times New Roman;serif"/>
          <w:b w:val="false"/>
          <w:color w:val="000000"/>
          <w:sz w:val="22"/>
        </w:rPr>
        <w:t>), 1,000,000,000 preferred shares of $0.01 each and 25,000 deferred shares of €1.00 each.</w:t>
      </w:r>
    </w:p>
    <w:p>
      <w:pPr>
        <w:pStyle w:val="TextBody"/>
        <w:bidi w:val="0"/>
        <w:spacing w:lineRule="auto" w:line="288" w:before="0" w:after="220"/>
        <w:ind w:left="0" w:right="0" w:hanging="720"/>
        <w:jc w:val="both"/>
        <w:rPr/>
      </w:pPr>
      <w:r>
        <w:rPr>
          <w:rFonts w:ascii="Times New Roman;serif" w:hAnsi="Times New Roman;serif"/>
          <w:b w:val="false"/>
          <w:color w:val="000000"/>
          <w:sz w:val="20"/>
        </w:rPr>
        <w:t>6.    </w:t>
      </w:r>
      <w:r>
        <w:rPr>
          <w:rFonts w:ascii="Times New Roman;serif" w:hAnsi="Times New Roman;serif"/>
          <w:b w:val="false"/>
          <w:color w:val="000000"/>
          <w:sz w:val="22"/>
        </w:rPr>
        <w:t>The shares forming the capital,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OCTAVE INTELLIGENCE PUBLIC LIMITED COMPANY</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ARTICLES OF ASSOCIATION</w:t>
      </w:r>
    </w:p>
    <w:p>
      <w:pPr>
        <w:pStyle w:val="TextBody"/>
        <w:bidi w:val="0"/>
        <w:spacing w:lineRule="auto" w:line="288" w:before="0" w:after="700"/>
        <w:jc w:val="center"/>
        <w:rPr>
          <w:rFonts w:ascii="Times New Roman;serif" w:hAnsi="Times New Roman;serif"/>
          <w:b/>
          <w:color w:val="000000"/>
          <w:sz w:val="22"/>
        </w:rPr>
      </w:pPr>
      <w:r>
        <w:rPr>
          <w:rFonts w:ascii="Times New Roman;serif" w:hAnsi="Times New Roman;serif"/>
          <w:b/>
          <w:color w:val="000000"/>
          <w:sz w:val="22"/>
        </w:rPr>
        <w:t>(as amended by all resolutions passed up to and including [      ] 2026)</w: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Interpretation and general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    Sections 83, 84 and, for the avoidance of doubt, 117(9) of the Act shall apply to the Company but, subject to that, the provisions set out in these Articles shall constitute the whole of the regulations applicable to the Company and no other “optional provisions” as defined by section 1007(2) of the Act shall apply to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In these Articles:</w:t>
      </w:r>
    </w:p>
    <w:p>
      <w:pPr>
        <w:pStyle w:val="TextBody"/>
        <w:bidi w:val="0"/>
        <w:spacing w:lineRule="auto" w:line="288" w:before="0" w:after="220"/>
        <w:ind w:left="0" w:right="0" w:hanging="720"/>
        <w:jc w:val="both"/>
        <w:rPr/>
      </w:pPr>
      <w:r>
        <w:rPr>
          <w:rFonts w:ascii="Times New Roman;serif" w:hAnsi="Times New Roman;serif"/>
          <w:b w:val="false"/>
          <w:color w:val="000000"/>
          <w:sz w:val="22"/>
        </w:rPr>
        <w:t>2.1    “</w:t>
      </w:r>
      <w:r>
        <w:rPr>
          <w:rFonts w:ascii="Times New Roman;serif" w:hAnsi="Times New Roman;serif"/>
          <w:b/>
          <w:color w:val="000000"/>
          <w:sz w:val="22"/>
        </w:rPr>
        <w:t>Act</w:t>
      </w:r>
      <w:r>
        <w:rPr>
          <w:color w:val="000000"/>
        </w:rPr>
        <w:t>”</w:t>
      </w:r>
      <w:r>
        <w:rPr>
          <w:rFonts w:ascii="Times New Roman;serif" w:hAnsi="Times New Roman;serif"/>
          <w:b w:val="false"/>
          <w:color w:val="000000"/>
          <w:sz w:val="22"/>
        </w:rPr>
        <w:t>, means the Companies Act 2014 and every statutory modification and re-enactment thereof for the time being in force;</w:t>
      </w:r>
    </w:p>
    <w:p>
      <w:pPr>
        <w:pStyle w:val="TextBody"/>
        <w:bidi w:val="0"/>
        <w:spacing w:lineRule="auto" w:line="288" w:before="0" w:after="220"/>
        <w:ind w:left="0" w:right="0" w:hanging="720"/>
        <w:jc w:val="both"/>
        <w:rPr/>
      </w:pPr>
      <w:r>
        <w:rPr>
          <w:rFonts w:ascii="Times New Roman;serif" w:hAnsi="Times New Roman;serif"/>
          <w:b w:val="false"/>
          <w:color w:val="000000"/>
          <w:sz w:val="22"/>
        </w:rPr>
        <w:t>2.2    “</w:t>
      </w:r>
      <w:r>
        <w:rPr>
          <w:rFonts w:ascii="Times New Roman;serif" w:hAnsi="Times New Roman;serif"/>
          <w:b/>
          <w:color w:val="000000"/>
          <w:sz w:val="22"/>
        </w:rPr>
        <w:t>Acting in Concert</w:t>
      </w:r>
      <w:r>
        <w:rPr>
          <w:color w:val="000000"/>
        </w:rPr>
        <w:t>”</w:t>
      </w:r>
      <w:r>
        <w:rPr>
          <w:rFonts w:ascii="Times New Roman;serif" w:hAnsi="Times New Roman;serif"/>
          <w:b w:val="false"/>
          <w:color w:val="000000"/>
          <w:sz w:val="22"/>
        </w:rPr>
        <w:t>, has the meaning given to it in the Takeover Rules and, to the extent applicable from time to time, the Irish Takeover Panel Act 1997 and the European Communities (Takeover Bids (Directive 2004/25/EC)) Regulations 2006, in each case as amended from time to time;</w:t>
      </w:r>
    </w:p>
    <w:p>
      <w:pPr>
        <w:pStyle w:val="TextBody"/>
        <w:bidi w:val="0"/>
        <w:spacing w:lineRule="auto" w:line="288" w:before="0" w:after="220"/>
        <w:ind w:left="0" w:right="0" w:hanging="720"/>
        <w:jc w:val="both"/>
        <w:rPr/>
      </w:pPr>
      <w:r>
        <w:rPr>
          <w:rFonts w:ascii="Times New Roman;serif" w:hAnsi="Times New Roman;serif"/>
          <w:b w:val="false"/>
          <w:color w:val="000000"/>
          <w:sz w:val="22"/>
        </w:rPr>
        <w:t>2.3    “</w:t>
      </w:r>
      <w:r>
        <w:rPr>
          <w:rFonts w:ascii="Times New Roman;serif" w:hAnsi="Times New Roman;serif"/>
          <w:b/>
          <w:color w:val="000000"/>
          <w:sz w:val="22"/>
        </w:rPr>
        <w:t>Adoption Date</w:t>
      </w:r>
      <w:r>
        <w:rPr>
          <w:color w:val="000000"/>
        </w:rPr>
        <w:t>”</w:t>
      </w:r>
      <w:r>
        <w:rPr>
          <w:rFonts w:ascii="Times New Roman;serif" w:hAnsi="Times New Roman;serif"/>
          <w:b w:val="false"/>
          <w:color w:val="000000"/>
          <w:sz w:val="22"/>
        </w:rPr>
        <w:t>, means the effective date of adoption of these Articles;</w:t>
      </w:r>
    </w:p>
    <w:p>
      <w:pPr>
        <w:pStyle w:val="TextBody"/>
        <w:bidi w:val="0"/>
        <w:spacing w:lineRule="auto" w:line="288" w:before="0" w:after="220"/>
        <w:ind w:left="0" w:right="0" w:hanging="720"/>
        <w:jc w:val="both"/>
        <w:rPr/>
      </w:pPr>
      <w:r>
        <w:rPr>
          <w:rFonts w:ascii="Times New Roman;serif" w:hAnsi="Times New Roman;serif"/>
          <w:b w:val="false"/>
          <w:color w:val="000000"/>
          <w:sz w:val="22"/>
        </w:rPr>
        <w:t>2.4    “</w:t>
      </w:r>
      <w:r>
        <w:rPr>
          <w:rFonts w:ascii="Times New Roman;serif" w:hAnsi="Times New Roman;serif"/>
          <w:b/>
          <w:color w:val="000000"/>
          <w:sz w:val="22"/>
        </w:rPr>
        <w:t>Approved Nominee</w:t>
      </w:r>
      <w:r>
        <w:rPr>
          <w:color w:val="000000"/>
        </w:rPr>
        <w:t>”</w:t>
      </w:r>
      <w:r>
        <w:rPr>
          <w:rFonts w:ascii="Times New Roman;serif" w:hAnsi="Times New Roman;serif"/>
          <w:b w:val="false"/>
          <w:color w:val="000000"/>
          <w:sz w:val="22"/>
        </w:rPr>
        <w:t>, means a person appointed under contractual arrangements with the Company to hold shares or rights or interests in shares of the Company on a nominee basis;</w:t>
      </w:r>
    </w:p>
    <w:p>
      <w:pPr>
        <w:pStyle w:val="TextBody"/>
        <w:bidi w:val="0"/>
        <w:spacing w:lineRule="auto" w:line="288" w:before="0" w:after="220"/>
        <w:ind w:left="0" w:right="0" w:hanging="720"/>
        <w:jc w:val="both"/>
        <w:rPr/>
      </w:pPr>
      <w:r>
        <w:rPr>
          <w:rFonts w:ascii="Times New Roman;serif" w:hAnsi="Times New Roman;serif"/>
          <w:b w:val="false"/>
          <w:color w:val="000000"/>
          <w:sz w:val="22"/>
        </w:rPr>
        <w:t>2.5    “</w:t>
      </w:r>
      <w:r>
        <w:rPr>
          <w:rFonts w:ascii="Times New Roman;serif" w:hAnsi="Times New Roman;serif"/>
          <w:b/>
          <w:color w:val="000000"/>
          <w:sz w:val="22"/>
        </w:rPr>
        <w:t>Article</w:t>
      </w:r>
      <w:r>
        <w:rPr>
          <w:color w:val="000000"/>
        </w:rPr>
        <w:t>”</w:t>
      </w:r>
      <w:r>
        <w:rPr>
          <w:rFonts w:ascii="Times New Roman;serif" w:hAnsi="Times New Roman;serif"/>
          <w:b w:val="false"/>
          <w:color w:val="000000"/>
          <w:sz w:val="22"/>
        </w:rPr>
        <w:t>, means an article of these Articles;</w:t>
      </w:r>
    </w:p>
    <w:p>
      <w:pPr>
        <w:pStyle w:val="TextBody"/>
        <w:bidi w:val="0"/>
        <w:spacing w:lineRule="auto" w:line="288" w:before="0" w:after="220"/>
        <w:ind w:left="0" w:right="0" w:hanging="720"/>
        <w:jc w:val="both"/>
        <w:rPr/>
      </w:pPr>
      <w:r>
        <w:rPr>
          <w:rFonts w:ascii="Times New Roman;serif" w:hAnsi="Times New Roman;serif"/>
          <w:b w:val="false"/>
          <w:color w:val="000000"/>
          <w:sz w:val="22"/>
        </w:rPr>
        <w:t>2.6    “</w:t>
      </w:r>
      <w:r>
        <w:rPr>
          <w:rFonts w:ascii="Times New Roman;serif" w:hAnsi="Times New Roman;serif"/>
          <w:b/>
          <w:color w:val="000000"/>
          <w:sz w:val="22"/>
        </w:rPr>
        <w:t>Articles</w:t>
      </w:r>
      <w:r>
        <w:rPr>
          <w:color w:val="000000"/>
        </w:rPr>
        <w:t>”</w:t>
      </w:r>
      <w:r>
        <w:rPr>
          <w:rFonts w:ascii="Times New Roman;serif" w:hAnsi="Times New Roman;serif"/>
          <w:b w:val="false"/>
          <w:color w:val="000000"/>
          <w:sz w:val="22"/>
        </w:rPr>
        <w:t>, means these articles of association as from time to time and for the time being in force;</w:t>
      </w:r>
    </w:p>
    <w:p>
      <w:pPr>
        <w:pStyle w:val="TextBody"/>
        <w:bidi w:val="0"/>
        <w:spacing w:lineRule="auto" w:line="288" w:before="0" w:after="220"/>
        <w:ind w:left="0" w:right="0" w:hanging="720"/>
        <w:jc w:val="both"/>
        <w:rPr/>
      </w:pPr>
      <w:r>
        <w:rPr>
          <w:rFonts w:ascii="Times New Roman;serif" w:hAnsi="Times New Roman;serif"/>
          <w:b w:val="false"/>
          <w:color w:val="000000"/>
          <w:sz w:val="22"/>
        </w:rPr>
        <w:t>2.7    “</w:t>
      </w:r>
      <w:r>
        <w:rPr>
          <w:rFonts w:ascii="Times New Roman;serif" w:hAnsi="Times New Roman;serif"/>
          <w:b/>
          <w:color w:val="000000"/>
          <w:sz w:val="22"/>
        </w:rPr>
        <w:t>Auditors</w:t>
      </w:r>
      <w:r>
        <w:rPr>
          <w:color w:val="000000"/>
        </w:rPr>
        <w:t>”</w:t>
      </w:r>
      <w:r>
        <w:rPr>
          <w:rFonts w:ascii="Times New Roman;serif" w:hAnsi="Times New Roman;serif"/>
          <w:b w:val="false"/>
          <w:color w:val="000000"/>
          <w:sz w:val="22"/>
        </w:rPr>
        <w:t>, means the auditors for the time being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2.8    “</w:t>
      </w:r>
      <w:r>
        <w:rPr>
          <w:rFonts w:ascii="Times New Roman;serif" w:hAnsi="Times New Roman;serif"/>
          <w:b/>
          <w:color w:val="000000"/>
          <w:sz w:val="22"/>
        </w:rPr>
        <w:t>A Ordinary Shares</w:t>
      </w:r>
      <w:r>
        <w:rPr>
          <w:color w:val="000000"/>
        </w:rPr>
        <w:t>”</w:t>
      </w:r>
      <w:r>
        <w:rPr>
          <w:rFonts w:ascii="Times New Roman;serif" w:hAnsi="Times New Roman;serif"/>
          <w:b w:val="false"/>
          <w:color w:val="000000"/>
          <w:sz w:val="22"/>
        </w:rPr>
        <w:t>, means the A Ordinary Shares of $0.01 each in the capital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2.9    “</w:t>
      </w:r>
      <w:r>
        <w:rPr>
          <w:rFonts w:ascii="Times New Roman;serif" w:hAnsi="Times New Roman;serif"/>
          <w:b/>
          <w:color w:val="000000"/>
          <w:sz w:val="22"/>
        </w:rPr>
        <w:t>B Ordinary Shares</w:t>
      </w:r>
      <w:r>
        <w:rPr>
          <w:color w:val="000000"/>
        </w:rPr>
        <w:t>”</w:t>
      </w:r>
      <w:r>
        <w:rPr>
          <w:rFonts w:ascii="Times New Roman;serif" w:hAnsi="Times New Roman;serif"/>
          <w:b w:val="false"/>
          <w:color w:val="000000"/>
          <w:sz w:val="22"/>
        </w:rPr>
        <w:t>, means the B Ordinary Shares of $0.01 each in the capital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2.10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means the board of Directors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2.11    “</w:t>
      </w:r>
      <w:r>
        <w:rPr>
          <w:rFonts w:ascii="Times New Roman;serif" w:hAnsi="Times New Roman;serif"/>
          <w:b/>
          <w:color w:val="000000"/>
          <w:sz w:val="22"/>
        </w:rPr>
        <w:t>Business Day</w:t>
      </w:r>
      <w:r>
        <w:rPr>
          <w:color w:val="000000"/>
        </w:rPr>
        <w:t>”</w:t>
      </w:r>
      <w:r>
        <w:rPr>
          <w:rFonts w:ascii="Times New Roman;serif" w:hAnsi="Times New Roman;serif"/>
          <w:b w:val="false"/>
          <w:color w:val="000000"/>
          <w:sz w:val="22"/>
        </w:rPr>
        <w:t>, means a day which is not a Saturday or a Sunday or a bank or public holiday in Dublin, Ireland or New York, New York;</w:t>
      </w:r>
    </w:p>
    <w:p>
      <w:pPr>
        <w:pStyle w:val="TextBody"/>
        <w:bidi w:val="0"/>
        <w:spacing w:lineRule="auto" w:line="288" w:before="0" w:after="220"/>
        <w:ind w:left="0" w:right="0" w:hanging="720"/>
        <w:jc w:val="both"/>
        <w:rPr/>
      </w:pPr>
      <w:r>
        <w:rPr>
          <w:rFonts w:ascii="Times New Roman;serif" w:hAnsi="Times New Roman;serif"/>
          <w:b w:val="false"/>
          <w:color w:val="000000"/>
          <w:sz w:val="22"/>
        </w:rPr>
        <w:t>2.12    “</w:t>
      </w:r>
      <w:r>
        <w:rPr>
          <w:rFonts w:ascii="Times New Roman;serif" w:hAnsi="Times New Roman;serif"/>
          <w:b/>
          <w:color w:val="000000"/>
          <w:sz w:val="22"/>
        </w:rPr>
        <w:t>Chair</w:t>
      </w:r>
      <w:r>
        <w:rPr>
          <w:color w:val="000000"/>
        </w:rPr>
        <w:t>”</w:t>
      </w:r>
      <w:r>
        <w:rPr>
          <w:rFonts w:ascii="Times New Roman;serif" w:hAnsi="Times New Roman;serif"/>
          <w:b w:val="false"/>
          <w:color w:val="000000"/>
          <w:sz w:val="22"/>
        </w:rPr>
        <w:t>, means the person occupying the position of chair of the Board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txbxContent>
                </v:textbox>
                <w10:wrap type="none"/>
              </v:rect>
            </w:pict>
          </mc:Fallback>
        </mc:AlternateContent>
      </w:r>
    </w:p>
    <w:p>
      <w:pPr>
        <w:pStyle w:val="TextBody"/>
        <w:bidi w:val="0"/>
        <w:spacing w:lineRule="auto" w:line="288" w:before="0" w:after="220"/>
        <w:ind w:left="0" w:right="0" w:hanging="720"/>
        <w:jc w:val="both"/>
        <w:rPr/>
      </w:pPr>
      <w:r>
        <w:rPr>
          <w:rFonts w:ascii="Times New Roman;serif" w:hAnsi="Times New Roman;serif"/>
          <w:b w:val="false"/>
          <w:color w:val="000000"/>
          <w:sz w:val="22"/>
        </w:rPr>
        <w:t>2.13    “</w:t>
      </w:r>
      <w:r>
        <w:rPr>
          <w:rFonts w:ascii="Times New Roman;serif" w:hAnsi="Times New Roman;serif"/>
          <w:b/>
          <w:color w:val="000000"/>
          <w:sz w:val="22"/>
        </w:rPr>
        <w:t>Chief Executive Officer</w:t>
      </w:r>
      <w:r>
        <w:rPr>
          <w:color w:val="000000"/>
        </w:rPr>
        <w:t>”</w:t>
      </w:r>
      <w:r>
        <w:rPr>
          <w:rFonts w:ascii="Times New Roman;serif" w:hAnsi="Times New Roman;serif"/>
          <w:b w:val="false"/>
          <w:color w:val="000000"/>
          <w:sz w:val="22"/>
        </w:rPr>
        <w:t>, shall include any equivalent office;</w:t>
      </w:r>
    </w:p>
    <w:p>
      <w:pPr>
        <w:pStyle w:val="TextBody"/>
        <w:bidi w:val="0"/>
        <w:spacing w:lineRule="auto" w:line="288" w:before="0" w:after="220"/>
        <w:ind w:left="0" w:right="0" w:hanging="720"/>
        <w:jc w:val="both"/>
        <w:rPr/>
      </w:pPr>
      <w:r>
        <w:rPr>
          <w:rFonts w:ascii="Times New Roman;serif" w:hAnsi="Times New Roman;serif"/>
          <w:b w:val="false"/>
          <w:color w:val="000000"/>
          <w:sz w:val="22"/>
        </w:rPr>
        <w:t>2.14    “</w:t>
      </w:r>
      <w:r>
        <w:rPr>
          <w:rFonts w:ascii="Times New Roman;serif" w:hAnsi="Times New Roman;serif"/>
          <w:b/>
          <w:color w:val="000000"/>
          <w:sz w:val="22"/>
        </w:rPr>
        <w:t>Clear Days</w:t>
      </w:r>
      <w:r>
        <w:rPr>
          <w:color w:val="000000"/>
        </w:rPr>
        <w:t>”</w:t>
      </w:r>
      <w:r>
        <w:rPr>
          <w:rFonts w:ascii="Times New Roman;serif" w:hAnsi="Times New Roman;serif"/>
          <w:b w:val="false"/>
          <w:color w:val="000000"/>
          <w:sz w:val="22"/>
        </w:rPr>
        <w:t>, means, in relation to a period of notice, that period excluding the day when the notice is given or deemed to be given and excluding the day for which notice is being given or on which an action or event for which notice is being given is to occur or take effect;</w:t>
      </w:r>
    </w:p>
    <w:p>
      <w:pPr>
        <w:pStyle w:val="TextBody"/>
        <w:bidi w:val="0"/>
        <w:spacing w:lineRule="auto" w:line="288" w:before="0" w:after="220"/>
        <w:ind w:left="0" w:right="0" w:hanging="720"/>
        <w:jc w:val="both"/>
        <w:rPr/>
      </w:pPr>
      <w:r>
        <w:rPr>
          <w:rFonts w:ascii="Times New Roman;serif" w:hAnsi="Times New Roman;serif"/>
          <w:b w:val="false"/>
          <w:color w:val="000000"/>
          <w:sz w:val="22"/>
        </w:rPr>
        <w:t>2.15    “</w:t>
      </w:r>
      <w:r>
        <w:rPr>
          <w:rFonts w:ascii="Times New Roman;serif" w:hAnsi="Times New Roman;serif"/>
          <w:b/>
          <w:color w:val="000000"/>
          <w:sz w:val="22"/>
        </w:rPr>
        <w:t>Close of Business</w:t>
      </w:r>
      <w:r>
        <w:rPr>
          <w:color w:val="000000"/>
        </w:rPr>
        <w:t>”</w:t>
      </w:r>
      <w:r>
        <w:rPr>
          <w:rFonts w:ascii="Times New Roman;serif" w:hAnsi="Times New Roman;serif"/>
          <w:b w:val="false"/>
          <w:color w:val="000000"/>
          <w:sz w:val="22"/>
        </w:rPr>
        <w:t>, means 5:00pm New York time;</w:t>
      </w:r>
    </w:p>
    <w:p>
      <w:pPr>
        <w:pStyle w:val="TextBody"/>
        <w:bidi w:val="0"/>
        <w:spacing w:lineRule="auto" w:line="288" w:before="0" w:after="220"/>
        <w:ind w:left="0" w:right="0" w:hanging="720"/>
        <w:jc w:val="both"/>
        <w:rPr/>
      </w:pPr>
      <w:r>
        <w:rPr>
          <w:rFonts w:ascii="Times New Roman;serif" w:hAnsi="Times New Roman;serif"/>
          <w:b w:val="false"/>
          <w:color w:val="000000"/>
          <w:sz w:val="22"/>
        </w:rPr>
        <w:t>2.16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means the company whose name appears in the heading to these Articles;</w:t>
      </w:r>
    </w:p>
    <w:p>
      <w:pPr>
        <w:pStyle w:val="TextBody"/>
        <w:bidi w:val="0"/>
        <w:spacing w:lineRule="auto" w:line="288" w:before="0" w:after="220"/>
        <w:ind w:left="0" w:right="0" w:hanging="720"/>
        <w:jc w:val="both"/>
        <w:rPr/>
      </w:pPr>
      <w:r>
        <w:rPr>
          <w:rFonts w:ascii="Times New Roman;serif" w:hAnsi="Times New Roman;serif"/>
          <w:b w:val="false"/>
          <w:color w:val="000000"/>
          <w:sz w:val="22"/>
        </w:rPr>
        <w:t>2.17    “</w:t>
      </w:r>
      <w:r>
        <w:rPr>
          <w:rFonts w:ascii="Times New Roman;serif" w:hAnsi="Times New Roman;serif"/>
          <w:b/>
          <w:color w:val="000000"/>
          <w:sz w:val="22"/>
        </w:rPr>
        <w:t>Company Secretary</w:t>
      </w:r>
      <w:r>
        <w:rPr>
          <w:color w:val="000000"/>
        </w:rPr>
        <w:t>”</w:t>
      </w:r>
      <w:r>
        <w:rPr>
          <w:rFonts w:ascii="Times New Roman;serif" w:hAnsi="Times New Roman;serif"/>
          <w:b w:val="false"/>
          <w:color w:val="000000"/>
          <w:sz w:val="22"/>
        </w:rPr>
        <w:t>, means the person or persons appointed as company secretary or joint company secretary of the Company from time to time and shall include any assistant or deputy secretary;</w:t>
      </w:r>
    </w:p>
    <w:p>
      <w:pPr>
        <w:pStyle w:val="TextBody"/>
        <w:bidi w:val="0"/>
        <w:spacing w:lineRule="auto" w:line="288" w:before="0" w:after="220"/>
        <w:ind w:left="0" w:right="0" w:hanging="720"/>
        <w:jc w:val="both"/>
        <w:rPr/>
      </w:pPr>
      <w:r>
        <w:rPr>
          <w:rFonts w:ascii="Times New Roman;serif" w:hAnsi="Times New Roman;serif"/>
          <w:b w:val="false"/>
          <w:color w:val="000000"/>
          <w:sz w:val="22"/>
        </w:rPr>
        <w:t>2.18    “</w:t>
      </w:r>
      <w:r>
        <w:rPr>
          <w:rFonts w:ascii="Times New Roman;serif" w:hAnsi="Times New Roman;serif"/>
          <w:b/>
          <w:color w:val="000000"/>
          <w:sz w:val="22"/>
        </w:rPr>
        <w:t>Deferred Shares</w:t>
      </w:r>
      <w:r>
        <w:rPr>
          <w:color w:val="000000"/>
        </w:rPr>
        <w:t>”</w:t>
      </w:r>
      <w:r>
        <w:rPr>
          <w:rFonts w:ascii="Times New Roman;serif" w:hAnsi="Times New Roman;serif"/>
          <w:b w:val="false"/>
          <w:color w:val="000000"/>
          <w:sz w:val="22"/>
        </w:rPr>
        <w:t>, means the deferred shares of €1.00 each in the capital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2.19    “</w:t>
      </w:r>
      <w:r>
        <w:rPr>
          <w:rFonts w:ascii="Times New Roman;serif" w:hAnsi="Times New Roman;serif"/>
          <w:b/>
          <w:color w:val="000000"/>
          <w:sz w:val="22"/>
        </w:rPr>
        <w:t>Directors</w:t>
      </w:r>
      <w:r>
        <w:rPr>
          <w:color w:val="000000"/>
        </w:rPr>
        <w:t>”</w:t>
      </w:r>
      <w:r>
        <w:rPr>
          <w:rFonts w:ascii="Times New Roman;serif" w:hAnsi="Times New Roman;serif"/>
          <w:b w:val="false"/>
          <w:color w:val="000000"/>
          <w:sz w:val="22"/>
        </w:rPr>
        <w:t>, means the directors for the time being of the Company or any of them acting as the Board;</w:t>
      </w:r>
    </w:p>
    <w:p>
      <w:pPr>
        <w:pStyle w:val="TextBody"/>
        <w:bidi w:val="0"/>
        <w:spacing w:lineRule="auto" w:line="288" w:before="0" w:after="220"/>
        <w:ind w:left="0" w:right="0" w:hanging="720"/>
        <w:jc w:val="both"/>
        <w:rPr/>
      </w:pPr>
      <w:r>
        <w:rPr>
          <w:rFonts w:ascii="Times New Roman;serif" w:hAnsi="Times New Roman;serif"/>
          <w:b w:val="false"/>
          <w:color w:val="000000"/>
          <w:sz w:val="22"/>
        </w:rPr>
        <w:t>2.20    “</w:t>
      </w:r>
      <w:r>
        <w:rPr>
          <w:rFonts w:ascii="Times New Roman;serif" w:hAnsi="Times New Roman;serif"/>
          <w:b/>
          <w:color w:val="000000"/>
          <w:sz w:val="22"/>
        </w:rPr>
        <w:t>electronic communication</w:t>
      </w:r>
      <w:r>
        <w:rPr>
          <w:color w:val="000000"/>
        </w:rPr>
        <w:t>”</w:t>
      </w:r>
      <w:r>
        <w:rPr>
          <w:rFonts w:ascii="Times New Roman;serif" w:hAnsi="Times New Roman;serif"/>
          <w:b w:val="false"/>
          <w:color w:val="000000"/>
          <w:sz w:val="22"/>
        </w:rPr>
        <w:t>, has the meaning given to that word in the Electronic Commerce Act 2000 and in addition includes in the case of notices or documents issued on behalf of the Company, such documents being made available or displayed on a website of the Company (or a website designated by the Board);</w:t>
      </w:r>
    </w:p>
    <w:p>
      <w:pPr>
        <w:pStyle w:val="TextBody"/>
        <w:bidi w:val="0"/>
        <w:spacing w:lineRule="auto" w:line="288" w:before="0" w:after="220"/>
        <w:ind w:left="0" w:right="0" w:hanging="720"/>
        <w:jc w:val="both"/>
        <w:rPr/>
      </w:pPr>
      <w:r>
        <w:rPr>
          <w:rFonts w:ascii="Times New Roman;serif" w:hAnsi="Times New Roman;serif"/>
          <w:b w:val="false"/>
          <w:color w:val="000000"/>
          <w:sz w:val="22"/>
        </w:rPr>
        <w:t>2.21    “</w:t>
      </w:r>
      <w:r>
        <w:rPr>
          <w:rFonts w:ascii="Times New Roman;serif" w:hAnsi="Times New Roman;serif"/>
          <w:b/>
          <w:color w:val="000000"/>
          <w:sz w:val="22"/>
        </w:rPr>
        <w:t>Exchange</w:t>
      </w:r>
      <w:r>
        <w:rPr>
          <w:color w:val="000000"/>
        </w:rPr>
        <w:t>”</w:t>
      </w:r>
      <w:r>
        <w:rPr>
          <w:rFonts w:ascii="Times New Roman;serif" w:hAnsi="Times New Roman;serif"/>
          <w:b w:val="false"/>
          <w:color w:val="000000"/>
          <w:sz w:val="22"/>
        </w:rPr>
        <w:t>, means any securities exchange or other system on which the shares of the Company or depository receipts in respect of the shares of the Company may be listed or otherwise authorised or sponsored for trading from time to time in circumstances where the Company has approved such listing or trading;</w:t>
      </w:r>
    </w:p>
    <w:p>
      <w:pPr>
        <w:pStyle w:val="TextBody"/>
        <w:bidi w:val="0"/>
        <w:spacing w:lineRule="auto" w:line="288" w:before="0" w:after="220"/>
        <w:ind w:left="0" w:right="0" w:hanging="720"/>
        <w:jc w:val="both"/>
        <w:rPr/>
      </w:pPr>
      <w:r>
        <w:rPr>
          <w:rFonts w:ascii="Times New Roman;serif" w:hAnsi="Times New Roman;serif"/>
          <w:b w:val="false"/>
          <w:color w:val="000000"/>
          <w:sz w:val="22"/>
        </w:rPr>
        <w:t>2.22    </w:t>
      </w:r>
      <w:r>
        <w:rPr>
          <w:color w:val="000000"/>
        </w:rPr>
        <w:t xml:space="preserve"> “</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means the Securities Exchange Act of 1934 of the United States, as amended and the rules promulgated thereunder;</w:t>
      </w:r>
    </w:p>
    <w:p>
      <w:pPr>
        <w:pStyle w:val="TextBody"/>
        <w:bidi w:val="0"/>
        <w:spacing w:lineRule="auto" w:line="288" w:before="0" w:after="220"/>
        <w:ind w:left="0" w:right="0" w:hanging="720"/>
        <w:jc w:val="both"/>
        <w:rPr/>
      </w:pPr>
      <w:r>
        <w:rPr>
          <w:rFonts w:ascii="Times New Roman;serif" w:hAnsi="Times New Roman;serif"/>
          <w:b w:val="false"/>
          <w:color w:val="000000"/>
          <w:sz w:val="22"/>
        </w:rPr>
        <w:t>2.23    “</w:t>
      </w:r>
      <w:r>
        <w:rPr>
          <w:rFonts w:ascii="Times New Roman;serif" w:hAnsi="Times New Roman;serif"/>
          <w:b/>
          <w:color w:val="000000"/>
          <w:sz w:val="22"/>
        </w:rPr>
        <w:t>Group</w:t>
      </w:r>
      <w:r>
        <w:rPr>
          <w:color w:val="000000"/>
        </w:rPr>
        <w:t>”</w:t>
      </w:r>
      <w:r>
        <w:rPr>
          <w:rFonts w:ascii="Times New Roman;serif" w:hAnsi="Times New Roman;serif"/>
          <w:b w:val="false"/>
          <w:color w:val="000000"/>
          <w:sz w:val="22"/>
        </w:rPr>
        <w:t>, means the Company and its subsidiaries from time to time and for the time being;</w:t>
      </w:r>
    </w:p>
    <w:p>
      <w:pPr>
        <w:pStyle w:val="TextBody"/>
        <w:bidi w:val="0"/>
        <w:spacing w:lineRule="auto" w:line="288" w:before="0" w:after="220"/>
        <w:ind w:left="0" w:right="0" w:hanging="720"/>
        <w:jc w:val="both"/>
        <w:rPr/>
      </w:pPr>
      <w:r>
        <w:rPr>
          <w:rFonts w:ascii="Times New Roman;serif" w:hAnsi="Times New Roman;serif"/>
          <w:b w:val="false"/>
          <w:color w:val="000000"/>
          <w:sz w:val="22"/>
        </w:rPr>
        <w:t>2.24    “</w:t>
      </w:r>
      <w:r>
        <w:rPr>
          <w:rFonts w:ascii="Times New Roman;serif" w:hAnsi="Times New Roman;serif"/>
          <w:b/>
          <w:color w:val="000000"/>
          <w:sz w:val="22"/>
        </w:rPr>
        <w:t>member</w:t>
      </w:r>
      <w:r>
        <w:rPr>
          <w:color w:val="000000"/>
        </w:rPr>
        <w:t>”</w:t>
      </w:r>
      <w:r>
        <w:rPr>
          <w:rFonts w:ascii="Times New Roman;serif" w:hAnsi="Times New Roman;serif"/>
          <w:b w:val="false"/>
          <w:color w:val="000000"/>
          <w:sz w:val="22"/>
        </w:rPr>
        <w:t>, means in relation to any share, the member whose name is entered in the Register as the holder of the share or, where the context permits, the members whose names are entered in the Register as the joint holders of shares and shall include a member’s personal representatives in consequence of his or her death or bankruptcy;</w:t>
      </w:r>
    </w:p>
    <w:p>
      <w:pPr>
        <w:pStyle w:val="TextBody"/>
        <w:bidi w:val="0"/>
        <w:spacing w:lineRule="auto" w:line="288" w:before="0" w:after="220"/>
        <w:ind w:left="0" w:right="0" w:hanging="720"/>
        <w:jc w:val="both"/>
        <w:rPr/>
      </w:pPr>
      <w:r>
        <w:rPr>
          <w:rFonts w:ascii="Times New Roman;serif" w:hAnsi="Times New Roman;serif"/>
          <w:b w:val="false"/>
          <w:color w:val="000000"/>
          <w:sz w:val="22"/>
        </w:rPr>
        <w:t>2.25    “</w:t>
      </w:r>
      <w:r>
        <w:rPr>
          <w:rFonts w:ascii="Times New Roman;serif" w:hAnsi="Times New Roman;serif"/>
          <w:b/>
          <w:color w:val="000000"/>
          <w:sz w:val="22"/>
        </w:rPr>
        <w:t>Memorandum</w:t>
      </w:r>
      <w:r>
        <w:rPr>
          <w:color w:val="000000"/>
        </w:rPr>
        <w:t>”</w:t>
      </w:r>
      <w:r>
        <w:rPr>
          <w:rFonts w:ascii="Times New Roman;serif" w:hAnsi="Times New Roman;serif"/>
          <w:b w:val="false"/>
          <w:color w:val="000000"/>
          <w:sz w:val="22"/>
        </w:rPr>
        <w:t>, means the memorandum of association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2.26    “</w:t>
      </w:r>
      <w:r>
        <w:rPr>
          <w:rFonts w:ascii="Times New Roman;serif" w:hAnsi="Times New Roman;serif"/>
          <w:b/>
          <w:color w:val="000000"/>
          <w:sz w:val="22"/>
        </w:rPr>
        <w:t>Office</w:t>
      </w:r>
      <w:r>
        <w:rPr>
          <w:color w:val="000000"/>
        </w:rPr>
        <w:t>”</w:t>
      </w:r>
      <w:r>
        <w:rPr>
          <w:rFonts w:ascii="Times New Roman;serif" w:hAnsi="Times New Roman;serif"/>
          <w:b w:val="false"/>
          <w:color w:val="000000"/>
          <w:sz w:val="22"/>
        </w:rPr>
        <w:t>, means the registered office for the time being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2.27    “</w:t>
      </w:r>
      <w:r>
        <w:rPr>
          <w:rFonts w:ascii="Times New Roman;serif" w:hAnsi="Times New Roman;serif"/>
          <w:b/>
          <w:color w:val="000000"/>
          <w:sz w:val="22"/>
        </w:rPr>
        <w:t>Preferred Shares</w:t>
      </w:r>
      <w:r>
        <w:rPr>
          <w:color w:val="000000"/>
        </w:rPr>
        <w:t>”</w:t>
      </w:r>
      <w:r>
        <w:rPr>
          <w:rFonts w:ascii="Times New Roman;serif" w:hAnsi="Times New Roman;serif"/>
          <w:b w:val="false"/>
          <w:color w:val="000000"/>
          <w:sz w:val="22"/>
        </w:rPr>
        <w:t>, means the preferred shares of $0.01 each in the capital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2.28    “</w:t>
      </w:r>
      <w:r>
        <w:rPr>
          <w:rFonts w:ascii="Times New Roman;serif" w:hAnsi="Times New Roman;serif"/>
          <w:b/>
          <w:color w:val="000000"/>
          <w:sz w:val="22"/>
        </w:rPr>
        <w:t>Redeemable Shares</w:t>
      </w:r>
      <w:r>
        <w:rPr>
          <w:color w:val="000000"/>
        </w:rPr>
        <w:t>”</w:t>
      </w:r>
      <w:r>
        <w:rPr>
          <w:rFonts w:ascii="Times New Roman;serif" w:hAnsi="Times New Roman;serif"/>
          <w:b w:val="false"/>
          <w:color w:val="000000"/>
          <w:sz w:val="22"/>
        </w:rPr>
        <w:t>, means redeemable shares as defined by section 64 of the Act;</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txbxContent>
                </v:textbox>
                <w10:wrap type="none"/>
              </v:rect>
            </w:pict>
          </mc:Fallback>
        </mc:AlternateContent>
      </w:r>
    </w:p>
    <w:p>
      <w:pPr>
        <w:pStyle w:val="TextBody"/>
        <w:bidi w:val="0"/>
        <w:spacing w:lineRule="auto" w:line="288" w:before="0" w:after="220"/>
        <w:ind w:left="0" w:right="0" w:hanging="720"/>
        <w:jc w:val="both"/>
        <w:rPr/>
      </w:pPr>
      <w:r>
        <w:rPr>
          <w:rFonts w:ascii="Times New Roman;serif" w:hAnsi="Times New Roman;serif"/>
          <w:b w:val="false"/>
          <w:color w:val="000000"/>
          <w:sz w:val="22"/>
        </w:rPr>
        <w:t>2.29    “</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means the register of members of the Company to be kept as required by the Act;</w:t>
      </w:r>
    </w:p>
    <w:p>
      <w:pPr>
        <w:pStyle w:val="TextBody"/>
        <w:bidi w:val="0"/>
        <w:spacing w:lineRule="auto" w:line="288" w:before="0" w:after="220"/>
        <w:ind w:left="0" w:right="0" w:hanging="720"/>
        <w:jc w:val="both"/>
        <w:rPr/>
      </w:pPr>
      <w:r>
        <w:rPr>
          <w:rFonts w:ascii="Times New Roman;serif" w:hAnsi="Times New Roman;serif"/>
          <w:b w:val="false"/>
          <w:color w:val="000000"/>
          <w:sz w:val="22"/>
        </w:rPr>
        <w:t>2.30    “</w:t>
      </w:r>
      <w:r>
        <w:rPr>
          <w:rFonts w:ascii="Times New Roman;serif" w:hAnsi="Times New Roman;serif"/>
          <w:b/>
          <w:color w:val="000000"/>
          <w:sz w:val="22"/>
        </w:rPr>
        <w:t>Relevant Person</w:t>
      </w:r>
      <w:r>
        <w:rPr>
          <w:color w:val="000000"/>
        </w:rPr>
        <w:t>”</w:t>
      </w:r>
      <w:r>
        <w:rPr>
          <w:rFonts w:ascii="Times New Roman;serif" w:hAnsi="Times New Roman;serif"/>
          <w:b w:val="false"/>
          <w:color w:val="000000"/>
          <w:sz w:val="22"/>
        </w:rPr>
        <w:t>, has the meaning given in Article 8.1;</w:t>
      </w:r>
    </w:p>
    <w:p>
      <w:pPr>
        <w:pStyle w:val="TextBody"/>
        <w:bidi w:val="0"/>
        <w:spacing w:lineRule="auto" w:line="288" w:before="0" w:after="220"/>
        <w:ind w:left="0" w:right="0" w:hanging="720"/>
        <w:jc w:val="both"/>
        <w:rPr/>
      </w:pPr>
      <w:r>
        <w:rPr>
          <w:rFonts w:ascii="Times New Roman;serif" w:hAnsi="Times New Roman;serif"/>
          <w:b w:val="false"/>
          <w:color w:val="000000"/>
          <w:sz w:val="22"/>
        </w:rPr>
        <w:t>2.31    “</w:t>
      </w:r>
      <w:r>
        <w:rPr>
          <w:rFonts w:ascii="Times New Roman;serif" w:hAnsi="Times New Roman;serif"/>
          <w:b/>
          <w:color w:val="000000"/>
          <w:sz w:val="22"/>
        </w:rPr>
        <w:t>Relevant Threshold</w:t>
      </w:r>
      <w:r>
        <w:rPr>
          <w:color w:val="000000"/>
        </w:rPr>
        <w:t>”</w:t>
      </w:r>
      <w:r>
        <w:rPr>
          <w:rFonts w:ascii="Times New Roman;serif" w:hAnsi="Times New Roman;serif"/>
          <w:b w:val="false"/>
          <w:color w:val="000000"/>
          <w:sz w:val="22"/>
        </w:rPr>
        <w:t>, has the meaning given in Article 8.1;</w:t>
      </w:r>
    </w:p>
    <w:p>
      <w:pPr>
        <w:pStyle w:val="TextBody"/>
        <w:bidi w:val="0"/>
        <w:spacing w:lineRule="auto" w:line="288" w:before="0" w:after="220"/>
        <w:ind w:left="0" w:right="0" w:hanging="720"/>
        <w:jc w:val="both"/>
        <w:rPr/>
      </w:pPr>
      <w:r>
        <w:rPr>
          <w:rFonts w:ascii="Times New Roman;serif" w:hAnsi="Times New Roman;serif"/>
          <w:b w:val="false"/>
          <w:color w:val="000000"/>
          <w:sz w:val="22"/>
        </w:rPr>
        <w:t>2.32    “</w:t>
      </w:r>
      <w:r>
        <w:rPr>
          <w:rFonts w:ascii="Times New Roman;serif" w:hAnsi="Times New Roman;serif"/>
          <w:b/>
          <w:color w:val="000000"/>
          <w:sz w:val="22"/>
        </w:rPr>
        <w:t>Reversal Event</w:t>
      </w:r>
      <w:r>
        <w:rPr>
          <w:color w:val="000000"/>
        </w:rPr>
        <w:t>”</w:t>
      </w:r>
      <w:r>
        <w:rPr>
          <w:rFonts w:ascii="Times New Roman;serif" w:hAnsi="Times New Roman;serif"/>
          <w:b w:val="false"/>
          <w:color w:val="000000"/>
          <w:sz w:val="22"/>
        </w:rPr>
        <w:t>, has the meaning given in Article 8.1;</w:t>
      </w:r>
    </w:p>
    <w:p>
      <w:pPr>
        <w:pStyle w:val="TextBody"/>
        <w:bidi w:val="0"/>
        <w:spacing w:lineRule="auto" w:line="288" w:before="0" w:after="220"/>
        <w:ind w:left="0" w:right="0" w:hanging="720"/>
        <w:jc w:val="both"/>
        <w:rPr/>
      </w:pPr>
      <w:r>
        <w:rPr>
          <w:rFonts w:ascii="Times New Roman;serif" w:hAnsi="Times New Roman;serif"/>
          <w:b w:val="false"/>
          <w:color w:val="000000"/>
          <w:sz w:val="22"/>
        </w:rPr>
        <w:t>2.33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means the U.S. Securities and Exchange Commission;</w:t>
      </w:r>
    </w:p>
    <w:p>
      <w:pPr>
        <w:pStyle w:val="TextBody"/>
        <w:bidi w:val="0"/>
        <w:spacing w:lineRule="auto" w:line="288" w:before="0" w:after="220"/>
        <w:ind w:left="0" w:right="0" w:hanging="720"/>
        <w:jc w:val="both"/>
        <w:rPr/>
      </w:pPr>
      <w:r>
        <w:rPr>
          <w:rFonts w:ascii="Times New Roman;serif" w:hAnsi="Times New Roman;serif"/>
          <w:b w:val="false"/>
          <w:color w:val="000000"/>
          <w:sz w:val="22"/>
        </w:rPr>
        <w:t>2.34    “</w:t>
      </w:r>
      <w:r>
        <w:rPr>
          <w:rFonts w:ascii="Times New Roman;serif" w:hAnsi="Times New Roman;serif"/>
          <w:b/>
          <w:color w:val="000000"/>
          <w:sz w:val="22"/>
        </w:rPr>
        <w:t>Suspended Voting Rights</w:t>
      </w:r>
      <w:r>
        <w:rPr>
          <w:color w:val="000000"/>
        </w:rPr>
        <w:t>”</w:t>
      </w:r>
      <w:r>
        <w:rPr>
          <w:rFonts w:ascii="Times New Roman;serif" w:hAnsi="Times New Roman;serif"/>
          <w:b w:val="false"/>
          <w:color w:val="000000"/>
          <w:sz w:val="22"/>
        </w:rPr>
        <w:t>, has the meaning given in Article 8.1;</w:t>
      </w:r>
    </w:p>
    <w:p>
      <w:pPr>
        <w:pStyle w:val="TextBody"/>
        <w:bidi w:val="0"/>
        <w:spacing w:lineRule="auto" w:line="288" w:before="0" w:after="220"/>
        <w:ind w:left="0" w:right="0" w:hanging="720"/>
        <w:jc w:val="both"/>
        <w:rPr/>
      </w:pPr>
      <w:r>
        <w:rPr>
          <w:rFonts w:ascii="Times New Roman;serif" w:hAnsi="Times New Roman;serif"/>
          <w:b w:val="false"/>
          <w:color w:val="000000"/>
          <w:sz w:val="22"/>
        </w:rPr>
        <w:t>2.35    “</w:t>
      </w:r>
      <w:r>
        <w:rPr>
          <w:rFonts w:ascii="Times New Roman;serif" w:hAnsi="Times New Roman;serif"/>
          <w:b/>
          <w:color w:val="000000"/>
          <w:sz w:val="22"/>
        </w:rPr>
        <w:t>Takeover Panel</w:t>
      </w:r>
      <w:r>
        <w:rPr>
          <w:color w:val="000000"/>
        </w:rPr>
        <w:t>”</w:t>
      </w:r>
      <w:r>
        <w:rPr>
          <w:rFonts w:ascii="Times New Roman;serif" w:hAnsi="Times New Roman;serif"/>
          <w:b w:val="false"/>
          <w:color w:val="000000"/>
          <w:sz w:val="22"/>
        </w:rPr>
        <w:t>, means the Irish Takeover Panel established under the Irish Takeover Panel Act 1997;</w:t>
      </w:r>
    </w:p>
    <w:p>
      <w:pPr>
        <w:pStyle w:val="TextBody"/>
        <w:bidi w:val="0"/>
        <w:spacing w:lineRule="auto" w:line="288" w:before="0" w:after="220"/>
        <w:ind w:left="0" w:right="0" w:hanging="720"/>
        <w:jc w:val="both"/>
        <w:rPr/>
      </w:pPr>
      <w:r>
        <w:rPr>
          <w:rFonts w:ascii="Times New Roman;serif" w:hAnsi="Times New Roman;serif"/>
          <w:b w:val="false"/>
          <w:color w:val="000000"/>
          <w:sz w:val="22"/>
        </w:rPr>
        <w:t>2.36    “</w:t>
      </w:r>
      <w:r>
        <w:rPr>
          <w:rFonts w:ascii="Times New Roman;serif" w:hAnsi="Times New Roman;serif"/>
          <w:b/>
          <w:color w:val="000000"/>
          <w:sz w:val="22"/>
        </w:rPr>
        <w:t>Takeover Rules</w:t>
      </w:r>
      <w:r>
        <w:rPr>
          <w:color w:val="000000"/>
        </w:rPr>
        <w:t>”</w:t>
      </w:r>
      <w:r>
        <w:rPr>
          <w:rFonts w:ascii="Times New Roman;serif" w:hAnsi="Times New Roman;serif"/>
          <w:b w:val="false"/>
          <w:color w:val="000000"/>
          <w:sz w:val="22"/>
        </w:rPr>
        <w:t>, means the Irish Takeover Panel Act 1997, Takeover Rules 2022, as amended or replaced from time to time;</w:t>
      </w:r>
    </w:p>
    <w:p>
      <w:pPr>
        <w:pStyle w:val="TextBody"/>
        <w:bidi w:val="0"/>
        <w:spacing w:lineRule="auto" w:line="288" w:before="0" w:after="220"/>
        <w:ind w:left="0" w:right="0" w:hanging="720"/>
        <w:jc w:val="both"/>
        <w:rPr/>
      </w:pPr>
      <w:r>
        <w:rPr>
          <w:rFonts w:ascii="Times New Roman;serif" w:hAnsi="Times New Roman;serif"/>
          <w:b w:val="false"/>
          <w:color w:val="000000"/>
          <w:sz w:val="22"/>
        </w:rPr>
        <w:t>2.37    “</w:t>
      </w:r>
      <w:r>
        <w:rPr>
          <w:rFonts w:ascii="Times New Roman;serif" w:hAnsi="Times New Roman;serif"/>
          <w:b/>
          <w:color w:val="000000"/>
          <w:sz w:val="22"/>
        </w:rPr>
        <w:t>Transaction</w:t>
      </w:r>
      <w:r>
        <w:rPr>
          <w:color w:val="000000"/>
        </w:rPr>
        <w:t>”</w:t>
      </w:r>
      <w:r>
        <w:rPr>
          <w:rFonts w:ascii="Times New Roman;serif" w:hAnsi="Times New Roman;serif"/>
          <w:b w:val="false"/>
          <w:color w:val="000000"/>
          <w:sz w:val="22"/>
        </w:rPr>
        <w:t>, means the separation and distribution of the share capital of the Company from Hexagon AB, a Swedish public limited liability company with corporate registration number 556190-4771 and registered office located in the Stockholm Municipality of Stockholm County, Sweden.</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NOTE: it is hereby declared that in these Articles:</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    the word “company”, except where used in reference to this Company, shall be deemed to include a body corporate, whether a company (wherever formed, registered or incorporated), a corporation aggregate, a corporation sole and a national or local government or other legal entity;</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    the word “person”, shall be deemed to include any individual, firm, body corporate, association or partnership, government or state or agency of a state, local authority or government body or any joint venture association or partnership (whether or not having a separate legal personality) and that person’s personal representatives, successors or permitted assigns;</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    the word “property”, shall be deemed to include, where the context permits, real property, personal property including choses or things in action and all other intangible property and money and all estates, rights, titles and interests therein and includes the Company’s uncalled capital and future calls and all and every other undertaking and asset;</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    a word or expression used in the Articles which is not otherwise defined and which is also used in the Act shall have the same meaning here, as it has in the Act;</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    any phrase introduced by the terms “including”, “include” and “in particular” or any similar expression shall be construed as illustrative and shall not limit the sense of the words preceding those terms, whether or not followed by the phrases “but not limited to”, “without prejudice to the generality of the foregoing” or any similar expression; and</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txbxContent>
                </v:textbox>
                <w10:wrap type="none"/>
              </v:rect>
            </w:pict>
          </mc:Fallback>
        </mc:AlternateConten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f)    words denoting the singular number only shall include the plural number and vice versa and references to one gender includes all genders.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Authorised share capital</w:t>
      </w:r>
    </w:p>
    <w:p>
      <w:pPr>
        <w:pStyle w:val="TextBody"/>
        <w:bidi w:val="0"/>
        <w:spacing w:lineRule="auto" w:line="288" w:before="0" w:after="220"/>
        <w:ind w:left="0" w:right="0" w:hanging="720"/>
        <w:jc w:val="both"/>
        <w:rPr/>
      </w:pPr>
      <w:r>
        <w:rPr>
          <w:rFonts w:ascii="Times New Roman;serif" w:hAnsi="Times New Roman;serif"/>
          <w:b w:val="false"/>
          <w:color w:val="000000"/>
          <w:sz w:val="22"/>
        </w:rPr>
        <w:t>3.    The authorised share capital of the Company is $100,000,000 and €25,000, divided into 4,500,000,000 A Ordinary Shares of $0.01 each (“</w:t>
      </w:r>
      <w:r>
        <w:rPr>
          <w:rFonts w:ascii="Times New Roman;serif" w:hAnsi="Times New Roman;serif"/>
          <w:b/>
          <w:color w:val="000000"/>
          <w:sz w:val="22"/>
        </w:rPr>
        <w:t>A Ordinary Shares</w:t>
      </w:r>
      <w:r>
        <w:rPr>
          <w:color w:val="000000"/>
        </w:rPr>
        <w:t>”</w:t>
      </w:r>
      <w:r>
        <w:rPr>
          <w:rFonts w:ascii="Times New Roman;serif" w:hAnsi="Times New Roman;serif"/>
          <w:b w:val="false"/>
          <w:color w:val="000000"/>
          <w:sz w:val="22"/>
        </w:rPr>
        <w:t>), 4,500,000,000 B Ordinary Shares of $0.01 each (“</w:t>
      </w:r>
      <w:r>
        <w:rPr>
          <w:rFonts w:ascii="Times New Roman;serif" w:hAnsi="Times New Roman;serif"/>
          <w:b/>
          <w:color w:val="000000"/>
          <w:sz w:val="22"/>
        </w:rPr>
        <w:t>B Ordinary Shares</w:t>
      </w:r>
      <w:r>
        <w:rPr>
          <w:color w:val="000000"/>
        </w:rPr>
        <w:t>”</w:t>
      </w:r>
      <w:r>
        <w:rPr>
          <w:rFonts w:ascii="Times New Roman;serif" w:hAnsi="Times New Roman;serif"/>
          <w:b w:val="false"/>
          <w:color w:val="000000"/>
          <w:sz w:val="22"/>
        </w:rPr>
        <w:t>), 1,000,000,000 preferred shares of $0.01 each and 25,000 deferred shares of €1.00 each.</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    Unless the Board determines otherwise and subject to the provisions of the Act, any share in the capital of the Company shall be deemed to be a Redeemable Share on, and from the time of, the existence or creation of an agreement, transaction or trade between the Company (or any person acting on the Company’s behalf) and any third party (who may or may not be a member) pursuant to which the Company acquires or will acquire a share in the capital of the Company, or an interest in shares in the capital of the Company, from the relevant person (and, for the avoidance of doubt, the foregoing shall include an agreement, transaction or trade pursuant to which the Company acquires or will acquire Swedish Depository Receipts evidencing book-entry entitlements to shares in the capital of the Company), save for an acquisition for nil consideration pursuant to section 102(1)(a) of the Act. In these circumstances, the acquisition of such shares by the Company, save where acquired for nil consideration in accordance with the Act, shall constitute the redemption of a Redeemable Share in accordance with Chapter 6 of Part 3 of the Act. No resolution, whether special or otherwise, shall be required to be passed to deem any share in the capital of the Company a Redeemable Share in the circumstances set out in this Article 4.</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    Without prejudice to any special rights conferred on the members of any existing shares or class of shares and subject to the provisions of the Act, any share may be issued with such rights or restrictions as the Company may by ordinary resolution determine.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Rights attaching to A Ordinary Shares and B Ordinary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    A Ordinary Shares shall rank pari passu in all respects with B Ordinary Shares of the Company save only as regards the number of votes that may be exercised per share and the conversion rights in respect of A Ordinary Shares described in Article 9. The A Ordinary Shares and the B Ordinary Shares shall entitle the holders thereof to the following rights: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6.1    subject to the right of the Company to set record dates for the purposes of determining the identity of members entitled to notice of and to vote at a general meeting and the authority of the Board and chairperson of the meeting to maintain order and security, the right to attend any general meeting of the Company and to exercise ten votes per A Ordinary Share held and one vote per B Ordinary Share held at any general meeting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6.2    the right to participate pro rata in all dividends declared by the Company;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6.3    the right, in the event of the Company’s winding up, to participate pro rata in the total assets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    The rights attaching to the A Ordinary Shares and B Ordinary Shares may be subject to the terms of issue of any series or class of Preferred Shares allotted by the Directors from time to time in accordance with Article 10.</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txbxContent>
                </v:textbox>
                <w10:wrap type="none"/>
              </v:rect>
            </w:pict>
          </mc:Fallback>
        </mc:AlternateContent>
      </w:r>
    </w:p>
    <w:p>
      <w:pPr>
        <w:pStyle w:val="TextBody"/>
        <w:bidi w:val="0"/>
        <w:spacing w:lineRule="auto" w:line="288" w:before="0" w:after="220"/>
        <w:ind w:left="0" w:right="0" w:hanging="720"/>
        <w:jc w:val="both"/>
        <w:rPr/>
      </w:pPr>
      <w:r>
        <w:rPr>
          <w:rFonts w:ascii="Times New Roman;serif" w:hAnsi="Times New Roman;serif"/>
          <w:b w:val="false"/>
          <w:color w:val="000000"/>
          <w:sz w:val="22"/>
        </w:rPr>
        <w:t>8.    </w:t>
      </w:r>
      <w:r>
        <w:rPr>
          <w:rFonts w:ascii="Times New Roman;serif" w:hAnsi="Times New Roman;serif"/>
          <w:b/>
          <w:color w:val="000000"/>
          <w:sz w:val="22"/>
        </w:rPr>
        <w:t>Restrictions on Voting Rights in Certain Circumstances</w:t>
      </w:r>
    </w:p>
    <w:p>
      <w:pPr>
        <w:pStyle w:val="TextBody"/>
        <w:bidi w:val="0"/>
        <w:spacing w:lineRule="auto" w:line="288" w:before="0" w:after="220"/>
        <w:ind w:left="0" w:right="0" w:hanging="720"/>
        <w:jc w:val="both"/>
        <w:rPr/>
      </w:pPr>
      <w:r>
        <w:rPr>
          <w:rFonts w:ascii="Times New Roman;serif" w:hAnsi="Times New Roman;serif"/>
          <w:b w:val="false"/>
          <w:color w:val="000000"/>
          <w:sz w:val="22"/>
        </w:rPr>
        <w:t>8.1    Where an acquisition of voting rights in the Company, or an increase in the percentage of voting rights in the Company held, by any person, whether alone or Acting in Concert with other persons, (a “</w:t>
      </w:r>
      <w:r>
        <w:rPr>
          <w:rFonts w:ascii="Times New Roman;serif" w:hAnsi="Times New Roman;serif"/>
          <w:b/>
          <w:color w:val="000000"/>
          <w:sz w:val="22"/>
        </w:rPr>
        <w:t>Relevant Person</w:t>
      </w:r>
      <w:r>
        <w:rPr>
          <w:color w:val="000000"/>
        </w:rPr>
        <w:t>”</w:t>
      </w:r>
      <w:r>
        <w:rPr>
          <w:rFonts w:ascii="Times New Roman;serif" w:hAnsi="Times New Roman;serif"/>
          <w:b w:val="false"/>
          <w:color w:val="000000"/>
          <w:sz w:val="22"/>
        </w:rPr>
        <w:t>) causes such Relevant Person to exceed a threshold specified in Rule 9 or Rule 37 of the Takeover Rules (a “</w:t>
      </w:r>
      <w:r>
        <w:rPr>
          <w:rFonts w:ascii="Times New Roman;serif" w:hAnsi="Times New Roman;serif"/>
          <w:b/>
          <w:color w:val="000000"/>
          <w:sz w:val="22"/>
        </w:rPr>
        <w:t>Relevant Threshold</w:t>
      </w:r>
      <w:r>
        <w:rPr>
          <w:color w:val="000000"/>
        </w:rPr>
        <w:t>”</w:t>
      </w:r>
      <w:r>
        <w:rPr>
          <w:rFonts w:ascii="Times New Roman;serif" w:hAnsi="Times New Roman;serif"/>
          <w:b w:val="false"/>
          <w:color w:val="000000"/>
          <w:sz w:val="22"/>
        </w:rPr>
        <w:t>) and would, as a result, give rise to an obligation to make an offer pursuant to Rule 9 or Rule 37 of the Takeover Rules, then the following provisions shall apply:</w:t>
      </w:r>
    </w:p>
    <w:p>
      <w:pPr>
        <w:pStyle w:val="TextBody"/>
        <w:bidi w:val="0"/>
        <w:spacing w:lineRule="auto" w:line="288" w:before="0" w:after="220"/>
        <w:ind w:left="0" w:right="0" w:hanging="720"/>
        <w:jc w:val="both"/>
        <w:rPr/>
      </w:pPr>
      <w:r>
        <w:rPr>
          <w:rFonts w:ascii="Times New Roman;serif" w:hAnsi="Times New Roman;serif"/>
          <w:b w:val="false"/>
          <w:color w:val="000000"/>
          <w:sz w:val="22"/>
        </w:rPr>
        <w:t>(a)    Until a Reversal Event occurs, the Relevant Person shall not exercise any voting rights in excess of the Relevant Threshold (the “</w:t>
      </w:r>
      <w:r>
        <w:rPr>
          <w:rFonts w:ascii="Times New Roman;serif" w:hAnsi="Times New Roman;serif"/>
          <w:b/>
          <w:color w:val="000000"/>
          <w:sz w:val="22"/>
        </w:rPr>
        <w:t>Suspended Voting Rights</w:t>
      </w:r>
      <w:r>
        <w:rPr>
          <w:color w:val="000000"/>
        </w:rPr>
        <w:t>”</w:t>
      </w:r>
      <w:r>
        <w:rPr>
          <w:rFonts w:ascii="Times New Roman;serif" w:hAnsi="Times New Roman;serif"/>
          <w:b w:val="false"/>
          <w:color w:val="000000"/>
          <w:sz w:val="22"/>
        </w:rPr>
        <w:t>) at any general meeting of the Company, and the Company shall disregard any votes cast by a Relevant Person to the extent that such votes constitute Suspended Voting Rights;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For the avoidance of doubt, the suspension of voting rights in relation to any shares in the Company pursuant to this Article shall not, of itself, cause the shares to which the Suspended Voting Rights relate to constitute a separate class of shares in the capital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termination of Suspended Voting Rights, and restoration of unrestricted voting rights to the shares so affected, shall take place automatically upon and subject to a Reversal Event occurring, without the requirement for any approval by the Board or any shareholders of the Company; and</w:t>
      </w:r>
    </w:p>
    <w:p>
      <w:pPr>
        <w:pStyle w:val="TextBody"/>
        <w:bidi w:val="0"/>
        <w:spacing w:lineRule="auto" w:line="288" w:before="0" w:after="220"/>
        <w:ind w:left="0" w:right="0" w:hanging="720"/>
        <w:jc w:val="both"/>
        <w:rPr/>
      </w:pPr>
      <w:r>
        <w:rPr>
          <w:rFonts w:ascii="Times New Roman;serif" w:hAnsi="Times New Roman;serif"/>
          <w:b w:val="false"/>
          <w:color w:val="000000"/>
          <w:sz w:val="22"/>
        </w:rPr>
        <w:t xml:space="preserve">(d)    A </w:t>
      </w:r>
      <w:r>
        <w:rPr>
          <w:color w:val="000000"/>
        </w:rPr>
        <w:t>“</w:t>
      </w:r>
      <w:r>
        <w:rPr>
          <w:rFonts w:ascii="Times New Roman;serif" w:hAnsi="Times New Roman;serif"/>
          <w:b/>
          <w:color w:val="000000"/>
          <w:sz w:val="22"/>
        </w:rPr>
        <w:t>Reversal Event</w:t>
      </w:r>
      <w:r>
        <w:rPr>
          <w:color w:val="000000"/>
        </w:rPr>
        <w:t xml:space="preserve">” </w:t>
      </w:r>
      <w:r>
        <w:rPr>
          <w:rFonts w:ascii="Times New Roman;serif" w:hAnsi="Times New Roman;serif"/>
          <w:b w:val="false"/>
          <w:color w:val="000000"/>
          <w:sz w:val="22"/>
        </w:rPr>
        <w:t>occurs in relation to Suspended Voting Rights when: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The shares to which the Suspended Voting Rights apply are transferred to someone who is not a Relevant Person or Acting in Concert with a Relevant Person;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The Relevant Person or a person Acting in Concert with the Relevant Person makes an offer in accordance with Rule 9 or Rule 37 (as applicable) of the Takeover Rules;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A waiver of or derogation from the obligation to make an offer under Rule 9 or Rule 37 (as applicable) of the Takeover Rules as a result of the breach of the Relevant Threshold is obtained, and any conditions applicable to that waiver or derogation are satisfied.</w: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Conversion of A Ordinary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    Each A Ordinary Share shall be convertible into one B Ordinary Share at the option of the holder thereof at any time by providing written notice to the Company or its nominee in a form acceptable to the Directors. The process for effecting such conversion shall be determined by the Board. Any B Ordinary Shares issued and allotted under this Article 9 shall be paid up in full by applying the reserve arising on the cancellation of A Ordinary Shares pursuant to this Article 10.</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txbxContent>
                </v:textbox>
                <w10:wrap type="none"/>
              </v:rect>
            </w:pict>
          </mc:Fallback>
        </mc:AlternateConten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Rights attaching to Preferred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    The Board is empowered to cause Preferred Shares to be issued from time to time as shares of one or more series of Preferred Shares, and in the resolution or resolutions providing for the issue of Preferred Shares of each particular series, before issuance, the Board is expressly authorised to fix:</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10.1    the distinctive designation of such series and the number of shares which shall constitute such series, which number may be increased (except as otherwise provided by the Board in creating such series) or decreased (but not below the number of shares thereof then in issue) from time to time by resolution of the Board;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10.2    the rate of dividends payable on shares of such series, if any, whether or not and upon what conditions dividends on shares of such series shall be cumulative and, if cumulative, the date or dates from which dividends shall accumulate and the preference or relation which such dividends shall bear to the dividends payable on any other class or classes or on any other series of share capital;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10.3    the terms, if any, on which shares of such series may be redeemed, including without limitation, the redemption price or prices for such series, which may consist of a redemption price or scale of redemption prices applicable only to redemption in connection with a sinking fund (which term as used herein shall include any fund or requirement for the periodic purchase or redemption of shares), and the same or a different redemption price or scale of redemption prices applicable to any other redemption;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10.4    the terms and amount of any sinking fund provided for the purchase or redemption of shares of such series;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10.5    the amount or amounts which shall be paid to the holders of shares of such series in case of liquidation, dissolution or winding up of the Company, whether voluntary or involuntary;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10.6    the terms, if any, upon which the holders of shares of such series may convert shares thereof into shares of any other class or classes or of any one or more series of the same class or of another class or classes, provided that no Preferred Shares may be convertible into A Ordinary Shares without the consent of the majority of the holders of A Ordinary Shares prior to such conversion;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10.7    the voting rights, full or limited, if any, of the shares of such series; and whether or not and under what conditions the shares of such series (alone or together with the shares of one or more other series having similar provisions) shall be entitled to vote separately as a single class, for the election of one or more additional Directors in case of dividend arrears or other specified events, or upon other matters, provided that the holders of any series of Preferred Shares shall be entitled to exercise no more than one vote per Preferred Share held at any general meeting of the Company without the consent of the majority of the holders of A Ordinary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10.8    whether or not the holders of shares of such series, as such, shall have any pre-emptive or preferential rights to subscribe for or purchase shares of any class or series of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now or hereafter authorised, or any securities convertible into, or warrants or other evidences of optional rights to purchase or subscribe for, shares of any class or series of the Company, now or hereafter authorised, provided that the holders of shares of such series shall not have such rights to subscribe for or purchase A Ordinary Shares or any securities convertible into, or warrants or other evidences of option rights to purchase or subscribe for A Ordinary Shares without the consent of the majority of the holders of A Ordinary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10.9    the limitations and restrictions, if any, to be effective while any shares of such series are outstanding upon the payment of dividends, or the making of other distributions on, and upon the purchase, redemption or other acquisition by the Company of, any other class or classes of shares ranking junior to the shares of such series either as to dividends or upon liquidation, dissolution or winding up;</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10.10    the conditions or restrictions, if any, upon the creation of indebtedness of the Company or upon the issuance of any additional shares (including additional shares of such series or of any other class) ranking on a parity with or prior to the shares of such series as to dividends or distribution of assets upon liquidation;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10.11    such other rights, preferences and limitations as may be permitted to be fixed by the Board of the Company under the laws of Ireland as in effect at the time of the creation of such series.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    The Board is authorised to change the designations, rights, preferences and limitations of any series of Preferred Shares theretofore established, no shares of which have been issued.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    The rights conferred upon the member of any pre-existing shares in the share capital of the Company shall be deemed not to be varied by the creation, issue and allotment of Preferred Shares in accordance with these Articles.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Rights attaching to Deferred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    The Deferred Shares shall have the rights and privileges and be subject to the restrictions set out in this Article 13:</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13.1    the shares in issue on the Adoption Date shall be (i) automatically converted to Deferred Shares on the Adoption Date and (ii) cancelled simultaneously with the distribution of A Ordinary Shares and B Ordinary Shares to the shareholders of the Company pursuant to the terms of the Transaction.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13.2    the Deferred Shares are non-voting shares and do not convey upon the holder the right to be paid a dividend or to receive notice of or to attend, vote or speak at a general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13.3    the Deferred Shares confer the right on a return of capital, on a winding-up or otherwise, only to the repayment of the nominal value paid up on the Deferred Shares after repayment of the nominal value of the Ordinary Shares; and</w:t>
      </w:r>
    </w:p>
    <w:p>
      <w:pPr>
        <w:pStyle w:val="TextBody"/>
        <w:bidi w:val="0"/>
        <w:spacing w:lineRule="auto" w:line="288" w:before="0" w:after="220"/>
        <w:ind w:left="0" w:right="0" w:hanging="720"/>
        <w:jc w:val="both"/>
        <w:rPr/>
      </w:pPr>
      <w:r>
        <w:rPr>
          <w:rFonts w:ascii="Times New Roman;serif" w:hAnsi="Times New Roman;serif"/>
          <w:b w:val="false"/>
          <w:color w:val="000000"/>
          <w:sz w:val="22"/>
        </w:rPr>
        <w:t>13.4    any Director (the “</w:t>
      </w:r>
      <w:r>
        <w:rPr>
          <w:rFonts w:ascii="Times New Roman;serif" w:hAnsi="Times New Roman;serif"/>
          <w:b/>
          <w:color w:val="000000"/>
          <w:sz w:val="22"/>
        </w:rPr>
        <w:t>Agent</w:t>
      </w:r>
      <w:r>
        <w:rPr>
          <w:color w:val="000000"/>
        </w:rPr>
        <w:t>”</w:t>
      </w:r>
      <w:r>
        <w:rPr>
          <w:rFonts w:ascii="Times New Roman;serif" w:hAnsi="Times New Roman;serif"/>
          <w:b w:val="false"/>
          <w:color w:val="000000"/>
          <w:sz w:val="22"/>
        </w:rPr>
        <w:t xml:space="preserve">) is appointed the attorney of the holder of a Deferred Share, with an irrevocable instruction to the Agent to execute all or any forms of transfer and/or renunciation and/or other documents in the Agent’s discretion in relation to the Deferred Shares in favour of the Company or as it may direct and to deliver such forms of transfer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A-13</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and/or renunciation and/or other documents together with any certificate(s) and/or other documents for registration and to do all such other acts and things as may in the reasonable opinion of the Agent be necessary or expedient for the purpose of, or in connection with, the purchase by the Company of the Deferred Shares for nil consideration or such other consideration as the Board may determine and to vest the said Deferred Shares in the Company;</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provided that, where (and only for long as) the Deferred Shares are the only shares in issue in the Company, the Deferred Shares shall have the right to attend and speak at any general meeting of the Company and to exercise one vote per Deferred Share held at any general meeting of the Company.</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Allotment and acquisition of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    The following provisions shall apply: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14.1    Subject to the provisions of these Articles relating to new shares, the shares shall be at the disposal of the Directors, and they may (subject to the provisions of the Act) allot, grant options over or otherwise dispose of them to such persons, on such terms and conditions and at such times as they may consider to be in the best interests of the Company and its members, but so that no share shall be issued at a discount to its nominal value and so that, in the case of shares offered to the public for subscription, the amount payable on application on each share shall not be less than one-quarter of the nominal amount of the share and the whole of any premium thereon.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14.2    Without prejudice to the generality of the powers conferred on the Directors by other paragraphs of these Articles, and subject to any requirement to obtain the approval of the members under any laws, regulations or the rules of any Exchange, the Directors may grant from time to time options to subscribe for the unallotted shares in the capital of the Company to Directors and other persons in the service or employment of the Company or any subsidiary or associate company of the Company on such terms and subject to such conditions as may be approved from time to time by the Directors or by any committee thereof appointed by the Directors for the purpose of such approval and on the terms and conditions required to obtain the approval of any statutory authority in any jurisdiction.</w:t>
      </w:r>
    </w:p>
    <w:p>
      <w:pPr>
        <w:pStyle w:val="TextBody"/>
        <w:bidi w:val="0"/>
        <w:spacing w:lineRule="auto" w:line="288" w:before="0" w:after="7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14.3    Without prejudice to the generality of the powers conferred on the Directors in Article 14.1 and 14.2 above, the Directors shall not allot any A Ordinary Shares or shall not grant options over any A Ordinary Shares without the consent of the majority of the holders of A Ordinary Shares prior to such allotment.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14.4    The Directors are hereby generally and unconditionally authorised to exercise all the powers of the Company to allot relevant securities within the meaning of section 1021 of the Act. The maximum amount of relevant securities which may be allotted under the authority hereby conferred shall be the amount of the authorised but unissued share capital of the Company for the time being. The authority hereby conferred shall expire at the conclusion of the annual general meeting in 2027 unless and to the extent that such authority is renewed, revoked or extended prior to such date. The Company may before such expiry make an offer or agreement which would or might require relevant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A-14</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to be allotted after such expiry and the Directors may allot relevant securities in pursuance of such offer or agreement, notwithstanding that the authority hereby conferred has expired. Any ordinary resolution of the Company authorising the Directors to allot relevant securities may be conferred for a maximum period of 15 months, or until close of business on the date of the next-following annual general meeting, whichever is earlier.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14.5    The Company may issue permissible letters of allotment (as defined by section 1019 of the Act) to the extent permitted by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14.6    The Directors are hereby empowered pursuant to sections 1022 and 1023(1) of the Act to allot equity securities within the meaning of the said section 1023 for cash pursuant to the authority conferred by Article 14.4 as if section 1022(1) of the Act did not apply to any such allotment. The Company may before the expiry of such authority make an offer or agreement which would or might require equity securities to be allotted after such expiry and the Directors may allot equity securities in pursuance of such an offer or agreement as if the power conferred by this Article 14.6 had not expired.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14.7    Unless otherwise determined by the Directors or by the rights attaching to or the terms of issue of any particular shares, or to the extent required by the Act, any Exchange, depository, central securities depository or any operator of any clearance or settlement system: (i) shares in the capital of the Company shall be issued in registered form; and (ii) no person whose name is entered as a member in the Register shall be entitled to receive a share certificate for any shares of any class held by him or her in the capital of the Company (nor on transferring part of a holding, to a certificate for the balance).</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14.8    The Company shall maintain or cause to be maintained the Register in accordance with the Act.</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14.9    If the Board considers it necessary or appropriate, the Company may establish and maintain a duplicate Register at such location or locations within or outside Ireland as the Board thinks fit. The original Register shall be treated as the register of members of the Company for the purposes of these articles and the Act.</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14.10    The Company, or any agent(s) appointed by it to maintain the duplicate Register in accordance with these articles, shall as soon as practicable and on a regular basis record or procure the recording in the original Register of all transfers of shares effected on any duplicate Register and shall at all times maintain the original Register in such manner as to show at all times the member for the time being and the shares respectively held by them, in all respects in accordance with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15.1    may give financial assistance for the purpose of an acquisition of its shares or, where the Company is a subsidiary, its holding company where permitted by sections 82 and 1043 of the Act,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15.2    is authorised, for the purposes of section 105(4)(a) of the Act, but subject to section 1073 of the Act, to acquire its own shares.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A-15</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    The Directors (and any committee established under Article 202 and so authorised by the Directors and any person so authorised by the Directors or such committee) may without prejudice to Article 184:</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16.1    allot, issue, grant options over and otherwise dispose of shares in the Company;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16.2    exercise the Company’s powers under Article 14,</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on such terms and subject to such conditions as they think fit, subject only to the provisions of the Act and these Articles.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Variation of Class Rights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    Without prejudice to the authority conferred on the Directors pursuant to Article 10 to issue Preferred Shares in the capital of the Company, where the shares in the Company are divided into different classes, the rights attaching to a class of shares may only be varied or abrogated if (a) the holders of three-fourths of the votes attaching to shares in the issued shares of that class consent in writing to the variation, or (b) a special resolution, passed at a separate general meeting of the holders of that class, sanctions the variation. The quorum at any such separate general meeting, other than an adjourned meeting, shall be two persons holding or representing by proxy at least one-third in nominal value of the issued shares of the class in question and the quorum at an adjourned meeting shall be one person holding or representing by proxy shares of the class in 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the Company of its own shares or by the creation or issue of further shares ranking pari passu therewith or subordinate thereto.</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    The redemption or purchase of Preferred Shares or any class or series of Preferred Shares shall not constitute a variation of rights of the holders of Preferred Shares.</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19.    The rights conferred upon the holders of either A Ordinary Shares or B Ordinary Shares shall be deemed not to be varied by the creation, issue or allotment of Preferred Shares in accordance with these Articles.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    The issue of Preferred Shares or any class or series of Preferred Shares which rank pari passu with, or junior to, any existing Preferred Shares or class of Preferred Shares shall not constitute a variation of the existing Preferred Shares or class of Preferred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    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Trusts not recognised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22.    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entirety thereof in the member. This shall not preclude (i) the Company from requiring the members or a transferee of shares to furnish the Company with information as to the beneficial ownership of any share when such information is reasonably required by the Company, or (ii) the Directors, where they consider it appropriate, providing the information given to the members of shares to the holders of depositary instruments in such shares.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Disclosure of interests</w:t>
      </w:r>
    </w:p>
    <w:p>
      <w:pPr>
        <w:pStyle w:val="TextBody"/>
        <w:bidi w:val="0"/>
        <w:spacing w:lineRule="auto" w:line="288" w:before="0" w:after="220"/>
        <w:ind w:left="0" w:right="0" w:hanging="720"/>
        <w:jc w:val="both"/>
        <w:rPr/>
      </w:pPr>
      <w:r>
        <w:rPr>
          <w:rFonts w:ascii="Times New Roman;serif" w:hAnsi="Times New Roman;serif"/>
          <w:b w:val="false"/>
          <w:color w:val="000000"/>
          <w:sz w:val="22"/>
        </w:rPr>
        <w:t>23.    If at any time the Directors are satisfied that any member, or any other person appearing to be interested in shares held by such member, has been duly served with a notice under section 1062 of the Act (a “</w:t>
      </w:r>
      <w:r>
        <w:rPr>
          <w:rFonts w:ascii="Times New Roman;serif" w:hAnsi="Times New Roman;serif"/>
          <w:b/>
          <w:color w:val="000000"/>
          <w:sz w:val="22"/>
        </w:rPr>
        <w:t>Section 1062 Notice</w:t>
      </w:r>
      <w:r>
        <w:rPr>
          <w:color w:val="000000"/>
        </w:rPr>
        <w:t>”</w:t>
      </w:r>
      <w:r>
        <w:rPr>
          <w:rFonts w:ascii="Times New Roman;serif" w:hAnsi="Times New Roman;serif"/>
          <w:b w:val="false"/>
          <w:color w:val="000000"/>
          <w:sz w:val="22"/>
        </w:rPr>
        <w:t>) and is in default for the prescribed period (as defined in Article 28.2) in supplying to the Company the information thereby required, or, in purported compliance with such a notice, has made a statement which is false or inadequate in a material particular, then the Directors may, in their absolute discretion at any time thereafter by notice (a “</w:t>
      </w:r>
      <w:r>
        <w:rPr>
          <w:rFonts w:ascii="Times New Roman;serif" w:hAnsi="Times New Roman;serif"/>
          <w:b/>
          <w:color w:val="000000"/>
          <w:sz w:val="22"/>
        </w:rPr>
        <w:t>Direction Notice</w:t>
      </w:r>
      <w:r>
        <w:rPr>
          <w:color w:val="000000"/>
        </w:rPr>
        <w:t>”</w:t>
      </w:r>
      <w:r>
        <w:rPr>
          <w:rFonts w:ascii="Times New Roman;serif" w:hAnsi="Times New Roman;serif"/>
          <w:b w:val="false"/>
          <w:color w:val="000000"/>
          <w:sz w:val="22"/>
        </w:rPr>
        <w:t>) to such member direct that:</w:t>
      </w:r>
    </w:p>
    <w:p>
      <w:pPr>
        <w:pStyle w:val="TextBody"/>
        <w:bidi w:val="0"/>
        <w:spacing w:lineRule="auto" w:line="288" w:before="0" w:after="220"/>
        <w:ind w:left="0" w:right="0" w:hanging="720"/>
        <w:jc w:val="both"/>
        <w:rPr/>
      </w:pPr>
      <w:r>
        <w:rPr>
          <w:rFonts w:ascii="Times New Roman;serif" w:hAnsi="Times New Roman;serif"/>
          <w:b w:val="false"/>
          <w:color w:val="000000"/>
          <w:sz w:val="22"/>
        </w:rPr>
        <w:t>23.1    in respect of the shares in relation to which the default occurred (the “</w:t>
      </w:r>
      <w:r>
        <w:rPr>
          <w:rFonts w:ascii="Times New Roman;serif" w:hAnsi="Times New Roman;serif"/>
          <w:b/>
          <w:color w:val="000000"/>
          <w:sz w:val="22"/>
        </w:rPr>
        <w:t>Default Shares</w:t>
      </w:r>
      <w:r>
        <w:rPr>
          <w:color w:val="000000"/>
        </w:rPr>
        <w:t>”</w:t>
      </w:r>
      <w:r>
        <w:rPr>
          <w:rFonts w:ascii="Times New Roman;serif" w:hAnsi="Times New Roman;serif"/>
          <w:b w:val="false"/>
          <w:color w:val="000000"/>
          <w:sz w:val="22"/>
        </w:rPr>
        <w:t>) the member shall not be entitled to attend or to vote at a general meeting either personally or by proxy or to exercise any other right conferred by membership in relation to meetings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23.2    where the nominal value of the Default Shares represents at least 0.25 per cent of the nominal value of the issued shares of the class concerned, then the Direction Notice may additionally direct that: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except in a liquidation of the Company, no payment shall be made of any sums due from the Company on the Default Shares, whether in respect of capital or dividend or otherwise, and the Company shall not have any liability to pay interest on any such payment when it is finally paid to the member;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no other distribution shall be made on the Default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no transfer of any of the Default Shares held by such member shall be registered unless: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the member is not himself or herself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the transfer is an approved transfer (as defined in Article 28.3).</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shall send to each other person appearing to be interested in the shares the subject of any Direction Notice a copy of the notice, but the failure or omission by the Company to do so shall not invalidate such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24.    Where any person appearing to be interested in the Default Shares has been duly served with a Direction Notice and the Default Shares which are the subject of such Direction Notice are held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A-17</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by an Approved Nominee, the provisions of this Article shall be treated as applying only to such Default Shares held by the Approved Nominee and not (insofar as such person’s apparent interest is concerned) to any other shares held by the Approved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    Where the member on which a Section 1062 Notice is served is an Approved Nominee acting in its capacity as such, the obligations of the Approved Nominee as a member of the Company shall be limited to disclosing to the Company such information relating to any person appearing to be interested in the shares held by it as has been recorded by it pursuant to the arrangements entered into by the Company or approved by the Directors pursuant to which it was appointed as an Approved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    Any Direction Notice shall cease to have effect: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26.1    in relation to any shares which are transferred by such member by means of an approved transfer;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26.2    when the Directors are satisfied that such member and any other person appearing to be interested in shares held by such member, has given to the Company the information required by the relevant Section 1062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    The Directors may at any time give notice cancelling a Direction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28.    For the purposes of this Article: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28.1    a person shall be treated as appearing to be interested in any shares if the member holding such shares has given to the Company a notification under the said section 1062 which either (i) names such person as being so interested or (ii) fails to establish the identities of all those interested in the shares and (after taking into account the said notification and any other relevant section 1062 notification) the Company knows or has reasonable cause to believe that the person in question is or may be interested in the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28.2    the prescribed period is 28 days from the date of service of the said Section 1062 Notice unless the nominal value of the Default Shares represents at least 0.25 per cent of the nominal value of the issued shares of that class, when the prescribed period is 14 days from that date;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28.3    a transfer of shares is an approved transfer if but only if: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it is a transfer of shares to an offeror by way or in pursuance of acceptance of an offer made to all the members (or all the members other than the person making the offer and his or her nominees) of the shares in the Company to acquire those shares or a specified proportion of them;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transfer results from a sale made through an Exchange on which the Company’s shares are normally traded.</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A-18</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29.    Nothing contained in this Article shall limit the power of the Company under section 1066 of the Act or otherwise under Irish law.</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30.    For the purpose of establishing whether or not the terms of any notice served under this Article shall have been complied with the decision of the Directors in this regard shall be final and conclusive and shall bind all members and any other persons interested in shares held by such members.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Calls on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    The Directors may from time to time make calls upon the members in respect of any consideration unpaid on their shares in the Company (whether on account of the nominal value of the shares or by way of premium), provided that in the case where the conditions of allotment or issuance of shares provide for the payment of consideration in respect of such shares at fixed times, the Directors shall only make calls in accordance with such conditions.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    Each member shall (subject to receiving at least thirty days’ notice specifying the time or times and place of payment, or such lesser or greater period of notice provided in the conditions of allotment or issuance of the shares) pay to the Company, at the time or times and place so specified, the amount called on the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33.    A call may be revoked or postponed, as the Directors may determine.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34.    Subject to the conditions of allotment or issuance of the shares, a call shall be deemed to have been made at the time when the resolution of the Directors authorising the call was passed and may be required to be paid by instalments if specified in the call.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35.    The joint holders of a share shall be jointly and severally liable to pay all calls in respect of it.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36.    If the consideration called in respect of a share or in respect of a particular instalment is not paid in full before or on the day appointed for payment of it, the person from whom the sum is due shall pay interest in cash on the unpaid value from the day appointed for payment of it to the time of actual payment of such rate, not exceeding five per cent per annum or such other rate as may be specified by an order under section 2(7) of the Act, as the Directors may determine, but the Directors may waive payment of such interest wholly or in part.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37.    Any consideration which, by the terms of issue of a share, becomes payable on allotment or issuance or at any fixed date (whether on account of the nominal value of the share or by way of premium) shall, for the purposes of these Articles, be deemed to be a call duly made and payable on the date on which, by the terms of issue, that consideration becomes payable, and in the case of non-payment of such a consideration, all the relevant provisions of these Articles as to payment of interest and expenses, forfeiture or otherwise, shall apply as if such consideration had become payable by virtue of a call duly made and notified.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38.    The Directors may, on the issue of shares, differentiate between the holders of different classes as to the amount of calls to be paid and the times of payment.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39.    The Directors may, if they think fit:</w:t>
      </w:r>
    </w:p>
    <w:p>
      <w:pPr>
        <w:pStyle w:val="TextBody"/>
        <w:bidi w:val="0"/>
        <w:spacing w:lineRule="auto" w:line="288" w:before="0" w:after="22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(a)    receive from any member willing to advance such consideration, all or any part of the consideration uncalled and unpaid upon any shares held by him or her; and/or</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A-19</w:t>
                      </w:r>
                    </w:p>
                  </w:txbxContent>
                </v:textbox>
                <w10:wrap type="none"/>
              </v:rect>
            </w:pict>
          </mc:Fallback>
        </mc:AlternateContent>
      </w:r>
    </w:p>
    <w:p>
      <w:pPr>
        <w:pStyle w:val="TextBody"/>
        <w:bidi w:val="0"/>
        <w:spacing w:lineRule="auto" w:line="288" w:before="0" w:after="22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(b)    pay, upon all or any of the consideration so advanced (until the amount concerned would, but for such advance, become payable) interest at such rate (not exceeding, unless the Company in a general meeting otherwise directs, five per cent per annum or such other rate as may be specified by an order under section 2(7) of the Act) as may be agreed upon between the Directors and the member paying such consideration in advance.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40.    The Company may:</w:t>
      </w:r>
    </w:p>
    <w:p>
      <w:pPr>
        <w:pStyle w:val="TextBody"/>
        <w:bidi w:val="0"/>
        <w:spacing w:lineRule="auto" w:line="288" w:before="0" w:after="22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(a)    acting by its Directors, make arrangements on the issue of shares for a difference between the members in the amounts and times of payment of calls on their shares;</w:t>
      </w:r>
    </w:p>
    <w:p>
      <w:pPr>
        <w:pStyle w:val="TextBody"/>
        <w:bidi w:val="0"/>
        <w:spacing w:lineRule="auto" w:line="288" w:before="0" w:after="22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(b)    acting by its Directors, accept from any member the whole or a part of the amount remaining unpaid on any shares held by him or her, although no part of that amount has been called up;</w:t>
      </w:r>
    </w:p>
    <w:p>
      <w:pPr>
        <w:pStyle w:val="TextBody"/>
        <w:bidi w:val="0"/>
        <w:spacing w:lineRule="auto" w:line="288" w:before="0" w:after="22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(c)    acting by its Directors and subject to the Act, pay a dividend in proportion to the amount paid up on each share where a larger amount is paid up on some shares than on others; and</w:t>
      </w:r>
    </w:p>
    <w:p>
      <w:pPr>
        <w:pStyle w:val="TextBody"/>
        <w:bidi w:val="0"/>
        <w:spacing w:lineRule="auto" w:line="288" w:before="0" w:after="22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(d)    by ordinary resolution determine that any portion of its share capital which has not been already called up shall not be capable of being called up except in the event and for the purposes of the Company being wound up; upon the Company doing so, that portion of its share capital shall not be capable of being called up except in that event and for those purposes.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Lien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41.    The Company shall have a first and paramount lien on every share (not being a fully paid share) for all consideration (whether immediately payable or not) called, or payable at a fixed time, in respect of that share.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42.    The Directors may at any time declare any share in the Company to be wholly or in part exempt from Article 41.</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43.    The Company’s lien on a share shall extend to all dividends payable on it.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44.    The Company may sell, in such manner as the Directors think fit, any shares on which the Company has a lien, but no sale shall be made unless (i) a sum in respect of which the lien exists is immediately payable; and (ii) the following conditions are satisfied: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44.1    a notice in writing, stating and demanding payment of such part of the amount in respect of which the lien exists as is immediately payable, has been given to the registered holder of the share for the time being, or the person entitled thereto by reason of his or her death or bankruptcy;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44.2    a period of 14 days after the date of giving of that notice has expired.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45.    The following provisions apply in relation to a sale referred to in Article 44:</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45.1    to give effect to any such sale, the Directors may authorise some person to transfer the shares sold to the purchaser of them;</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A-20</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45.2    the purchaser shall be registered as the holder of the shares comprised in any such transfer;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45.3    the purchaser shall not be bound to see to the application of the purchase consideration, nor shall his or her title to the shares be affected by any irregularity or invalidity in the proceedings in reference to the sale;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45.4    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Forfeiture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46.    If a member of the Company fails to pay any call or instalment of a call on the day appointed for payment of it, the Directors may, at any time thereafter during such time as any part of the call or instalment remains unpaid, serve a notice on the member requiring payment of so much of the call or instalment as is unpaid, together with any interest which may have accrued.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47.    The notice referred to in Article 46 shall: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47.1    specify a further day (not earlier than the expiration of 14 days after the date of service of the notice) on or before which the payment required by the notice is to be made;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47.2    state that, if the amount concerned is not paid by the day so specified, the shares in respect of which the call was made will be liable to be forfeited.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48.    If the requirements of the notice referred to in Article 47 are not complied with, any share in respect of which the notice has been served may at any time after the day so specified (but before, should it occur, the payment required by the notice has been made) be forfeited by a resolution of the Directors to that effect.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49.    On the trial or hearing of any action for the recovery of any money due for any call, it shall be sufficient to prove that the name of the member sued is entered in the Register as the holder, or one of the holders, of the shares in the capital of the Company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50.    A forfeited share may be sold or otherwise disposed of on such terms and in such manner as the Directors think fit, and at any time before a sale or disposition the forfeiture may be cancelled on such terms as the Directors think fit.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51.    A person whose shares have been forfeited shall cease to be a member of the Company in respect of the forfeited shares, but shall, notwithstanding, remain liable to pay to the Company all consideration which, at the date of forfeiture, were payable by him or her to the Company in respect of the shares, but his or her liability shall cease if and when the Company shall have received payment in full of all such consideration in respect of the shares.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A-21</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52.    A statement in writing that the maker of the statement is a Director or the Company Secretary, and that a share in the Company has been duly forfeited on a date stated in the statement, shall be conclusive evidence of the facts stated in it as against all persons claiming to be entitled to the share.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53.    The following provisions apply in relation to a sale or other disposition of a share referred to in Article 50:</w:t>
      </w:r>
    </w:p>
    <w:p>
      <w:pPr>
        <w:pStyle w:val="TextBody"/>
        <w:bidi w:val="0"/>
        <w:spacing w:lineRule="auto" w:line="288" w:before="0" w:after="220"/>
        <w:ind w:left="0" w:right="0" w:hanging="720"/>
        <w:jc w:val="both"/>
        <w:rPr/>
      </w:pPr>
      <w:r>
        <w:rPr>
          <w:rFonts w:ascii="Times New Roman;serif" w:hAnsi="Times New Roman;serif"/>
          <w:b w:val="false"/>
          <w:color w:val="000000"/>
          <w:sz w:val="22"/>
        </w:rPr>
        <w:t>53.1    the Company may receive the consideration, if any, given for the share on the sale or other disposition of it and may execute a transfer of the share in favour of the person to whom the share is sold or otherwise disposed of (the “</w:t>
      </w:r>
      <w:r>
        <w:rPr>
          <w:rFonts w:ascii="Times New Roman;serif" w:hAnsi="Times New Roman;serif"/>
          <w:b/>
          <w:color w:val="000000"/>
          <w:sz w:val="22"/>
        </w:rPr>
        <w:t>disponee</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53.2    upon such execution, the disponee shall be registered as the holder of the share;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53.3    the disponee shall not be bound to see to the application of the purchase consideration, if any, nor shall his or her title to the share be affected by any irregularity or invalidity in the proceedings in reference to the forfeiture, sale or disposal of the share.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54.    The provisions of these Articles as to forfeiture shall apply in the case of non-payment of any sum which, by the terms of issue of a share in the capital of the Company, becomes payable at a fixed time, whether on account of the nominal value of the share in the capital of the Company or by way of premium, as if the same had been payable by virtue of a call duly made and notified.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55.    The Directors may accept the surrender of any share in the capital of the Company which the Directors have resolved to have been forfeited upon such terms and conditions as may be agreed and, subject to any such terms and conditions, a surrendered share in the capital of the Company shall be treated as if it has been forfeited.</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Variation of company capital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56.    Without prejudice to the authority conferred on the Directors pursuant to Article 10 to issue Preferred Shares in the capital of the Company, the Company may from time to time by ordinary resolution increase the authorised share capital by such sum, to be divided into shares of such amount, as the resolution shall prescribe.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    Without prejudice to the authority conferred on the Directors pursuant to Article 10 to issue Preferred Shares in the capital of the Company, the Company may, by ordinary resolution and in accordance with section 83 of the Act, do any one or more of the following, from time to time: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57.1    divide its share capital into several classes and attach to them respectively any preferential, deferred, qualified or special rights, privileges or conditions;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57.2    consolidate and divide all or any of its shares into shares of a larger nominal value than its existing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57.3    subdivide its shares, or any of them, into shares of a smaller nominal value, so however, that in the subdivision the proportion between the amount paid and the amount, if any, unpaid on each reduced share shall be the same as it was in the case of the share from which the reduced share is derived;</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A-22</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57.4    increase the nominal value of any of its shares by the addition to them of any undenominated capital;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57.5    reduce the nominal value of any of its shares by the deduction from them of any part of that value, subject to the crediting of the amount of the deduction to undenominated capital, other than the share premium account;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57.6    without prejudice or limitation to Articles 99 to 104 and the powers conferred on the Directors thereby, convert any undenominated capital into shares for allotment as bonus shares to holders of existing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57.7    subject to applicable law, change the currency denomination of its share capital;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57.8    increase its share capital by new shares of such amount as it thinks expedient;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57.9    cancel shares of its share capital which, at the date of the passing of the resolution, have not been taken or agreed to be taken by any person, and diminish the amount of its share capital by the amount of the shares so cancelled.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58.    Subject to the provisions of these Articles and without prejudice to Article 5, the Company may: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58.1    by ordinary resolution, and subject to the provisions of the Act governing the variation of rights attached to classes of shares and the amendment of these Articles, convert any of its shares into redeemable shares;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58.2    by special resolution, and subject to the provisions of the Act (or as otherwise required or permitted by applicable law) alter or add to the Memorandum with respect to any objects, powers or other matters specified therein or alter or add to these Articles.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Reduction of company capital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59.    The Company may, in accordance with the provisions of sections 84 to 87 of the Act, reduce its company capital (including its share capital, any capital redemption reserve fund or any share premium account or undenominated capital account) in any way it thinks expedient, with and subject to any incident authorised, and consent required, by law and, without prejudice to the generality of the foregoing, may thereby: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59.1    extinguish or reduce the liability on any of its shares in respect of share capital not paid up;</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59.2    either with or without extinguishing or reducing liability on any of its shares, cancel any paid up company capital which is lost or unrepresented by available assets;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59.3    either with or without extinguishing or reducing liability on any of its shares, pay off any paid up company capital which is in excess of the wants of the Company.</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Unless an ordinary resolution provides otherwise, a reserve arising from the reduction of company capital is to be treated for all purposes as a realised profit in accordance with section 117(9) of the Act. Nothing in this Article 59 shall, however, prejudice or limit the Company’s ability to perform or engage in any of the actions described in section 83(1) of the Act by way of ordinary resolution only.</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A-23</w:t>
                      </w:r>
                    </w:p>
                  </w:txbxContent>
                </v:textbox>
                <w10:wrap type="none"/>
              </v:rect>
            </w:pict>
          </mc:Fallback>
        </mc:AlternateConten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Transfer of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60.    Subject to the Act and to such of the restrictions contained in these Articles (including, without limitation, Article 13) as may be applicable, any member may transfer all or any of his or her shares (of any class) by an instrument of transfer in the usual common form or in any other form which the Board may from time to time approve. The instrument of transfer may be endorsed on the certificate.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61.    The instrument of transfer of a share shall be signed by or on behalf of the transferor and, if the share is not fully paid, by or on behalf of the transferee. The transferor shall be deemed to remain the holder of the share until the name of the transferee is entered in the Register in respect of it. All instruments of transfer may be retained by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62.    The instrument of transfer of any share may be executed for and on behalf of the transferor by the Company Secretary or any other party designated by the Board for such purpose, and the Company Secretary or any other party designated by the Board for such purpose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the date of the agreement to transfer shares and the price per share, shall, once executed by the transferor or the Company Secretary or any other party designated by the Board for such purpose as agent for the transferor, be deemed to be a proper instrument of transfer for the purposes of the Act. The transferor shall be deemed to remain the member holding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63.    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reimbursement of the stamp duty from the transferee, (ii) set-off the stamp duty against any dividends payable to the transferee of those shares and (iii) to the extent permitted by section 1042 of the Act, claim a first and paramount lien on the shares on which stamp duty has been paid by the Company or its subsidiary for the amount of stamp duty paid. The Company’s lien shall extend to all dividends paid on those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64.    Notwithstanding the provisions of these Articles and subject to any regulations made under the Act, title to any shares in the Company may also be evidenced and transferred without a written instrument in accordance with the Act or any regulations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A-24</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65.    The Board may, in its absolute discretion and without assigning any reason for its decision, decline to register any transfer of any share which is not a fully-paid share. The Board may also decline to register any transfer if: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65.1    the instrument of transfer is not duly stamped, if required, and lodged at the Office or any other place as the Board may from time to time specify for the purpose, accompanied by the certificate (if any) for the shares to which it relates and such other evidence as the Board may reasonably require to show the right of the transferor to make the transfer;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65.2    the instrument of transfer is in respect of more than one class of share;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65.3    the instrument of transfer is in favour of more than four persons jointly;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65.4    it is not satisfied that all applicable consents, authorisations, permissions or approvals of any governmental body or agency in Ireland or any other applicable jurisdiction required to be obtained under relevant law prior to such transfer have been obtained;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65.5    it is not satisfied that the transfer would not violate the terms of any agreement to which the Company (or any of its subsidiaries) and the transferor are party or subject.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66.    Subject to any directions of the Board from time to time in force, the Company Secretary or any other party designated by the Board for such purpose may exercise the powers and discretions of the Board under Article 65, Article 89, Article 96 and Article 100.</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67.    If the Board declines to register a transfer it shall, within one month after the date on which the instrument of transfer was lodged, send to the transferee notice of such refusal.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68.    No fee shall be charged by the Company for registering any transfer or for making any entry in the Register concerning any other document relating to or affecting the title to any share (except that the Company may require payment of a sum sufficient to cover any tax or other governmental charge that may be imposed on it in connection with such transfer or entry).</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Transmission of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69.    In the case of the death of a member, the survivor or survivors, where the deceased was a joint holder, and the personal representatives of the deceased where he or she was a sole holder, shall be the only persons recognised by the Company as having any title to his or her interest in the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70.    Nothing in Article 69 shall release the estate of a deceased joint holder from any liability in respect of any share which had been jointly held by him or her with other persons.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71.    Any person becoming entitled to a share in consequence of the death or bankruptcy of a member may, upon such evidence being produced as may from time to time properly be required by the Directors and subject to Article 72, elect either: (a) to be registered himself or herself as holder of the share; or (b) to have some person nominated by him or her (being a person who consents to being so registered) registered as the transferee thereof.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72.    The Directors shall, in either of those cases, have the same right to decline or suspend registration as they would have had in the case of a transfer of the share by that member before his or her death or bankruptcy,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A-25</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73.    If the person becoming entitled as mentioned in Article 71: (a) elects to be registered himself or herself, the person shall furnish to the Company a notice in writing signed by him or her stating that he or she so elects; or (b) elects to have another person registered, the person shall testify his or her election by executing to that other person a transfer of the share.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74.    All the limitations, restrictions and provisions of Articles 69 to 73 shall be applicable to a notice or transfer referred to in Article 73 as if the death or bankruptcy of the member concerned had not occurred and the notice or transfer were a transfer signed by that member.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75.    Subject to Article 76 and Article 77, a person becoming entitled to a share by reason of the death or bankruptcy of the holder shall be entitled to the same dividends and other advantages to which he or she would be entitled if he or she were the registered holder of the share.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76.    A person referred to in Article 75 shall not, before being registered as a member in respect of the share, be entitled in respect of it to exercise any right conferred by membership in relation to meetings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77.    The Directors may at any time serve a notice on any such person requiring the person to make the election provided for by Article 71 and, if the person does not make that election (and proceed to do, consequent on that election, whichever of the things mentioned in Article 73 is appropriate) within ninety days after the date of service of the notice, the Directors may thereupon withhold payment of all dividends, bonuses or other moneys payable in respect of the share until the requirements of the notice have been complied with.</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78.    The Company may charge a fee not exceeding €10.00 on the registration of every probate, letters of administration, certificate of death, power of attorney, notice as to stock or other instrument or order.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79.    The Directors may determine such procedures as they shall think fit regarding the transmission of shares in the Company held by a body corporate that are transmitted by operation of law in consequence of a merger or division.</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Closing Register or Fixing Record Date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80.    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section 174 of the Act, that the Register shall be closed for transfers at such times and for such periods, not exceeding in the whole thirty days in each year. If the Register shall be so closed for the purpose of determining members entitled to notice of, or to vote at, a meeting of members, such Register shall, subject to applicable law or the relevant code, rules and regulations applicable to the listing of the shares or depository receipts in respect of shares on any Exchange, be so closed for at least five days immediately preceding such meeting and the record date for such determination shall be the date of the closure of the Register.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81.    In lieu of, or apart from, closing the Register, the Board may fix in advance a date as the record date (a) for any such determination of members entitled to notice of or to vote at a meeting of the members, which record date shall not, subject to applicable law or the relevant code, rules and regulations applicable to the listing of the shares or depository receipts in respect of shares on any Exchange, be more than sixty days before the date of such meeting, and (b) for the purpose of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determining the members entitled to receive payment of any dividend or other distribution, or in order to make a determination of members for any other proper purpose, which record date shall not, subject to applicable law or the relevant code, rules and regulations applicable to the listing of the shares or depository receipts in respect of shares on any Exchange, be more than sixty days prior to the date of payment of such dividend or other distribution or the taking of any action to which such determination of members is relevant.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82.    If the Register is not so closed and no record date is fixed for the determination of members entitled to notice of or to vote at a meeting of members, the date immediately preceding the date on which notice of the meeting is deemed given under these Articles shall be the record date for such determination of members. Where a determination of members entitled to vote at any meeting of members has been made as provided in these Articles, such determination shall apply to any adjournment thereof; provided, however, that the Directors may fix a new record date of the adjourned meeting, if they think fit.</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Dividends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83.    The Company in a general meeting may declare dividends, but no dividends shall exceed the amount recommended by the Directors. Any general meeting declaring a dividend and any resolution of the Directors declaring an interim dividend may direct payment of such dividend or interim dividend wholly or partly by the distribution of specific assets including paid up shares, debentures or debenture stocks of any other company or in any one or more of such ways, and the Directors shall give effect to such resolution.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84.    The Directors may from time to time: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84.1    pay to the members such dividends (whether as either interim dividends or final dividends) as appear to the Directors to be justified by the profits of the Company, subject to section 117 and Chapter 6 of Part 17 of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84.2    before declaring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held as cash or cash equivalents or invested in such investments as the Directors may lawfully determine;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84.3    without placing the profits of the Company to reserve, carry forward any profits which they may think prudent not to distribute.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85.    Unless otherwise specified by the Directors at the time of declaring a dividend, the dividend shall be a final dividend.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86.    Where the Directors specify that a dividend is an interim dividend at the time it is declared, such interim dividend shall not constitute a debt recoverable against the Company and the declaration may be revoked by the Directors at any time prior to its payment provided that the holders of the same class of share are treated equally on any revocation.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87.    Subject to the rights of persons, if any, entitled to shares with special rights as to dividend (and to the rights of the Company under Articles 41 to 45 and Article 89) all dividends shall be declared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A-27</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and paid such that shares of the same class shall rank equally irrespective of the premium credited as paid up on such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88.    If any share is issued on terms providing that it shall rank for a dividend as from a particular date, such share shall rank for dividend accordingly.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89.    The Directors may deduct from any dividend payable to any member, all sums of money (if any) immediately payable by him or her to the Company on account of calls or otherwise in relation to the shares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90.    The Directors when declaring a dividend or bonus may direct payment of such dividend or bonus wholly or partly by the distribution of specific assets and, in particular, paid up shares, debentures or debenture stock of any other company or in any one or more of such ways.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91.    Where any difficulty arises in regard to a distribution, the Directors may settle the matter as they think expedient and, in particular, may: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91.1    issue fractional certificates (subject always to the restriction on the issue of fractional shares) and fix the value for distribution of such specific assets or any part of them;</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91.2    determine that cash payments shall be made to any members upon the footing of the value so fixed, in order to adjust the rights of all the parties;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91.3    vest any such specific assets in trustees as may seem expedient to the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92.    Any dividend, interest or other moneys payable in cash in respect of any shares may be paid: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92.1    by cheque or negotiable instrument sent by post directed to or otherwise delivered to the registered address of the holder, or where there are joint holders, to the registered address of that one of the joint holders who is first named on the register or to such person and to such address as the holder or the joint holders may in writing direct;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92.2    by transfer to a bank account nominated by the payee or where such an account has not been so nominated, to the account of a trustee nominated by the Company to hold such moneys,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provided that the debiting of the Company’s account in respect of the relevant amount shall be evidence of good discharge of the Company’s obligations in respect of any payment made by any such methods.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93.    Any such cheque or negotiable instrument referred to in Article 92 shall be made payable to the order of the person to whom it is sent.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94.    Any one of two or more joint holders may give valid receipts for any dividends, bonuses or other moneys payable in respect of the shares held by them as joint holders, whether paid by cheque or negotiable instrument or direct transfer.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95.    No dividend shall bear interest against the Company.</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96.    If the Directors so resolve, any dividend or distribution which has remained unclaimed for six years from the date of its declaration shall be forfeited and cease to remain owing by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A-28</w:t>
                      </w:r>
                    </w:p>
                  </w:txbxContent>
                </v:textbox>
                <w10:wrap type="none"/>
              </v:rect>
            </w:pict>
          </mc:Fallback>
        </mc:AlternateConten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Company. The payment by the Directors of any unclaimed dividend, distribution or other moneys payable in respect of a share into a separate account shall not constitute the Company a trustee in respect thereof. All unclaimed dividends may be invested or otherwise made use of by the Directors for the benefit of the Company until claimed.</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97.    Any dividend or other payment to any particular holder or holders may be paid in such currency or currencies as may from time to time be determined by the Directors and any such payment shall be made in accordance with such rules and regulations (including, without limitation, in relation to the conversion rate or rates) as may be determined by the Directors in relation thereto.</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98.    For the purposes of the calculation of the amount receivable in respect of any dividend, the rate of exchange to be used to determine the equivalent in any such other currency of any sum payable as a dividend shall be such rate or rates, and the payment thereof shall be on such terms and conditions, as the Directors may in their absolute discretion determine.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Bonus issue of shares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99.    Any capitalisation provided for in Articles 100 to 104 inclusive will not require approval or ratification by the members.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100.    The Directors may resolve to capitalise any part of a relevant sum (within the meaning of Article 101) by applying such sum in paying up in full unissued shares of a nominal value or nominal value and premium, equal to the sum capitalised, to be allotted and issued as fully paid bonus shares, to those members of the Company who would have been entitled to that sum if it were distributed by way of dividend (and in the same proportions). For the avoidance of doubt, bonus shares allotted and issued to members of the Company shall be of the same class as shares already held by that member in the capital of the Company (and in the same proportions).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101.    For the purposes of Article 100, “relevant sum” means: (a) any sum for the time being standing to the credit of the Company’s undenominated capital; (b) any of the Company’s profits available for distribution; (c) any sum representing unrealised revaluation reserves; or (d) a merger reserve or any other capital reserve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102.    The Directors may in giving effect to any resolution under Article 100 make: (a) all appropriations and applications of the undivided profits resolved to be capitalised by the resolution; and (b) all allotments and issues of fully paid shares, if any, and generally shall do all acts and things required to give effect to the resolution.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103.    Without limiting Article 102, the Directors may: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103.1    make such provision as they think fit for the case of shares becoming distributable in fractions (and, again, without limiting the foregoing, may sell the shares represented by such fractions and distribute the net proceeds of such sale amongst the members otherwise entitled to such fractions in due proportions);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103.2    authorise any person to enter, on behalf of all the members concerned, into an agreement with the Company providing for the allotment to them, respectively credited as fully paid up, of any further shares to which they may become entitled on the capitalisation concerned or, as the case may require, for the payment by the application thereto of their respective proportions of the profits resolved to be capitalised of the amounts remaining unpaid on their existing shares,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A-29</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and any agreement made under such authority shall be effective and binding on all the members concerned.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104.    Where the Directors have resolved to approve a bona fide revaluation of all the fixed assets of the Company, the net capital surplus in excess of the previous book value of the assets arising from such revaluation may be: (a) credited by the Directors to undenominated capital, other than the share premium account; or (b) used in paying up unissued shares of the Company to be issued to members as fully paid bonus shares.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General Meetings – General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105.    The Company shall in each year hold a general meeting as its annual general meeting in addition to any other meeting in that year, and shall specify the meeting as such in the notices calling it; and not more than 15 months shall elapse between the date of one annual general meeting of the Company and that of the next.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106.    The annual general meeting shall be held in such place and at such time as the Directors shall determine.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107.    All general meetings of the Company other than annual general meetings shall be called extraordinary general meetings.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108.    The Directors may, whenever they think fit, convene an extraordinary general meeting. An extraordinary general meeting shall also be convened by the Directors on the requisition of members, or if the Directors fail to so convene an extraordinary general meeting, such extraordinary general meeting may be convened by the requisitioning members, in each case in accordance with section 178(3) to (7) of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109.    If at any time the number of Directors is less than four, any Director may convene an extraordinary general meeting in the same manner as nearly as possible as that in which meetings may be convened by the Directors.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Location of General Meetings, including Virtual and Hybrid General Meetings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110.    Subject to the Act, any general meeting may be held outside of Ireland.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111.    Subject to the provisions of the Act concerning general meetings, the Directors may resolve to enable attendance at all general meetings (including annual, extraordinary and class meetings of the members of the Company) by the use of a webcast, conference telephone or any other type of electronic means provided that the members (whether present in person, by proxy or by authorised representative) and other persons entitled to attend such meetings have been notified of the convening of the meeting and the availability of the webcast, conference telephone or other type of electronic means for the meeting and, if present at the meeting as hereinafter provided, can hear and speak at the meeting. Such participation in a meeting shall constitute presence and attendance in person at the meeting and the persons in attendance may be situated in any part of the world for any such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112.    Subject to the provisions of the Act concerning general meetings, the Company need not hold a general meeting (including annual, extraordinary and class meetings of the members of the Company) at a physical venue but may, at the discretion of the Directors, conduct the meeting wholly by the use of a webcast, conference telephone or any other type of electronic means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A-30</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provided that the members (whether present in person, by proxy or by authorised representative) and other persons entitled to attend such meetings have been notified of the convening of the meeting and the availability of the webcast, conference telephone or other type of electronic means for the meeting and, if present at the meeting as hereinafter provided, can hear and speak at the meeting. Such participation in a meeting shall constitute presence and attendance in person at the meeting and the persons in attendance may be situated in any part of the world for any such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113.    The Directors may, and at any general meeting (including annual, extraordinary and class meetings of the members of the Company) the chairperson may, make any arrangement and impose any requirement as may be reasonable for the purpose of verifying the identity of members participating by way of electronic means described in Article 111 and 112. If it appears to the chairperson of the general meeting that the facilities for members participating by way of electronic means are or become inadequate for the purposes referred to in Article 111 and 112, then the chairperson may, without the consent of the meeting, interrupt or adjourn the general meeting. All business conducted at that general meeting up to the time of such adjournment shall be valid.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114.    The Directors may resolve to enable persons entitled to attend a general meeting of the Company or of any class of members of the Company to do so by simultaneous attendance and participation at a satellite meeting place anywhere in the world. The members present at any such satellite meeting place in person, by proxy or by authorised representative and entitled to vote shall be counted in the quorum for, and shall be entitled to vote at, the general meeting in question, if the chairperson of the general meeting is satisfied that adequate facilities are available throughout the general meeting to ensure that members attending at all the meeting places are able to:</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communicate simultaneously and instantaneously with the persons present at the other meeting place or places, whether by the use of microphones, loud-speakers, audio-visual or other communications equipment or facilities;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have access to all documents which are required by the Acts and these Articles to be made available at the meeting.</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The chairperson of the general meeting shall be present at, and the meeting shall be deemed to take place at, the principal meeting place. If it appears to the chairperson of the general meeting that the facilities at the principal meeting place or any satellite meeting place are or become inadequate for the purposes referred to above, then the chairperson may, without the consent of the meeting, interrupt or adjourn the general meeting. All business conducted at that general meeting up to the time of such adjournment shall be valid.</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Notice of general meetings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115.    The only persons entitled to notice of general meetings of the Company 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115.1    the members;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115.2    the personal representatives of a deceased member, which member would but for his or her death be entitled to vote;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115.3    the assignee in bankruptcy of a bankrupt member of the Company (being a bankrupt member who is entitled to vote at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A-31</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115.4    the Directors and Company Secretary;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115.5    unless the Company is entitled to and has availed itself of the audit exemption under the Act, the Auditors (who shall also be entitled to receive other communications relating to any general meeting which a member is entitled to receive).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116.    Subject to the provisions of the Act allowing a general meeting to be called by shorter notice, an annual general meeting and an extraordinary general meeting called for the passing of a special resolution shall be called by at least twenty-one days’ notice. Any other extraordinary general meeting shall also be called by at least twenty-one days’ notice, except that it may be called by fourteen days’ notice where: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116.1    all members, who hold shares that carry rights to vote at the meeting, are permitted to vote by electronic means at the meeting;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116.2    a special resolution reducing the period of notice to fourteen days has been passed at the immediately preceding annual general meeting, or at a general meeting held since that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117.    Any notice convening a general meeting shall specify the time and place of the meeting and, in the case of special business, the general nature of that business and, in reasonable prominence, that a member entitled to attend, speak, ask questions and vote is entitled to appoint a proxy to attend, speak, ask questions and vote in his or her place and that a proxy need not be a member of the Company. Every notice shall specify such other details as are required by applicable law or the relevant code, rules and regulations applicable to the listing of the shares on any Exchange. Subject to any restrictions imposed on any shares, the notice shall be given to all the members as of the record date set by the Directors and to the Directors and Auditors.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118.    The accidental omission to give notice of a meeting to, or the non-receipt of notice of a meeting by, any person entitled to receive notice shall not invalidate the proceedings at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119.    In cases where instruments of proxy are sent out with notices, the accidental omission to send such instrument of proxy to, or the non-receipt of such instrument of proxy by, any person entitled to receive such notice shall not invalidate any resolution passed or any proceeding at any such meeting. A member present, either in person or by proxy, at any general meeting of the Company or of the holders of any class of shares in the Company will be deemed, subject to Article 122, to have received notice of that meeting and, where required, of the purpose for which it was called.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120.    Where, by any provision contained in the Act, extended notice is required of a resolution, the resolution shall not be effective (except where the Directors have resolved to submit it) unless notice of the intention to move it has been given to the Company not less than twenty-eight days (or such shorter period as the Act permits) before the meeting at which it is moved, and the Company shall give to the members notice of any such resolution as required by and in accordance with the provisions of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121.    In determining the correct period of notice for a general meeting, only Clear Days shall be counted.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122.    Whenever any notice is required to be given by law or by these Articles to any person or persons, a waiver thereof in writing, signed by the person or persons entitled to the notice whether before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Written decision of sole member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123.    At any time that the Company is a single-member company, its sole member may pass any resolution as a written decision in accordance with section 196 of the Act.</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Quorum for general meetings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124.    No business other than the appointment of a chairperson shall be transacted at any general meeting unless a quorum is present at the time when the meeting proceeds to business. Except as provided in relation to an adjourned meeting, two or more persons entitled to vote upon the business to be transacted, present in person or by proxy or as a duly authorized representative of a corporate member, and together holding shares representing more than 50% of the votes that may be cast by all such persons so entitled to vote at the relevant time shall be a quorum at a general meeting; for the avoidance of doubt, at any time when the Company is a single-member company, one person entitled to vote upon the business to be transacted, present in person or by proxy or as a duly authorized representative of a corporate member at a general meeting of the Company, shall be a quorum.</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125.    If within 15 minutes (or such greater time determined by the chairperson) after the time appointed for a general meeting a quorum is not present, then: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125.1    the meeting shall stand adjourned to the same day in the next week, at the same time and place or to such other day and at such other time and place as the Directors may determine;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125.2    if at the adjourned meeting a quorum is not present within half an hour (or such greater time determined by the chairperson) after the time appointed for the meeting, the members present shall be a quorum.</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Proxies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126.    Every member entitled to attend, speak, ask questions and vote at a general meeting may appoint a proxy or proxies to attend, speak, ask questions relating to items on the agenda and vote on his or her behalf and may appoint more than one proxy to attend, speak, ask questions and vote at the same general meeting provided that, where a member appoints more than one proxy in relation to a general meeting, each proxy must be appointed to exercise the rights attached to different shares held by that member.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127.    The appointment of a proxy shall be in writing in any usual form or in any other form which the Directors may approve and shall be signed by or on behalf of the appointor. The signature on such appointment need not be witnessed. A body corporate may sign a form of proxy under its common seal or under the hand of a duly authorised officer thereof or in such other manner as the Directors may approve. A proxy need not be a member of the Company. A member shall be entitled to appoint a proxy by electronic means, to an address specified by the Company. The proxy form must make provision for three-way voting (i.e., to allow votes to be cast for or against a resolution or to be withheld) on all resolutions intended to be proposed, other than resolutions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A-33</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which are merely procedural. An instrument or other form of communication appointing or evidencing the appointment of a proxy or a corporate representative (other than a standing proxy or representative) together with such evidence as to its due execution as the Board may from time to time require, may be returned to the address or addresses stated in the notice of meeting or adjourned meeting or any other information or communication by such time or times as may be specified in the notice of meeting or adjourned meeting or in any other such information or communication (which times may differ when more than one place is so specified) or, if no such time is specified, at any time prior to the holding of the relevant meeting or adjourned meeting at which the appointee proposes to vote, and, subject to the Act, if not so delivered the appointment shall not be treated as valid.</w:t>
      </w:r>
    </w:p>
    <w:p>
      <w:pPr>
        <w:pStyle w:val="TextBody"/>
        <w:bidi w:val="0"/>
        <w:spacing w:lineRule="auto" w:line="288" w:before="0" w:after="220"/>
        <w:ind w:left="0" w:right="0" w:hanging="720"/>
        <w:jc w:val="both"/>
        <w:rPr/>
      </w:pPr>
      <w:r>
        <w:rPr>
          <w:rFonts w:ascii="Times New Roman;serif" w:hAnsi="Times New Roman;serif"/>
          <w:b w:val="false"/>
          <w:color w:val="000000"/>
          <w:sz w:val="22"/>
        </w:rPr>
        <w:t>128.    Without limiting the foregoing, in relation to any shares which are held in uncertificated form, the Directors may from time to time permit appointments of a proxy to be made by means of an electronic communication in the form of an Uncertificated Proxy Instruction, (that is, a properly authenticated dematerialised instruction, and/or other instruction or notification, which is sent by means of the relevant system concerned and received by such participant in that system acting on behalf of the Company as the Directors may prescribe, in such form and subject to such terms and conditions as may from time to time be prescribed by the Directors (subject always to the facilities and requirements of the relevant system concerned)); and may in a similar manner permit supplements to, or amendments or revocations of, any such Uncertificated Proxy Instruction to be made by like means. The Directors may in addition prescribe the method of determining the time at which any such properly authenticated dematerialised instruction (and/or other instruction or notification) is to be treated as received by the Company or such participant.</w:t>
      </w:r>
      <w:r>
        <w:rPr>
          <w:color w:val="000000"/>
        </w:rPr>
        <w:t xml:space="preserve"> </w:t>
      </w:r>
      <w:r>
        <w:rPr>
          <w:rFonts w:ascii="Times New Roman;serif" w:hAnsi="Times New Roman;serif"/>
          <w:b w:val="false"/>
          <w:color w:val="000000"/>
          <w:sz w:val="22"/>
        </w:rPr>
        <w:t>The Directors</w:t>
      </w:r>
      <w:r>
        <w:rPr>
          <w:color w:val="000000"/>
        </w:rPr>
        <w:t xml:space="preserve"> </w:t>
      </w:r>
      <w:r>
        <w:rPr>
          <w:rFonts w:ascii="Times New Roman;serif" w:hAnsi="Times New Roman;serif"/>
          <w:b w:val="false"/>
          <w:color w:val="000000"/>
          <w:sz w:val="22"/>
        </w:rPr>
        <w:t>may treat any such Uncertificated Proxy Instruction which purports to be or is expressed to be sent on behalf of a holder of a share as sufficient evidence of the authority of the person sending that instruction to send it on behalf of that holder.</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Bodies corporate acting by representatives at meetings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129.    Any body corporate which is a member, or a proxy for a member, of the Company may by resolution of its directors or other governing body authorise such person or persons as it thinks fit to act as its representative or representatives at any meeting of the Company or of any class of members of the Company and, subject to evidence being furnished to the Company of such authority as the Directors may reasonably require, any person(s) so authorised shall be entitled to exercise the same powers on behalf of the body corporate which he or she represents as that body corporate could exercise if it were an individual member of the Company or, where more than one such representative is so authorized, all or any of the rights attached to the shares in respect of which he or she is so authorised. Where a body corporate appoints more than one representative in relation to a general meeting, each representative must be appointed to exercise the rights attached to different shares held by that body corporate.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Receipt of proxy appointments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130.    Where the appointment of a proxy and any authority under which it is signed or a copy certified notarially or in some other way approved by the Directors is to be received by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130.1    in physical form, it shall be deposited at the Office or (at the option of the member) at such other place or places (if any) as may be specified for that purpose in or by way of note to the notice convening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A-34</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130.2    in electronic form, it may be so received where an address has been specified by the Company for the purpose of receiving electronic communications: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in the notice convening the meeting;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in any appointment of proxy sent out by the Company in relation to the meeting;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in any invitation contained in an electronic communication to appoint a proxy issued by the Company in relation to the meeting;</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provided that it is so received by the Company no later than the latest time approved by the Board (subject to the requirements of the Act) in respect of the meeting or adjourned meeting or (in the case of a poll taken otherwise than at or on the same day as the meeting or adjourned meeting) for the taking of the poll at which it is to be used, at which the person named in the proxy proposes to vote and in default shall not be treated as valid or, in the case of a meeting which is adjourned to, or a poll which is to be taken on, a date not later than the record date applicable to the meeting which was adjourned or the poll, it shall be sufficient if the appointment of a proxy and any such authority and certification thereof as aforesaid is so received by the Company at the commencement of the adjourned meeting or the taking of the poll. An appointment of a proxy relating to more than one meeting (including any adjournment thereof) having once been so received for the purposes of any meeting shall not be required to be delivered, deposited or received again for the purposes of any subsequent meeting to which it relates.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131.    Where any class of shares in the capital of the Company is held through a securities settlement system, the Directors may determine that it shall be sufficient if the appointment of a proxy and any such authority and certification thereof as aforesaid is received by the Company at such address and in such manner and time as may be specified by the Directors not being later than the commencement of the meeting, adjourned meeting or (as the case may be) of the taking of the poll at the meeting (or any adjournment thereof).</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132.    An appointment of proxy which is not deposited, delivered or received in a manner so permitted shall be invalid (unless, subject to the requirements of the Act, the Board, in its absolute discretion in relation to any such appointment, waives any such requirement and decides to treat the appointment as valid).</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Effect of proxy appointments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133.    Effect of proxy appointments: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133.1    Receipt by the Company of an appointment of a proxy in respect of a meeting shall not preclude a member from attending and voting at the meeting or at any adjournment thereof. However, if that member votes at the meeting or at any adjournment thereof, then as regards to the resolution(s) any proxy appointment delivered to the Company by or on behalf of that same member shall on a poll, be invalid to the extent that such member votes in respect of the shares to which the proxy notice relates.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133.2    An appointment of a proxy shall be valid, unless the contrary is stated therein, as well for any adjournment of the meeting as for the meeting to which it relates and shall be deemed to confer authority to speak at a general meeting and to demand or join in demanding a poll.</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A-35</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134.    A proxy shall have the right to exercise all or any of the rights of his or her appointor, or (where more than one proxy is appointed) all or any of the rights attached to the shares in respect of which he or she is appointed as the proxy to attend, and to speak and vote, at a general meeting of the Company. Unless his or her appointment provides otherwise, a proxy may vote or abstain at his or her discretion on any resolution put to the vote.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Effect of revocation of proxy or of authorisation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135.    A vote given or poll demanded in accordance with the terms of an appointment of a proxy or a resolution authorising a representative to act on behalf of a body corporate shall be valid notwithstanding the previous death, insanity or winding up of the principal, or the revocation of the appointment of a proxy or of the authority under which the proxy was appointed or of the resolution authorising the representative to act or the transfer of the share in respect of which the proxy was appointed or the authorisation of the representative to act was given, provided that no notice in writing (whether in electronic form or otherwise) of such death, insanity, winding up, revocation or transfer is received by the Company at the Office before the commencement of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136.    The Directors may send to the members, at the expense of the Company, by post, electronic mail or otherwise, forms for the appointment of a proxy (with or without reply paid envelopes for their return) for use at any general meeting or at any class meeting, either in blank or nominating any one or more of the Directors or any other persons in the alternative.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but the accidental omission to issue such invitations to, or the non-receipt of such invitations by, any member shall not invalidate the proceedings at any such meeting.</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The business of general meetings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137.    All business shall be deemed to be special business that is transacted at an extraordinary general meeting or that is transacted at an annual general meeting other than, in the case of an annual general meeting, the business specified in Article 140 which shall be ordinary business.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138.    At any meeting of the members, only such business shall be conducted as shall have been properly brought before such meeting in accordance with Article 180 or Articles 226 to 237.</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139.    The chairperson of the meeting shall, if the facts warrant, determine and declare to the meeting that business was not properly brought before the meeting and in accordance with the provisions of these Articles, and if he or she should so determine, any such business not properly brought before the meeting shall not be transacted. Nothing herein shall be deemed to affect any rights of members to request inclusion of proposals in the Company’s proxy statement pursuant to Rule 14a-8 under the Exchange Act, to the extent applicable to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140.    The business of the annual general meeting shall include: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140.1    the consideration of the Company’s statutory financial statements and the report of the Directors and the report of the Auditors on those statements and that report;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140.2    the review by the members of the Company’s affairs;</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A-36</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140.3    the authorisation of the Directors to approve the remuneration of the Auditors (if any);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140.4    the appointment or re-appointment of Auditors.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Proceedings at general meetings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141.    The Chair, if any, shall preside as chairperson at every general meeting of the Company, or if there is no such Chair, or if he or she is not present at the time appointed for the holding of the meeting or is unwilling to act, the Directors present shall elect one of their number to be chairperson of the meeting or, if only one Director is present, he or she shall preside as chairperson.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142.    If none of the Directors present is willing to act as chairperson, the Director or Directors present may appoint any other executive of the Company who is present and willing to act as chairperson. In default of any such appointment, the members present shall choose any executive of the Company who is present and willing to act as chairperson or, if no executive of the Company is present or if none of the executives of the Company present is willing to act as chairperson, one of their number to be chairperson of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143.    At each meeting of members, the chairperson of the meeting shall fix and announce the date and time of the opening and the closing of the polls for each matter upon which the members will vote at the meeting and shall determine the order of business and all other matters of procedure.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    The Directors may adopt such rules, regulations and procedures for the conduct of any meeting of the members as they deem appropriate. Except to the extent inconsistent with any applicable rules, regulations and procedures adopted by the Board, the chairperson of any meeting may adopt such rules, regulations and procedures for the meeting, which need not be in writing, and take such actions with respect to the conduct of the meeting, as the chairperson of the meeting deems appropriate, to maintain order and safety and for the conduct of the meeting. Without limiting the foregoing, he or she may: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144.1    limit attendance at or participation in the meeting to members of record of the Company, their duly authorised proxies or such other persons as the chairperson of the meeting shall determine;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144.2    restrict dissemination of materials and use of audio or visual recording devices at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144.3    take steps to maintain order and safety at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144.4    establish seating arrangements;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144.5    restrict entry to the meeting after the time fixed for its commencement;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144.6    establish an agenda or order of business;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144.7    adjourn the meeting without a vote of the members, whether or not there is a quorum present;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144.8    limit the time allotted to member questions or comments;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A-37</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144.9    make rules governing speeches and debate including time limits and access to microphones;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144.10    remove any person who refuses to comply with the meeting rules, rulings and procedures.</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The chairperson of the meeting acts in his or her absolute discretion and his or her rulings are not subject to appeal.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145.    The chairperson of the meeting may, with the consent of any meeting at which a quorum is present, and shall if so directed by the meeting, adjourn the meeting from time to time and from place to place.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146.    No business shall be transacted at any adjourned meeting other than the business left unfinished at the meeting from which the adjournment took place.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147.    When a meeting is adjourned for thirty days or more, notice of the adjourned meeting shall be given as in the case of an original meeting but, subject to that, it shall not be necessary to give any notice of an adjournment or of the business to be transacted at an adjourned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148.    Each Director and the Auditors shall be entitled to attend and speak at any general meeting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149.    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149.1    No amendment may be made to a resolution, at or before the time when it is put to a vote, unless the chairperson of the meeting decides that the amendment or the amended resolution may properly be put to a vote at that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149.2    If the chairperson of the meeting rules a resolution or an amendment to a resolution admissible or out of order (as the case may be), the proceedings of the meeting or on the resolution in question shall not be invalidated by any error in his or her ruling. Any ruling by the chairperson of the meeting in relation to a resolution or an amendment to a resolution shall be final and conclusive.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150.    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150.1    For business to be properly requested by a member to be brought before a general meeting, the member must comply with the requirements of the Act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be a member at the time of the giving of the notice for such general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be entitled to vote at such meeting;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have given timely and proper notice in writing to the Company Secretary in accordance with Article 180 or Articles 226 to 237.</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151.    Except where a greater majority is required by the Act or these Articles, any question proposed for a decision of the members at any general meeting of the Company or a decision of any class of members at a separate meeting of any class of shares shall be decided by an ordinary resolution.</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A-38</w:t>
                      </w:r>
                    </w:p>
                  </w:txbxContent>
                </v:textbox>
                <w10:wrap type="none"/>
              </v:rect>
            </w:pict>
          </mc:Fallback>
        </mc:AlternateConten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Voting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152.    At any general meeting, a resolution put to the vote of the meeting shall be decided on a poll.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153.    Save as provided in Article 154 of these Articles, a poll shall be taken in such manner as the chairperson of the meeting directs and he or she may appoint scrutineers (who need not be members) and fix a time and place for declaring the result of the poll. The result of the poll shall be deemed to be the resolution of the meeting at which the poll was demanded.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154.    A poll demanded on the election of a chairperson of the meeting or on a question of adjournment shall be taken forthwith. A poll demanded on any other question shall be taken either forthwith or at such time and place as the chairperson of the meeting may direct. The demand for a poll shall not prevent the continuance of a meeting for the transaction of any business other than the question on which the poll was demanded.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155.    No notice need be given of a poll not taken forthwith if the time and place at which it is to be taken are announced at the meeting at which it is demanded. In any other case at least seven Clear Days’ notice shall be given specifying the time and place at which the poll is to be taken.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156.    If authorised by the Directors, any vote taken by written ballot may be satisfied by a ballot submitted by electronic and/or telephonic transmission, provided that any such electronic or telephonic submission must either set forth or be submitted with information from which it can be determined that the electronic or telephonic submission has been authorised by the member or proxy and received by the Company prior to the voting deadline specified by the chairperson when determining the procedure for the ballot.</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Votes of Members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157.    Subject to the provisions of these Articles and any rights or restrictions for the time being attached to any class or classes of shares in the capital of the Company, every member of record present in person or by proxy shall have ten votes for each A Ordinary Share registered in his or her name in the Register and/or one vote for each B Ordinary Share registered in his or her name in the Register.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158.    Where there are joint holders of a share, the vote of the senior who tenders a vote, whether in person or by proxy, shall be accepted to the exclusion of the votes of the other joint holder or holders; and for this purpose, seniority shall be determined by the order in which the names of the joint holders stand in the Register.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159.    A member who has made an enduring power of attorney, or a member in respect of whom an order has been made by any court having jurisdiction (whether in Ireland or elsewhere) in cases of unsound mind, may vote by his or her committee, donee of an enduring power of attorney, receiver, guardian or other person appointed by the foregoing court, and any such committee, donee of an enduring power of attorney, receiver, guardian or other persons appointed by the foregoing court may speak or vote by proxy.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160.    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chairperson of the general meeting whose decision shall be final and conclusive.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A-39</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161.    A person shall be entered on the Register by the record date specified in respect of a general meeting in order to exercise the right of a member to participate and vote at the general meeting and any change to an entry on the Register after the record date shall be disregarded in determining the right of any person to attend and vote at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162.    Votes may be given either personally (including by a duly authorised representative of a corporate member) or by proxy. On a poll taken at a meeting of the members of the Company or a meeting of any class of members of the Company, a member, whether present in person or by proxy, entitled to more than one vote need not, if he or she votes, use all his or her votes or cast all the votes he or she uses in the same way.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163.    Subject to such requirements and restrictions as the Directors may specify, the Company may permit members to vote by correspondence in advance of a general meeting in respect of one or more of the resolutions proposed at a meeting. Where the Company permits members to vote by correspondence, it shall only count votes cast in advance by correspondence, where such votes are received at the address and before the date and time specified by the Company, provided the date and time is no more than 24 hours before the time at which the vote is to be concluded.</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164.    Subject to such requirements and restrictions as the Directors may specify, the Company may permit members who are not physically present at a meeting to vote by electronic means at the general meeting in respect of one or more of the resolutions proposed at a meeting. Any temporary failure of, or disruption to, voting by electronic means shall not invalidate the general meeting or any proceedings relating to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165.    Where a member requests a full account of a vote before or on the declaration of the result of a vote at a general meeting, then with respect to each resolution proposed at a general meeting the Company shall establish:</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165.1    the number of shares for which votes have been validly cast;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165.2    the proportion of the Company’s issued share capital at close of business on the record date before the meeting represented by those votes;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165.3    the total number of votes validly cast,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165.4    the number of votes cast in favour of and against each resolution and, if counted, the number of abstentions.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166.    Where no member requests a full account of the voting before or on the declaration of the result of a vote at a general meeting, it shall be sufficient for the Company to establish the voting results only to the extent necessary to ensure that the required majority is reached for each resolution. The Company shall ensure that a voting result established in accordance with this Article is published on its internet site or the site of the SEC not later than the end of the fifteenth day after the date of the meeting at which the voting result was obtained.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167.    Where there is an equality of votes, the chairperson of the meeting shall not have a second or casting vote.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168.    No member shall be entitled to vote at any general meeting of the Company unless all calls or other sums immediately payable by him or her in respect of shares in the Company have been paid.</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A-40</w:t>
                      </w:r>
                    </w:p>
                  </w:txbxContent>
                </v:textbox>
                <w10:wrap type="none"/>
              </v:rect>
            </w:pict>
          </mc:Fallback>
        </mc:AlternateConten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Class meetings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169.    Without prejudice to Article 17, the provisions of these Articles relating to general meetings shall, as far as applicable, apply in relation to any meeting of any class of member of the Company.</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Appointment of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170.    The number of Directors shall be fixed from time to time by the Board, provided that in no case shall the number fixed by the Board be less than three nor more than fourteen unless this is approved by an ordinary resolution passed in accordance with Article 178.</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171.    Each Director shall (unless his or her office is earlier vacated in accordance with these Articles) serve for a one-year term concluding at the annual general meeting after such Director was last appointed or reappointed. Any Director retiring at an annual general meeting will be eligible for re-appointment at that annual general meeting in accordance with these Articles. If a Director is not re-appointed (or deemed to be re-appointed pursuant to these Articles), he or she shall retain office until the meeting appoints someone in his or her place or, if it does not do so, until the end of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172.    The Board, upon recommendations of the nomination and governance committee (or equivalent committee established by the Board), shall propose nominees for election to the office of Director at each annual general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173.    Without prejudice to Article 180, the Directors may be appointed by the members in a general meeting, provided that no person other than a Director retiring at the meeting shall, save where recommended by the Board, be eligible for election to the office of Director at any general meeting unless the requirements of Article 180 as to his or her eligibility for that purpose have been complied with.</w:t>
      </w:r>
    </w:p>
    <w:p>
      <w:pPr>
        <w:pStyle w:val="TextBody"/>
        <w:bidi w:val="0"/>
        <w:spacing w:lineRule="auto" w:line="288" w:before="0" w:after="220"/>
        <w:ind w:left="0" w:right="0" w:hanging="720"/>
        <w:jc w:val="both"/>
        <w:rPr/>
      </w:pPr>
      <w:r>
        <w:rPr>
          <w:rFonts w:ascii="Times New Roman;serif" w:hAnsi="Times New Roman;serif"/>
          <w:b w:val="false"/>
          <w:color w:val="000000"/>
          <w:sz w:val="22"/>
        </w:rPr>
        <w:t>174.    Each Director shall be elected by an ordinary resolution at such meeting, provided that if, as of, or at any time prior to, fourteen days before (i) dissemination of the notice of the general meeting to the members or, (ii) if the Company is determined to be a domestic issuer in the United States for the purposes of the Exchange Act, the filing of the Company’s definitive proxy statement with the SEC relating to such general meeting (regardless of whether or not such notice or the definitive proxy statement is thereafter revised or supplemented, and regardless of whether any notice of member business or nominations have been withdrawn or deemed invalid by a court of competent jurisdiction), the number of Director nominees exceeds the number of Directors to be elected (a “</w:t>
      </w:r>
      <w:r>
        <w:rPr>
          <w:rFonts w:ascii="Times New Roman;serif" w:hAnsi="Times New Roman;serif"/>
          <w:b/>
          <w:color w:val="000000"/>
          <w:sz w:val="22"/>
        </w:rPr>
        <w:t>contested</w:t>
      </w:r>
      <w:r>
        <w:rPr>
          <w:color w:val="000000"/>
        </w:rPr>
        <w:t xml:space="preserve"> </w:t>
      </w:r>
      <w:r>
        <w:rPr>
          <w:rFonts w:ascii="Times New Roman;serif" w:hAnsi="Times New Roman;serif"/>
          <w:b/>
          <w:color w:val="000000"/>
          <w:sz w:val="22"/>
        </w:rPr>
        <w:t>election</w:t>
      </w:r>
      <w:r>
        <w:rPr>
          <w:color w:val="000000"/>
        </w:rPr>
        <w:t>”</w:t>
      </w:r>
      <w:r>
        <w:rPr>
          <w:rFonts w:ascii="Times New Roman;serif" w:hAnsi="Times New Roman;serif"/>
          <w:b w:val="false"/>
          <w:color w:val="000000"/>
          <w:sz w:val="22"/>
        </w:rPr>
        <w:t>), each of those nominees shall be voted upon as a separate resolution and the Directors shall be elected by a plurality of the votes of the shares present in person or represented by proxy at any such meeting and entitled to vote on the election of Directors.</w:t>
      </w:r>
    </w:p>
    <w:p>
      <w:pPr>
        <w:pStyle w:val="TextBody"/>
        <w:bidi w:val="0"/>
        <w:spacing w:lineRule="auto" w:line="288" w:before="0" w:after="220"/>
        <w:ind w:left="0" w:right="0" w:hanging="720"/>
        <w:jc w:val="both"/>
        <w:rPr/>
      </w:pPr>
      <w:r>
        <w:rPr>
          <w:rFonts w:ascii="Times New Roman;serif" w:hAnsi="Times New Roman;serif"/>
          <w:b w:val="false"/>
          <w:color w:val="000000"/>
          <w:sz w:val="22"/>
        </w:rPr>
        <w:t>175.    For the purposes of this Article 174, “</w:t>
      </w:r>
      <w:r>
        <w:rPr>
          <w:rFonts w:ascii="Times New Roman;serif" w:hAnsi="Times New Roman;serif"/>
          <w:b/>
          <w:color w:val="000000"/>
          <w:sz w:val="22"/>
        </w:rPr>
        <w:t>elected by a plurality</w:t>
      </w:r>
      <w:r>
        <w:rPr>
          <w:color w:val="000000"/>
        </w:rPr>
        <w:t xml:space="preserve">” </w:t>
      </w:r>
      <w:r>
        <w:rPr>
          <w:rFonts w:ascii="Times New Roman;serif" w:hAnsi="Times New Roman;serif"/>
          <w:b w:val="false"/>
          <w:color w:val="000000"/>
          <w:sz w:val="22"/>
        </w:rPr>
        <w:t>means the election of those director nominees, equalling in number to the number of positions to be filled at the relevant general meeting, that received the highest number of votes.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176.    The Directors may from time to time appoint any person to be a Director, either to fill a casual vacancy or as an addition to the existing Directors, provided that the total number of Directors shall not at any time exceed the number as may be provided for in these Articles.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177.    A Director who is appointed pursuant to Article 176 shall be required to retire at the next following annual general meeting, subject to the provisions of Article 171.</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A-41</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178.    The Company may from time to time, by ordinary resolution, increase or reduce the number of Directors provided that any resolution to appoint a Director approved by the members that would result in the maximum number of Directors being exceeded shall be deemed to constitute an ordinary resolution increasing the maximum number of Directors to the number that would be in office following such a resolution of appointment.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179.    The Company may, by ordinary resolution, appoint another person in place of a Director removed from office under section 146 of the Act and, without prejudice to the powers of the Directors under Article 176, the Company in a general meeting may appoint any person to be a Director either to fill a casual vacancy or as an additional Director.</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Shareholder proposals</w:t>
      </w:r>
    </w:p>
    <w:p>
      <w:pPr>
        <w:pStyle w:val="TextBody"/>
        <w:bidi w:val="0"/>
        <w:spacing w:lineRule="auto" w:line="288" w:before="0" w:after="22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180.    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180.1    Nominations of candidates for election as Directors or the proposal of other business to be brought to a general meeting may be made only: (i) pursuant to the Company’s notice of meeting (or any supplement thereto); (ii) by or at the direction of the Board; (iii) by any member proposing nominations or other business to be brought before a general meeting who is a holder on the date of the giving of the notice provided for in this Article 180 and at the time of the applicable general meeting, and who is entitled to vote at such meeting; or (iv) by an Eligible Holder (as defined below) in compliance with the procedures set forth in Articles 226 to 237, to the extent in effect with respect to the Company. Sub-paragraphs (iii) and (iv) of this Article 180 set forth the exclusive means for a member to nominate candidates for election as Directors at a general meeting or to propose other business to be considered at a general meeting (other than matters properly brought under Rule 14a-8 under the Exchange Act, to the extent applicable to the Company). No member may nominate candidates for election as Directors or propose other business except in respect of an annual general meeting as permitted by this Article 180 and the members agree that the provisions of sub-paragraph 180.3 to 180.10 of this Article 180 shall mutatis mutandis apply to any nominations of candidates for election as Directors pursuant to Section 178 of the Act. The Board shall have the power to determine whether a nomination or any other business proposed to be brought before a general meeting was made or proposed, as the case may be, in accordance with the procedures set forth in this Article 180 (including whether the Proposing Member or other Member Affiliate, if any, on whose behalf the nomination is made or other business is being proposed solicited (or is part of a group which solicited) or did not so solicit, as the case may be, proxies in support of such Proposing Member’s nominee or other business in compliance with such member’s representation as required by Article 180.3(a)(xii)). As part of such determination of the Board (and prior to the end of any applicable period during which members may submit notice of nominations or other business pursuant to this Article 180), the Board, in its sole discretion, may elect to provide the Proposing Member an opportunity to cure any deficiencies in connection with their respective notices. If any proposed nomination or other business was not made or proposed in compliance with these Articles, the chairperson of the general meeting shall have the power to declare to the meeting that any such nomination or other business was not properly brought before the meeting in accordance with the provisions of these Articles, and that such nomination or other business not properly brought before the meeting shall be disregarded and/or shall not be transacted.</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A-42</w:t>
                      </w:r>
                    </w:p>
                  </w:txbxContent>
                </v:textbox>
                <w10:wrap type="none"/>
              </v:rect>
            </w:pict>
          </mc:Fallback>
        </mc:AlternateContent>
      </w:r>
    </w:p>
    <w:p>
      <w:pPr>
        <w:pStyle w:val="TextBody"/>
        <w:bidi w:val="0"/>
        <w:spacing w:lineRule="auto" w:line="288" w:before="0" w:after="220"/>
        <w:ind w:left="0" w:right="0" w:hanging="720"/>
        <w:jc w:val="both"/>
        <w:rPr/>
      </w:pPr>
      <w:r>
        <w:rPr>
          <w:rFonts w:ascii="Times New Roman;serif" w:hAnsi="Times New Roman;serif"/>
          <w:b w:val="false"/>
          <w:color w:val="000000"/>
          <w:sz w:val="22"/>
        </w:rPr>
        <w:t>180.2    Any matter proposed to be brought by a member must constitute a proper matter for member action. A notice of a member to make a Director nomination or to propose any other business to be considered at a general meeting (each, a “</w:t>
      </w:r>
      <w:r>
        <w:rPr>
          <w:rFonts w:ascii="Times New Roman;serif" w:hAnsi="Times New Roman;serif"/>
          <w:b/>
          <w:color w:val="000000"/>
          <w:sz w:val="22"/>
        </w:rPr>
        <w:t>Member Notice</w:t>
      </w:r>
      <w:r>
        <w:rPr>
          <w:color w:val="000000"/>
        </w:rPr>
        <w:t>”</w:t>
      </w:r>
      <w:r>
        <w:rPr>
          <w:rFonts w:ascii="Times New Roman;serif" w:hAnsi="Times New Roman;serif"/>
          <w:b w:val="false"/>
          <w:color w:val="000000"/>
          <w:sz w:val="22"/>
        </w:rPr>
        <w:t>) shall be made in writing and received by the Company Secretary at the principal executive office of the Company: (i) in the event of an annual general meeting, not earlier than the one hundred twentieth day and not later than the Close of Business on the ninetieth day in advance of the anniversary date of the immediately preceding annual general meeting; provided, however, that in the event that the annual general meeting is called on a date that is not within thirty days before or after such anniversary date or if no annual general meeting was held in the preceding year, the Member Notice must be received not later than the Close of Business on the tenth day following the day on which notice of the date of such annual general meeting was mailed or public disclosure of the date of that annual general meeting at which the nomination or proposal will be considered was made, whichever first occurs; or (ii) in the event of any extraordinary general meeting convened by the Board, the Member Notice shall be so received not later than the Close of Business on the tenth (10th) day following the day on which notice of the meeting is first mailed to members or public disclosure of the date of the extraordinary general meeting was made, whichever first occurs. In no event shall the adjournment, postponement, judicial stay or rescheduling of any general meeting, or any announcement thereof, commence a new time period (or extend any time period) for the delivery of a Member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180.3    Each Member Notice must set forth:</w:t>
      </w:r>
    </w:p>
    <w:p>
      <w:pPr>
        <w:pStyle w:val="TextBody"/>
        <w:bidi w:val="0"/>
        <w:spacing w:lineRule="auto" w:line="288" w:before="0" w:after="220"/>
        <w:ind w:left="0" w:right="0" w:hanging="720"/>
        <w:jc w:val="both"/>
        <w:rPr/>
      </w:pPr>
      <w:r>
        <w:rPr>
          <w:rFonts w:ascii="Times New Roman;serif" w:hAnsi="Times New Roman;serif"/>
          <w:b w:val="false"/>
          <w:color w:val="000000"/>
          <w:sz w:val="22"/>
        </w:rPr>
        <w:t>(a)    in connection with a proposed Director nomination or the proposal of any other business, as to the holder giving the Member Notice (the “</w:t>
      </w:r>
      <w:r>
        <w:rPr>
          <w:rFonts w:ascii="Times New Roman;serif" w:hAnsi="Times New Roman;serif"/>
          <w:b/>
          <w:color w:val="000000"/>
          <w:sz w:val="22"/>
        </w:rPr>
        <w:t>Proposing Member</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whether the Proposing Member is giving the notice on behalf of one or more beneficial owners;</w:t>
      </w:r>
    </w:p>
    <w:p>
      <w:pPr>
        <w:pStyle w:val="TextBody"/>
        <w:bidi w:val="0"/>
        <w:spacing w:lineRule="auto" w:line="288" w:before="0" w:after="220"/>
        <w:ind w:left="0" w:right="0" w:hanging="720"/>
        <w:jc w:val="both"/>
        <w:rPr/>
      </w:pPr>
      <w:r>
        <w:rPr>
          <w:rFonts w:ascii="Times New Roman;serif" w:hAnsi="Times New Roman;serif"/>
          <w:b w:val="false"/>
          <w:color w:val="000000"/>
          <w:sz w:val="22"/>
        </w:rPr>
        <w:t>(ii)    the name and residential address of: (a) the Proposing Member; (b) any beneficial owner on whose behalf the Proposing Member is acting; and (c) any: (I) participant (as defined in paragraphs (a)(ii)-(vi) of Instruction 3 to Item 4 of Schedule 14A under the Exchange Act, or any successor instructions) with any such Proposing Member in a solicitation of proxies in respect of any business or Director nomination proposed by such Proposing Member; (II) affiliate or associate (each, for the purposes of this Article 180, as defined in Rule 12b-2 under the Exchange Act (or any successor provision)) of such Proposing Member; and (III) any person who is a member of a “</w:t>
      </w:r>
      <w:r>
        <w:rPr>
          <w:rFonts w:ascii="Times New Roman;serif" w:hAnsi="Times New Roman;serif"/>
          <w:b/>
          <w:color w:val="000000"/>
          <w:sz w:val="22"/>
        </w:rPr>
        <w:t>group</w:t>
      </w:r>
      <w:r>
        <w:rPr>
          <w:color w:val="000000"/>
        </w:rPr>
        <w:t xml:space="preserve">” </w:t>
      </w:r>
      <w:r>
        <w:rPr>
          <w:rFonts w:ascii="Times New Roman;serif" w:hAnsi="Times New Roman;serif"/>
          <w:b w:val="false"/>
          <w:color w:val="000000"/>
          <w:sz w:val="22"/>
        </w:rPr>
        <w:t>(as such term is used in Rule 13d-5 under the Exchange Act (or any successor provision)) with such Proposing Member (the persons described in sub-paragraphs (b) and (c) are hereinafter collectively referred to as “</w:t>
      </w:r>
      <w:r>
        <w:rPr>
          <w:rFonts w:ascii="Times New Roman;serif" w:hAnsi="Times New Roman;serif"/>
          <w:b/>
          <w:color w:val="000000"/>
          <w:sz w:val="22"/>
        </w:rPr>
        <w:t>Member Affiliates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the class and number of shares and any other securities of the Company that are owned beneficially or of record by the Proposing Member and each Member Affiliate (including any shares or other securities as to which the Proposing Member of any Member Affiliate has a right to acquire beneficial or record ownership at any time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A-43</w:t>
                      </w:r>
                    </w:p>
                  </w:txbxContent>
                </v:textbox>
                <w10:wrap type="none"/>
              </v:rect>
            </w:pict>
          </mc:Fallback>
        </mc:AlternateContent>
      </w:r>
    </w:p>
    <w:p>
      <w:pPr>
        <w:pStyle w:val="TextBody"/>
        <w:bidi w:val="0"/>
        <w:spacing w:lineRule="auto" w:line="288" w:before="0" w:after="220"/>
        <w:ind w:left="0" w:right="0" w:hanging="720"/>
        <w:jc w:val="both"/>
        <w:rPr/>
      </w:pPr>
      <w:r>
        <w:rPr>
          <w:rFonts w:ascii="Times New Roman;serif" w:hAnsi="Times New Roman;serif"/>
          <w:b w:val="false"/>
          <w:color w:val="000000"/>
          <w:sz w:val="22"/>
        </w:rPr>
        <w:t>(iv)    a description of any agreement, arrangement or understanding (including any derivative or short positions, profit interests, options, warrants, share/stock appreciation or similar rights, hedging transactions, and borrowed or loaned shares) that has been entered into as of the date of the Member Notice by, or on behalf of, the Proposing Member or any Member Affiliate, the effect or intent of which is to mitigate loss to, manage risk or benefit of share price changes for, or increase or decrease the voting power of, the Proposing Member or any Member Affiliate, with respect to any securities of the Company (any such agreement, arrangement or understanding entered into by or for the benefit of any person is referred to herein as a “</w:t>
      </w:r>
      <w:r>
        <w:rPr>
          <w:rFonts w:ascii="Times New Roman;serif" w:hAnsi="Times New Roman;serif"/>
          <w:b/>
          <w:color w:val="000000"/>
          <w:sz w:val="22"/>
        </w:rPr>
        <w:t>Derivative Instrument</w:t>
      </w:r>
      <w:r>
        <w:rPr>
          <w:color w:val="000000"/>
        </w:rPr>
        <w:t>”</w:t>
      </w:r>
      <w:r>
        <w:rPr>
          <w:rFonts w:ascii="Times New Roman;serif" w:hAnsi="Times New Roman;serif"/>
          <w:b w:val="false"/>
          <w:color w:val="000000"/>
          <w:sz w:val="22"/>
        </w:rPr>
        <w:t>) and whether and the extent to which any Derivative Instruments is in place or has been entered into within the prior six months preceding the date of delivery of the Member Notice by or for the benefit of the Proposing Member or any Member Affiliate, and if so, a summary of the material terms thereof;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    a description of any proxy, agreement, arrangement, understanding or relationship pursuant to which the Proposing Member (or any Member Affiliate) has or shares a right to, directly or indirectly, vote or direct the voting of any shares of the Company’s securities;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    a description of any rights to dividends or other distributions on the shares of any class of shares of the Company, directly or indirectly, owned beneficially by the Proposing Member or any Member Affiliate that are separated or separable from the underlying securities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    any performance-related fees (other than an asset-based fee) that the Proposing Member or any Member Affiliate, directly or indirectly, may be entitled to based on any increase or decrease in the value of any shares of the Company’s securities or any Derivative Instruments;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    a representation that the Proposing Member is, and will at the time of such general meeting be, a holder of the Company’s shares entitled to vote (indicating the class and number of shares owned) and intends to appear in person or by proxy at the meeting to make the nomination or to propose any other business specified in the Member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    a description of all arrangements or understandings among the Proposing Member, each Member Affiliate, and each proposed nominee and any other person (naming such person) pursuant to which each nomination or proposal of other business is to be made by the Proposing Member;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(x)    to the extent not prohibited under applicable law or the relevant code, rules and regulations applicable to the listing of the shares or depository receipts in respect of shares on any Exchange or other applicable bona fide confidentiality obligation, with respect to the Proposing Member and each Member Affiliate, a list of: (a) litigation filed against such person during the prior ten years; (b) any criminal proceedings (excluding traffic violations and other minor offences) naming such person as a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A-44</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during the prior ten years; and (c) investigations of such person by a governmental entity, including law enforcement agencies, commenced within the prior ten years;</w:t>
      </w:r>
    </w:p>
    <w:p>
      <w:pPr>
        <w:pStyle w:val="TextBody"/>
        <w:bidi w:val="0"/>
        <w:spacing w:lineRule="auto" w:line="288" w:before="0" w:after="220"/>
        <w:ind w:left="0" w:right="0" w:hanging="720"/>
        <w:jc w:val="both"/>
        <w:rPr/>
      </w:pPr>
      <w:r>
        <w:rPr>
          <w:rFonts w:ascii="Times New Roman;serif" w:hAnsi="Times New Roman;serif"/>
          <w:b w:val="false"/>
          <w:color w:val="000000"/>
          <w:sz w:val="22"/>
        </w:rPr>
        <w:t>(xi)    a representation as to whether the Proposing Member or the beneficial owner, if any, intends or is part of a group (providing the name and address of each participant (as defined in Item 4 of Schedule 14A of the Exchange Act)) which intends: (a) to deliver applicable proxy materials to holders of at least the percentage of the Company’s issued share capital required to approve or adopt the proposal or elect the proposed Director nominee; (b) otherwise to solicit proxies from members in support of such proposal or nomination; and/or (c) to solicit proxies in support of each proposed Director nominee in accordance with Rule 14a-19 under the Exchange Act (or any successor provision), to the extent applicable to the Company (“</w:t>
      </w:r>
      <w:r>
        <w:rPr>
          <w:rFonts w:ascii="Times New Roman;serif" w:hAnsi="Times New Roman;serif"/>
          <w:b/>
          <w:color w:val="000000"/>
          <w:sz w:val="22"/>
        </w:rPr>
        <w:t>Rule 14a-19</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    the names and addresses of any other members or beneficial owners known to be financially or otherwise materially supporting such nomination or proposal of other business by the Proposing Member or the beneficial owner, if any, on whose behalf the Proposing Member is acting;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(xiii)    the representations and agreements referenced in Article 180.4 in the form provided by the Company pursuant to Article 180.4 and signed by the Proposing Member and any applicable Member Affiliates;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(xiv)    any other information relating to the Proposing Member, beneficial owner, if any, any Member Affiliate or such nomination or proposal of other business that would be required to be disclosed in a notice of meeting, proxy statement or other filing required to be made in connection with the solicitation of proxies in support of such proposed Director nominee or other proposal pursuant to Section 14 of the Exchange Act (or any successor provision).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In connection with a proposed Director nomination, as to each person whom a Proposing Member proposes to nominate as a candidate for election as a Director: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the name, age, business address, and place of residence of the proposed Director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the class and number of shares and any other securities of the Company that are, directly or indirectly, owned beneficially or of record by the proposed Director nominee (including any shares or other securities as to which the proposed Director nominee has a right to acquire beneficial or record ownership at any time in the future);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    a description of all direct and indirect compensation and other material agreements, arrangements or understandings, and any other material relationships, between the Proposing Member or any Member Affiliate,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A-45</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on the one hand, and such proposed nominee, on the other hand, in connection with the making of such nomination or nominations, including, without limitation, all biographical and related-party transactions and other information that would be required to be disclosed pursuant to Regulation S-K if the Proposing Member or any such Member Affiliate were the “registrant” for purposes of such rule and such nominee were a director or executive officer of such registrant;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    whether and the extent to which any Derivative Instrument is in place or has been entered into within the prior six months preceding the date of delivery of the Member Notice by or for the benefit of the proposed Director nominee, and if so, a summary of the material terms thereof;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    any position of the proposed Director nominee as an officer or director, of any competitor of the Company (that is, any person that produces products, provides services, or engages in business activities that compete with or are alternatives to the products produced, services provided, or business activities engaged in by the Company or its affiliates) within the three calendar years preceding the submission of the Member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    such other information regarding each Director nominee proposed by the Proposing Member as would have been required to be disclosed in solicitations of proxies for election of directors, included in a proxy statement filed pursuant to the proxy rules of the SEC had each proposed Director nominee been nominated by the Board, or would otherwise be required, in each case pursuant to Section 14 of the Exchange Act (including Regulation 14A and Rule 14a-19 under the Exchange Act), including such person’s written consent to being named in the proxy statement as a proposed Director nominee and to serving as a Director if elected;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    whether such proposed Director nominee is eligible for consideration as an independent director under the relevant standards contemplated by Item 407(a) of Regulation S-K adopted by the SEC (or the corresponding provisions of any successor regulation) and the relevant listing standards of any Exchange;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    the completed questionnaire, representations and agreements referenced in Article 180.4 in the form provided by the Company pursuant to Article 180.4 and signed by the proposed Director nominee;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    any other information relating to such proposed Director nominee that would be required to be disclosed in a proxy statement (including a notice of meeting) or other filing required to be made in connection with the solicitation of proxies in support of such proposed Director nominee pursuant to Section 14 of the Exchange Act (or any successor provision).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    In connection with any proposed business other than a Director nomination, (i) a description of the matter, (ii) the text of the proposed business (including the text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of any resolutions proposed for consideration), (iii) the reasons for the Proposing Member or the beneficial owner, if any, on whose behalf such business is being proposed, to propose such business at the general meeting, and (iv) a description of any material interest in such business of the Proposing Member, such beneficial owner, if any, or other Member Affiliate, individually or in the aggregate, including any anticipated benefit to the Proposing Member, beneficial owner or Member Affiliate therefrom.</w:t>
      </w:r>
    </w:p>
    <w:p>
      <w:pPr>
        <w:pStyle w:val="TextBody"/>
        <w:bidi w:val="0"/>
        <w:spacing w:lineRule="auto" w:line="288" w:before="0" w:after="220"/>
        <w:ind w:left="0" w:right="0" w:hanging="720"/>
        <w:jc w:val="both"/>
        <w:rPr/>
      </w:pPr>
      <w:r>
        <w:rPr>
          <w:rFonts w:ascii="Times New Roman;serif" w:hAnsi="Times New Roman;serif"/>
          <w:b w:val="false"/>
          <w:color w:val="000000"/>
          <w:sz w:val="22"/>
        </w:rPr>
        <w:t>180.4    As a condition of any Director nominee being deemed validly nominated by a member pursuant to sub-paragraph 180.1(iii) of this Article 180, each such Director nominee must deliver (not later than the deadlines prescribed for delivery of a Member Notice under Article 180.2) to the Company Secretary at the principal executive office of the Company: (i) a fully completed questionnaire with respect to the background and qualifications of the proposed Director nominee; and (ii) a fully completed set of representations and agreements that the proposed Director nominee, the Proposing Member, and any other person on whose behalf the nomination is being made, as applicable: (A) is not and will not become a party to: (a) without prior written disclosure to the Company Secretary, any agreement, arrangement, or understanding with, and has not given any commitment or assurance to, any person as to how such person (including the proposed Director nominee if elected to the Board) will act, vote, or refrain from acting or voting on any issue, question, or other matter (a “</w:t>
      </w:r>
      <w:r>
        <w:rPr>
          <w:rFonts w:ascii="Times New Roman;serif" w:hAnsi="Times New Roman;serif"/>
          <w:b/>
          <w:color w:val="000000"/>
          <w:sz w:val="22"/>
        </w:rPr>
        <w:t>Voting Commitment</w:t>
      </w:r>
      <w:r>
        <w:rPr>
          <w:color w:val="000000"/>
        </w:rPr>
        <w:t>”</w:t>
      </w:r>
      <w:r>
        <w:rPr>
          <w:rFonts w:ascii="Times New Roman;serif" w:hAnsi="Times New Roman;serif"/>
          <w:b w:val="false"/>
          <w:color w:val="000000"/>
          <w:sz w:val="22"/>
        </w:rPr>
        <w:t xml:space="preserve">); or (b) any Voting Commitment that could limit or interfere with such person’s ability to comply with such person’s fiduciary and other duties (including, in the case of the proposed Director nominee, if elected to the Board) under applicable law or the relevant code, rules and regulations applicable to the listing of the shares or depository receipts in respect of shares on any Exchange; (B) without prior written disclosure to the Company Secretary, is not and will not become a party to any agreement, arrangement, or understanding with any person other than the Company with respect to any direct or indirect compensation, reimbursement, or indemnification in connection with service, action, voting, or refraining from action or voting as a Director; has not violated, and would not violate, any applicable law or the relevant code, rules and regulations applicable to the listing of the shares or depository receipts in respect of shares on any Exchange by being nominated or elected as a Director (in the case of the proposed Director nominee) or by making the nomination (in the case of such other persons); (C) in the case of the proposed Director nominee; (a) would be in compliance, if elected as a Director, and will comply, with all applicable law or the relevant code, rules and regulations applicable to the listing of the shares or depository receipts in respect of shares on any Exchange, and all policies, standards, procedures, and guidelines of the Company relating to corporate governance, conflicts of interest, corporate opportunity, confidentiality, and stock ownership and trading that are applicable to Directors generally; (b) will comply with the Company’s processes for evaluating any person being considered for nomination as a Director, including an agreement to meet with current members of the Board, if and when requested by those members, to discuss matters relating to the nomination and potential service of the proposed Director nominee, including the information provided by the proposed Director nominee in connection with his or her nomination; (c) if elected as a Director, the proposed Director nominee intends to serve a full term; and (d) will provide facts, statements, and other information in all communications with the Company and its members that are or will be true and correct in all material respects and that do not and will not omit to state a material fact, statement, or other information necessary in order to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A-47</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make such communications, in light of the circumstances under which they were made, not misleading. Prior to submitting a Member Notice, the Proposing Member must request in writing from the Company Secretary the form of questionnaire and the representations and agreements described in this Article 180.4, and the Company Secretary shall provide the form within five (5) Business Days of a written request made by any member, identified by name, who is a holder at the time of such request.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180.5    Each applicable person (including the Proposing Member and any proposed Director nominee) shall (a) notify the Company of any inaccuracy or change (within two Business Days of becoming aware of such inaccuracy or change) in any information previously provided to the Company pursuant to this Article 180; and (b) update the notice delivered and information previously provided to the Company pursuant to this Article 180 and under any questionnaire or representations and agreements, if necessary, so that the information provided or required to be provided in such notice shall continue to be true and correct: (i) as of the record date for a general meeting; and (ii) as of the date that is ten (10) Business Days prior to the meeting (or any adjournment, recess or postponement thereof), and such update shall be received by the Company Secretary by electronic mail with confirmation of receipt or registered mail addressed to the Company Secretary at the principal executive office of the Company not later than five (5) Business Days after the record date for such general meeting (in the case of an update required to be made as of the record date) and not later than eight (8) Business Days prior to the date of such general meeting (in the case of an update required to be made as of the date that is ten (10) Business Days prior to such general meeting or any adjournment, recess or postponement thereof).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180.6    The obligation of a Proposing Member, proposed Director nominee or other applicable person to provide information or an update pursuant to this Article 180 and under any questionnaire or representations and agreements, as applicable, shall not limit the Company’s rights with respect to any deficiencies in any notice or information provided by such person, extend any applicable deadlines under this Article 180 or enable or be deemed to permit such person to amend or update any nomination or proposal, as applicable, or to submit any new nomination or proposal, including by substituting or adding nominees or proposals, as applicable, after the advance notice deadlines hereunder have expired. A Proposing Member may not, after the last day on which a notice would be timely under this Article 180, cure in any way any defect preventing the submission of a proposal or nomination of a proposed Director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180.7    The Company may also, as a condition of any Director nominee being deemed validly nominated by a member pursuant to sub-paragraph 180.1(iii) of Article 180, require the Proposing Member, any proposed Director nominee and any other person on whose behalf the nomination is being made to deliver to the Company Secretary, within five (5) Business Days of such request such other information as may be reasonably requested by the Company, including, without limitation: (i) such person has agreed to furnish under the applicable member’s notice (including any Member Notice), questionnaire or representations and agreements delivered to the Company (including under any such person’s agreement to update information pursuant to any representation and agreement); and (ii) that could (as determined by the Board or any committee thereof) be required by the Company to determine whether the proposed Director nominee would be: (A) considered “independent” as a member of the Board or meet the requirements for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A-48</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membership on the Board or any committee thereof; or (B) material to a reasonable member’s understanding of the qualifications and, fitness and/or independence, or lack thereof, of any proposed Director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180.8    Notwithstanding anything to the contrary in these Articles, unless otherwise required by applicable law or the relevant code, rules and regulations applicable to the listing of the shares or depository receipts in respect of shares on any Exchange, if any member: (i) provides notice pursuant to Rule 14a-19(b) under the Exchange Act (or any successor provision) with respect to any proposed Director nominee; and (ii) subsequently fails to comply with the requirements of Rule 14a-19(a)(2) or Rule 14a-19(a)(3) (or fails to timely provide reasonable evidence sufficient to satisfy the Company that such member has met the requirements of Rule 14a-19(a)(3) in accordance with the following sentence), then the nomination of each such proposed Director nominee shall be disregarded, even if the Company has received proxies or votes in respect of such nomination (which proxies and votes shall also be disregarded). If a member provides notice pursuant to Rule 14a-19(b) or includes the information required by Rule 14a-19(b) in a preliminary or definitive proxy statement (including a notice of meeting) previously filed by such member, such member must provide in writing to the Company Secretary, no later than seven Business Days prior to the applicable general meeting of members, a written certification (and upon request by the Company, reasonable evidence) that such member has met the applicable requirements of Rule 14a-19 under the Exchange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180.9    With respect to nominations or other business to be brought by a member before a general meeting, a member must also comply with all applicable requirements under the Memorandum, these Articles of Association and all other applicable law or the relevant code, rules and regulations applicable to the listing of the shares or depository receipts in respect of shares on any Exchange.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180.10    Notwithstanding anything to the contrary, the notice requirements set forth herein with respect to the proposal of any business (other than the nominations of candidates for election to as Directors) by a member pursuant to this Article 180 shall be deemed satisfied if such member has submitted a proposal to the Company in compliance with Rule 14a-8 under the Exchange Act (or any successor provision).</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Vacation of office by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181.    In addition to the circumstances described in sections 146, 148(1) and 196(2) of the Act, the office of Director shall be vacated: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181.1    ipso facto, if that Director: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resigns his or her office by notice in writing to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becomes subject to a declaration of restriction under section 819 of the Act and the Directors, at any time during the currency of the declaration, resolve that his or her office be vacated;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    resigns his or her office by spoken declaration at any Board meeting and such resignation is accepted by resolution of that meeting, in which case such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A-49</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resignation shall take effect at the conclusion of such meeting unless otherwise resolved;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is adjudicated insolvent or bankrupt or makes any arrangement or compromise with his or her creditors generally (in any jurisdiction);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is removed from office by notice in writing to the Company: where there is a sole member, by the sole member or where there is more than one member, by any member or members having the right to attend and vote at a general meeting of the Company on a resolution to remove a Director and holding for the time being not less than 90% of the votes attaching to shares giving that right;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181.2    by resolution of the Board: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where that Director can no longer be reasonably regarded as possessing an adequate decision making capacity by reason of his or her health;</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where that Director is sentenced to a term of imprisonment (whether or not the term is suspended) following conviction of a criminal offence in any jurisdiction;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where that Director is for more than six months absent, without the permission of the Directors, from meetings of the Directors held during that period;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where that Director is in employment of the Company, the Company’s holding company or a subsidiary of the Company’s holding company, upon the termination of such employment;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in accordance with Article 177;</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181.3    and a Director so removed shall have no right to prior notice or to raise any objection to his or her removal from office but any removal (other than one initiated by the Director) shall be without prejudice to any claim for compensation or damages payable as a result of the removal also terminating any contract of service.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Directors’ remuneration and expenses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182.    The remuneration of the Directors shall be such as is determined, from time to time, by the Board (with the assistance of the compensation committee of the Board or other committee serving a similar function) and such remuneration shall be deemed to accrue from day to day. The Board may from time to time determine that, subject to the requirements of the Act, all or part of any fees or other remuneration payable to any Director shall be provided in the form of shares or other securities of the Company or any subsidiary of the Company, or options or rights to acquire such shares or other securities, on such terms as the Board may decide. The remuneration of the Directors shall be ratified by the Company by ordinary resolution, provided that where such remuneration is not ratified by that vote, the Company shall pay its Directors in accordance with the Directors’ remuneration previously ratified by ordinary resolution.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183.    The Directors may also be paid all travelling, hotel and other expenses properly incurred by them: (a) in attending and returning from: (i) meetings of the Directors or any committee; or (ii) general meetings of the Company, or (b) otherwise in connection with the business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A-50</w:t>
                      </w:r>
                    </w:p>
                  </w:txbxContent>
                </v:textbox>
                <w10:wrap type="none"/>
              </v:rect>
            </w:pict>
          </mc:Fallback>
        </mc:AlternateConten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General power of management and delegation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184.    The business of the Company shall be managed by its Directors who may pay all expenses incurred in promoting and registering the Company and may exercise all such powers of the Company as are not, by the Act or by the Memorandum or these Articles, required to be exercised by the Company in a general meeting, but subject to:</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184.1    any regulations contained in these Articles;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184.2    the provisions of the Act;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184.3    such directions, not being inconsistent with the foregoing regulations or provisions, as the Company in a general meeting may (by special resolution) give.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185.    No direction given by the Company in a general meeting under Article 184.3 shall invalidate any prior act of the Directors which would have been valid if that direction had not been given.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186.    Without prejudice to the generality of Article 184, Article 184 operates to enable, subject to a limitation (if any) arising under any of paragraphs 184.1 to 184.3 of it, the Directors exercise all powers of the Company to borrow money and to mortgage or charge its undertaking, property and uncalled capital, or any part thereof.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187.    Without prejudice to section 40 of the Act, the Directors may delegate any of their powers (including any power referred to in these Articles) to such person or persons as they think fit, including committees; any such person or committee shall, in the exercise of the powers so delegated, conform to any regulations that may be imposed on it by the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188.    Any reference to a power of the Company required to be exercised by the Company in a general meeting includes a reference to a power of the Company that, but for the power of the members to pass a written resolution to effect the first-mentioned power’s exercise, would be required to be exercised by the Company in a general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189.    The acts of the Board or of any committee established by the Board or any delegee of the Board or any such committee shall be valid notwithstanding any defect which may afterwards be discovered in the appointment or qualification of any Director, committee member or delegee.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190.    The Directors may appoint a sole or joint company secretary, an assistant company secretary and a deputy company secretary for such term, at such remuneration and upon such conditions as they may think fit; and any such person so appointed may be removed by them.</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Officers and executives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191.    The Directors may from time to time appoint one or more of themselves to hold any office or position (including the office of Chief Executive Officer by whatever name called including managing director) with the Company and for such period and on such terms as to remuneration, if any (whether by way of salary, commission, participation in profits or otherwise) as the Board may determine, and, subject to the terms of any agreement entered into in any particular case, may revoke such appointment.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A-51</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192.    Without prejudice to any claim the person so appointed under Article 191 may have for damages for breach of any contract of service between the person and the Company, the person’s appointment shall cease upon his or her ceasing, from any cause, to be a Director.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193.    The Board may appoint any person whether or not he or she is a Director, to hold such executive or official position (including the Chief Executive Officer but except that of Auditor) as the Board may from time to time determine. The same person may hold more than one office of executive or official position.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194.    The Board shall determine from time to time, the powers and duties of any such office holder or official appointed under Articles 191 and/or Article 193, and subject to the provisions of the Act and these Articles, the Directors may confer upon an office holder or official any of the powers exercisable by them upon such terms and conditions and with such restrictions as they may think fit and in conferring any such powers, the Directors may specify that the conferral is to operate either: (a) so that the powers concerned may be exercised concurrently by them and the relevant office holder; or (b) to the exclusion of their own such powers.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195.    The Directors may (a) revoke any conferral of powers under Article 194 or (b) amend any such conferral (whether as to the powers conferred or the terms, conditions or restrictions subject to which the conferral is made). The use or inclusion of the word “officer” (or similar words) in the title of any executive or other position shall not be deemed to imply that the person holding such executive or other position is an “officer” of the Company within the meaning of the Act.</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Meetings of Directors and committees</w:t>
      </w:r>
    </w:p>
    <w:p>
      <w:pPr>
        <w:pStyle w:val="TextBody"/>
        <w:bidi w:val="0"/>
        <w:spacing w:lineRule="auto" w:line="288" w:before="0" w:after="22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196.    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196.1    The Directors may meet together for the dispatch of business, adjourn and otherwise regulate their meetings as they think fit.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196.2    The Directors may establish attendance and procedural guidelines from time to time about how their meetings are to be conducted consistent with good corporate governance and applicable tax requirements.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196.3    Such meetings shall take place on such date and at such time and place as the Directors may determine.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196.4    Questions arising at any such meeting shall be decided by a majority of votes cast by Directors present or represented at such meeting and where there is an equality of votes, the chairperson of the meeting shall have a second or casting vote.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196.5    The Chief Executive Officer, Chair, and a majority of Directors may, and the Company Secretary on the requisition of such person or persons shall, at any time summon a meeting of the Directors.</w:t>
      </w:r>
    </w:p>
    <w:p>
      <w:pPr>
        <w:pStyle w:val="TextBody"/>
        <w:bidi w:val="0"/>
        <w:spacing w:lineRule="auto" w:line="288" w:before="0" w:after="220"/>
        <w:ind w:left="0" w:right="0" w:hanging="720"/>
        <w:jc w:val="both"/>
        <w:rPr/>
      </w:pPr>
      <w:r>
        <w:rPr>
          <w:rFonts w:ascii="Times New Roman;serif" w:hAnsi="Times New Roman;serif"/>
          <w:b w:val="false"/>
          <w:color w:val="000000"/>
          <w:sz w:val="22"/>
        </w:rPr>
        <w:t>196.6    Where any Director is unable to attend a Board meeting or committee meeting in person (a “</w:t>
      </w:r>
      <w:r>
        <w:rPr>
          <w:rFonts w:ascii="Times New Roman;serif" w:hAnsi="Times New Roman;serif"/>
          <w:b/>
          <w:color w:val="000000"/>
          <w:sz w:val="22"/>
        </w:rPr>
        <w:t>non-attending Director</w:t>
      </w:r>
      <w:r>
        <w:rPr>
          <w:color w:val="000000"/>
        </w:rPr>
        <w:t>”</w:t>
      </w:r>
      <w:r>
        <w:rPr>
          <w:rFonts w:ascii="Times New Roman;serif" w:hAnsi="Times New Roman;serif"/>
          <w:b w:val="false"/>
          <w:color w:val="000000"/>
          <w:sz w:val="22"/>
        </w:rPr>
        <w:t>), he or she shall be entitled to nominate any Director who is due to attend such Board meeting or committee meeting in person to vote on his or her behalf if present in person at such Board meeting or committee meeting (the “</w:t>
      </w:r>
      <w:r>
        <w:rPr>
          <w:rFonts w:ascii="Times New Roman;serif" w:hAnsi="Times New Roman;serif"/>
          <w:b/>
          <w:color w:val="000000"/>
          <w:sz w:val="22"/>
        </w:rPr>
        <w:t>nominated Director</w:t>
      </w:r>
      <w:r>
        <w:rPr>
          <w:color w:val="000000"/>
        </w:rPr>
        <w:t>”</w:t>
      </w:r>
      <w:r>
        <w:rPr>
          <w:rFonts w:ascii="Times New Roman;serif" w:hAnsi="Times New Roman;serif"/>
          <w:b w:val="false"/>
          <w:color w:val="000000"/>
          <w:sz w:val="22"/>
        </w:rPr>
        <w:t xml:space="preserve">) but such non-attending Director must not direct or otherwise influence how such vote is exercised, such that, at such Board meeting or committee meeting,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nominated Director shall, in addition to his or her own vote, be entitled to one (1) vote in respect of each non-attending Director who has nominated him or her pursuant to this Article 196.6 to vote on his or her behalf at such Board meeting or committee meeting (each such vote to be exercised at the sole discretion of the nominated Director). Any nomination pursuant to this Article 196.6 shall be by notice in writing by the non-attending Director served on the Company Secretary prior to the start of the Board meeting or committee meeting to which it relates. No more than two non-attending Directors may make a nomination pursuant to this Article 196.6 in respect of any one Board meeting or committee meeting. Once two nominations have been served on the Company Secretary in respect of the same Board meeting or committee meeting, any and all subsequent nominations shall be deemed invalid and the Company Secretary shall notify the relevant non-attending Director accordingly. A nomination pursuant to this Article 196.6 shall automatically be revoked if: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Director who made such nomination attends in person at the Board meeting or committee meeting to which the nomination related;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prior to the start of the Board meeting or committee meeting to which such nomination related, the Director who made such nomination revokes such nomination by service of a notice in writing to the Company Secretary to that effect.</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Any Director who makes, and does not revoke, a nomination pursuant to this Article 196.6 shall not be counted in the quorum for the Board meeting or committee meeting to which such nomination relates.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197.    All Directors shall be entitled to reasonable notice of any meeting of the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198.    Nothing in Article 197 or any other provision of the Act enables a person, other than a Director, to object to the notice given for any meeting of the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199.    The quorum necessary for the transaction of the business of the Directors may be fixed by the Directors, and unless so fixed shall be a majority of the Directors then in office.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200.    The continuing Directors may act notwithstanding any vacancy in their number but, if and so long as their number is reduced below the number fixed in accordance with these Articles as the necessary quorum of Directors, the continuing Directors or Director may act for the purpose of increasing the number of Directors to that number or of summoning a general meeting of the Company but for no other purpose.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Chairperson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201.    The Directors may elect a Chair and determine the period for which he or she is to hold office, but if no such Chair is elected, or, if at any meeting the Chair is not present after the time appointed for holding it, the Directors present may choose one of their members to be chairperson of a Board meeting. The Chair shall vacate office if he or she vacates his or her office as a Director (otherwise than by the expiration of his or her term of office at a general meeting of the Company at which he or she is re-appointed).</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A-53</w:t>
                      </w:r>
                    </w:p>
                  </w:txbxContent>
                </v:textbox>
                <w10:wrap type="none"/>
              </v:rect>
            </w:pict>
          </mc:Fallback>
        </mc:AlternateConten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Committees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202.    The Directors may establish one or more committees consisting in whole or in part of members of the Board. The composition, function, power and obligations of any such committee will be determined by the Board from time to time.</w:t>
      </w:r>
    </w:p>
    <w:p>
      <w:pPr>
        <w:pStyle w:val="TextBody"/>
        <w:bidi w:val="0"/>
        <w:spacing w:lineRule="auto" w:line="288" w:before="0" w:after="220"/>
        <w:ind w:left="0" w:right="0" w:hanging="720"/>
        <w:jc w:val="both"/>
        <w:rPr/>
      </w:pPr>
      <w:r>
        <w:rPr>
          <w:rFonts w:ascii="Times New Roman;serif" w:hAnsi="Times New Roman;serif"/>
          <w:b w:val="false"/>
          <w:color w:val="000000"/>
          <w:sz w:val="22"/>
        </w:rPr>
        <w:t>203.    A committee established under Article 202 (a “</w:t>
      </w:r>
      <w:r>
        <w:rPr>
          <w:rFonts w:ascii="Times New Roman;serif" w:hAnsi="Times New Roman;serif"/>
          <w:b/>
          <w:color w:val="000000"/>
          <w:sz w:val="22"/>
        </w:rPr>
        <w:t>committee</w:t>
      </w:r>
      <w:r>
        <w:rPr>
          <w:color w:val="000000"/>
        </w:rPr>
        <w:t>”</w:t>
      </w:r>
      <w:r>
        <w:rPr>
          <w:rFonts w:ascii="Times New Roman;serif" w:hAnsi="Times New Roman;serif"/>
          <w:b w:val="false"/>
          <w:color w:val="000000"/>
          <w:sz w:val="22"/>
        </w:rPr>
        <w:t>) may elect a chairperson of its meetings; if no such chairperson is elected, or if at any meeting the chairperson is not present after the time appointed for holding it, the members of the committee present may choose one of their number to be chairperson of the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204.    A committee may meet and adjourn as it thinks proper. Committee meetings shall take place at such time and place as the relevant committee may determine. Questions arising at any meeting of a committee shall be determined (subject to Article 202) by a majority of votes of the members of the committee present, and where there is an equality of votes, the chairperson of the committee shall have a second or casting vote.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205.    Where any committee is established by the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205.1    the meetings and proceedings of such committee shall be governed by the provisions of these Articles regulating the meetings and proceedings of the Directors so far as the same are applicable and are not superseded by any regulations imposed upon such committee by the Directors;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205.2    the Directors may authorise, or may authorise such committee to authorise, any person who is not a Director to attend all or any meetings of any such committee on such terms as the Directors or the committee think fit, provided that any such person shall not be entitled to vote at meetings of the committee.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Written resolutions and telephonic meetings of the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206.    The following provision shall apply: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206.1    A resolution in writing signed by all the Directors, or by all the Directors being members of a committee referred to in Article 202, and who are for the time being entitled to receive notice of a meeting of the Directors or, as the case may be, of such a committee, shall be as valid as if it had been passed at a meeting of the Directors or such a committee duly convened and held.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206.2    A resolution in writing shall be deemed to have been signed by a Director where the Chair, Company Secretary or other person designated by the Board has received an email from that Director’s Certified Email Address (as defined by Article 206.3) which identifies the resolution and states, unconditionally, “I hereby sign the resolution”.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206.3    A Director’s Certified Email Address is such email address as the Director has, from time to time, notified to such person and in such manner as may from time to time be prescribed by the Board.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206.4    The Company shall cause a copy of every email referred to in Article 206.2 to be entered in the books kept pursuant to section 166 of the Act.</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A-54</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207.    Subject to Article 208, where one or more of the Directors (other than a majority of them) would not, by reason 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207.1    the Act or any other enactment;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207.2    these Articles;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207.3    an applicable rule of law or an Exchange,</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be permitted to vote on a resolution such as is referred to in Article 206, if it were sought to pass the resolution at a meeting of the Directors duly convened and held, then such a resolution, notwithstanding anything in Article 206.1, shall be valid for the purposes of that subsection if the resolution is signed by those of the Directors who would have been permitted to vote on it had it been sought to pass it at such a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208.    In a case falling within Article 207, the resolution shall state the name of each Director who did not sign it and the basis on which he or she did not sign it.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209.    For the avoidance of doubt, nothing in Articles 206 to 208 dealing with a resolution that is signed by other than all of the Directors shall be read as making available, in the case of an equality of votes, a second or casting vote to the one of their number who would, or might have been, if a meeting had been held to transact the business concerned, chairperson of that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210.    The resolution referred to in Article 206 may consist of several documents in like form each signed by one or more Directors and for all purposes shall take effect from the time that it is signed by the last Director.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211.    A meeting of the Directors or of a committee referred to in Article 202 may consist of a conference between some or all of the Directors or, as the case may be, members of the committee who are not all in one place, but each of whom is able (directly or by means of telephonic, video or other electronic communication) to speak to each of the others and to be heard by each of the others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211.1    a Director or as the case may be a member of the committee taking part in such a conference shall be deemed to be present in person at the meeting and shall be entitled to vote (subject to Article 207) and be counted in a quorum accordingly;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211.2    such a meeting shall be deemed to take place: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where the largest group of those Directors participating in the conference is assembled;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if there is no such group, where the chairperson of the meeting then is;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if neither subparagraph (a) or (b) applies, in such location as the meeting itself decides.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Directors’ duties, conflicts of interest, etc.</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212.    A Director may have regard to the interests of any other companies in a group of which the Company is a member to the full extent permitted by the Act.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A-55</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213.    A Director is expressly permitted (for the purposes of section 228(1)(d) of the Act) to use vehicles, telephones, computers, aircraft, accommodation and any other Company property where such use is approved by the Board or by a person so authorised by the Board or where such use is in accordance with a Director’s terms of employment, letter of appointment or other contract or in the course of the discharge of the Director’s duties or responsibilities or in the course of the discharge of a Director’s employment.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214.    Nothing in section 228(1)(e) of the Act shall restrict a Director from entering into any commitment which has been approved by the Board or has been approved pursuant to such authority as may be delegated by the Board in accordance with these Articles. It shall be the duty of each Director to obtain the prior approval of the Board, before entering into any commitment permitted by sections 228(1)(e)(ii) and 228(2) of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215.    It shall be the duty of a Director who is in any way, whether directly or indirectly, interested (within the meaning of section 231 of the Act) in a contract or proposed contract with the Company, to declare the nature of his or her interest at a meeting of the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216.    Subject to any applicable law or the relevant code, rules and regulations applicable to the listing of the shares or depository receipts in respect of shares on any Exchange, a Director may vote in respect of any contract, appointment or arrangement in which he or she is interested and shall be counted in the quorum present at the meeting and is hereby released from his or her duty set out in section 228(1)(f) of the Act and a Director may vote on his or her own appointment or arrangement and the terms of it.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217.    The Directors may exercise the voting powers conferred by the shares of any other company held or owned by the Company in such manner in all respects as they think fit and, in particular, they may exercise the voting powers in favour of any resolution: (a) appointing the Directors or any of them as directors or officers of such other company; or (b) providing for the payment of remuneration or pensions to the directors or officers of such other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218.    Any Director may vote in favour of the exercise of such voting rights notwithstanding that he or she may be or may be about to become a Director or officer of the other company referred to in Article 217 and as such or in any other way is or may be interested in the exercise of such voting rights in the foregoing manner.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219.    A Director may hold any other office or place of profit under the Company (other than Auditor) in conjunction with his or her office of Director for such period and on such terms as to remuneration and otherwise as the Directors may determine.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220.    Without prejudice to the provisions of section 228 of the Act, a Director may be or become a director or other officer of, or otherwise interested in, any company promoted by the Company or in which the Company may be interested as member or otherwise.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221.    A Director may act by himself or herself, or his or her firm, in a professional capacity for the Company; and any Director, in such a case, or his or her firm, shall be entitled to remuneration for professional services as if he or she were not a Director, but nothing in this Article authorises a Director, or his or her firm, to act as Auditor.</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A-56</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222.    No Director or nominee for Director shall be disqualified by his or her office from contracting with the Company either with regard to his or her tenure of any such other office or place of profit or as vendor, purchaser or otherwise.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223.    In particular, neither shall: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223.1    any contract with respect to any of the matters referred to in Article 216 nor any contract or arrangement entered into by or on behalf of the Company in which a Director is in any way interested, be liable to be avoided; nor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223.2    a Director so contracting or being so interested be liable to account to the Company for any profit realised by any such contract or arrangement,</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by reason of such Director holding that office or of the fiduciary relation thereby established.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224.    A Director, notwithstanding his or her interest, may be counted in the quorum present at any meeting at which:</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224.1    that Director or any other Director is appointed to hold any such office or place of profit under the Company as is mentioned in Article 219;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224.2    the terms of any such appointment are arranged,</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and he or she may vote on any such appointment or arrangement, subject to any applicable law or the relevant code, rules and regulations applicable to the listing of the shares or depository receipts in respect of shares on any Exchange.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Member Nominations included in the Company’s Proxy Materials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225.    Articles 226 to 237 shall apply to the Company only if and for so long as the Company is determined to be a domestic issuer in the United States for the purposes of the Exchange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226.    Subject to Articles 226 to 237 and to the extent applicable, if expressly requested in the relevant Nomination Notice (as defined below), the Company shall include in its proxy statement for any annual general meeting:</w:t>
      </w:r>
    </w:p>
    <w:p>
      <w:pPr>
        <w:pStyle w:val="TextBody"/>
        <w:bidi w:val="0"/>
        <w:spacing w:lineRule="auto" w:line="288" w:before="0" w:after="220"/>
        <w:ind w:left="0" w:right="0" w:hanging="720"/>
        <w:jc w:val="both"/>
        <w:rPr/>
      </w:pPr>
      <w:r>
        <w:rPr>
          <w:rFonts w:ascii="Times New Roman;serif" w:hAnsi="Times New Roman;serif"/>
          <w:b w:val="false"/>
          <w:color w:val="000000"/>
          <w:sz w:val="22"/>
        </w:rPr>
        <w:t>226.1    the names of any person or persons nominated for election as a Director, which shall also be included on the Company’s form of proxy and ballot, by any Eligible Holder (as defined below) or group of up to twenty Eligible Holders that has (individually and collectively, in the case of a group) satisfied, as determined by the Board, all applicable conditions and complied with all applicable procedures set forth in Articles 226 to 237 (such Eligible Holder or group of Eligible Holders being a “</w:t>
      </w:r>
      <w:r>
        <w:rPr>
          <w:rFonts w:ascii="Times New Roman;serif" w:hAnsi="Times New Roman;serif"/>
          <w:b/>
          <w:color w:val="000000"/>
          <w:sz w:val="22"/>
        </w:rPr>
        <w:t>Nominating Member</w:t>
      </w:r>
      <w:r>
        <w:rPr>
          <w:color w:val="000000"/>
        </w:rPr>
        <w:t xml:space="preserve">” </w:t>
      </w:r>
      <w:r>
        <w:rPr>
          <w:rFonts w:ascii="Times New Roman;serif" w:hAnsi="Times New Roman;serif"/>
          <w:b w:val="false"/>
          <w:color w:val="000000"/>
          <w:sz w:val="22"/>
        </w:rPr>
        <w:t>and each person so nominated, a “</w:t>
      </w:r>
      <w:r>
        <w:rPr>
          <w:rFonts w:ascii="Times New Roman;serif" w:hAnsi="Times New Roman;serif"/>
          <w:b/>
          <w:color w:val="000000"/>
          <w:sz w:val="22"/>
        </w:rPr>
        <w:t>Nominee</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226.2    disclosure about each Nominee and the Nominating Member required under the rules of the SEC or other applicable law or the relevant code, rules and regulations applicable to the listing of the shares or depository receipts in respect of shares on any Exchange to be included in the proxy statement;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226.3    any statement in support of the Nominee’s (or Nominees’, as applicable) election to the Board included by the Nominating Member in the Nomination Notice for inclusion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A-57</w:t>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proxy statement (subject, without limitation, to Article 237), provided that such statement does not exceed five hundred words and fully complies with Section 14 of the Exchange Act and the rules and regulations thereunder, including Rule 14a¬9 (or any successor provision) (the “</w:t>
      </w:r>
      <w:r>
        <w:rPr>
          <w:rFonts w:ascii="Times New Roman;serif" w:hAnsi="Times New Roman;serif"/>
          <w:b/>
          <w:color w:val="000000"/>
          <w:sz w:val="22"/>
        </w:rPr>
        <w:t>Statement</w:t>
      </w:r>
      <w:r>
        <w:rPr>
          <w:color w:val="000000"/>
        </w:rPr>
        <w:t>”</w:t>
      </w:r>
      <w:r>
        <w:rPr>
          <w:rFonts w:ascii="Times New Roman;serif" w:hAnsi="Times New Roman;serif"/>
          <w:b w:val="false"/>
          <w:color w:val="000000"/>
          <w:sz w:val="22"/>
        </w:rPr>
        <w:t>);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226.4    any other information that the Company or the Board determines, in their discretion, to include in the proxy statement relating to the nomination of the Nominee(s), including, without limitation, any statement in opposition to the nomination, any of the information provided pursuant to Articles 226 to 237 and any solicitation materials or related information with respect to the Nominee(s).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For purposes of Articles 226 to 237, any determination to be made by the Board may be made by the Board, a committee of the Board or any officer of the Company designated by the Board or a committee of the Board, and any such determination shall be final and binding on the Company, any Eligible Holder, any Nominating Member, any Nominee and any other person so long as made in good faith (without any further requirements). The chairperson of any annual general meeting, in addition to making any other determinations that may be appropriate to the conduct of the meeting, shall have the power and duty to determine whether a Nominee has been nominated in accordance with the requirements of Articles 226 to 237 and, if not so nominated, shall direct and declare at the meeting that such Nominee shall not be considered.</w:t>
      </w:r>
    </w:p>
    <w:p>
      <w:pPr>
        <w:pStyle w:val="TextBody"/>
        <w:bidi w:val="0"/>
        <w:spacing w:lineRule="auto" w:line="288" w:before="0" w:after="220"/>
        <w:ind w:left="0" w:right="0" w:hanging="720"/>
        <w:jc w:val="both"/>
        <w:rPr/>
      </w:pPr>
      <w:r>
        <w:rPr>
          <w:rFonts w:ascii="Times New Roman;serif" w:hAnsi="Times New Roman;serif"/>
          <w:b w:val="false"/>
          <w:color w:val="000000"/>
          <w:sz w:val="22"/>
        </w:rPr>
        <w:t>227.    The Company shall not be required to include in the proxy statement for an annual general meeting more Nominees than that number of Directors constituting the greater of (a) two; and (b) 20% of the total number of Directors serving on the Board on the last day on which a Nomination Notice may be submitted pursuant to Articles 226 to 237 (rounded down to the nearest whole number) (the “</w:t>
      </w:r>
      <w:r>
        <w:rPr>
          <w:rFonts w:ascii="Times New Roman;serif" w:hAnsi="Times New Roman;serif"/>
          <w:b/>
          <w:color w:val="000000"/>
          <w:sz w:val="22"/>
        </w:rPr>
        <w:t>Maximum Number</w:t>
      </w:r>
      <w:r>
        <w:rPr>
          <w:color w:val="000000"/>
        </w:rPr>
        <w:t>”</w:t>
      </w:r>
      <w:r>
        <w:rPr>
          <w:rFonts w:ascii="Times New Roman;serif" w:hAnsi="Times New Roman;serif"/>
          <w:b w:val="false"/>
          <w:color w:val="000000"/>
          <w:sz w:val="22"/>
        </w:rPr>
        <w:t>). The Maximum Number for a particular annual general meeting shall be reduced by: (i) the number of Nominees that the Board itself decides to nominate for election at such annual general meeting; and (ii) the number of incumbent Directors who had been Nominees with respect to any of the preceding two annual general meetings of members and who have been nominated by the Board at the upcoming annual general meeting. In the event that one or more vacancies for any reason occurs on the Board after the deadline for submitting a Nomination Notice as set forth in Article 234 below but before the date of the applicable annual general meeting, and the Board resolves to reduce the size of the Board in connection therewith, the Maximum Number shall be calculated based on the number of Directors in office as so reduced.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228.    If the number of Nominees pursuant to Articles 226 to 237 for any annual general meeting exceeds the Maximum Number then, promptly upon notice from the Company, each Nominating Member will select one Nominee for inclusion in the proxy statement until the Maximum Number is reached, going in order of the amount (largest to smallest) of the share ownership position as disclosed in each Nominating Member’s Nomination Notice, with the process repeated if the Maximum Number is not reached after each Nominating Member has selected one Nominee. If, after the deadline for submitting a Nomination Notice as set forth in Article 234, a Nominating Member ceases to satisfy the eligibility requirements in Articles 226 to 237, as determined by the Board, or withdraws its nomination or a Nominee ceases to satisfy the eligibility requirements in Articles 226 to 237, as determined by the Board, or becomes unwilling or unable to serve on the Board, whether before or after the mailing or other distribution of the Company’s proxy statement for such annual general meeting, then the nomination shall be disregarded, and the Company: (a) shall not be required to include in its proxy statement for such annual general meeting or on any ballot or form of proxy for such annual general meeting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A-58</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disregarded Nominee or any successor or replacement nominee proposed by the applicable Nominating Member or by any other Nominating Member; and (b) may otherwise communicate to its members, including without limitation by amending or supplementing its proxy statement or ballot or form of proxy, that the Nominee will not be included as a Nominee in the proxy statement or on any ballot or form of proxy for such annual general meeting and will not be voted on at such annual general meeting.</w:t>
      </w:r>
    </w:p>
    <w:p>
      <w:pPr>
        <w:pStyle w:val="TextBody"/>
        <w:bidi w:val="0"/>
        <w:spacing w:lineRule="auto" w:line="288" w:before="0" w:after="220"/>
        <w:ind w:left="0" w:right="0" w:hanging="720"/>
        <w:jc w:val="both"/>
        <w:rPr/>
      </w:pPr>
      <w:r>
        <w:rPr>
          <w:rFonts w:ascii="Times New Roman;serif" w:hAnsi="Times New Roman;serif"/>
          <w:b w:val="false"/>
          <w:color w:val="000000"/>
          <w:sz w:val="22"/>
        </w:rPr>
        <w:t>229.    An “</w:t>
      </w:r>
      <w:r>
        <w:rPr>
          <w:rFonts w:ascii="Times New Roman;serif" w:hAnsi="Times New Roman;serif"/>
          <w:b/>
          <w:color w:val="000000"/>
          <w:sz w:val="22"/>
        </w:rPr>
        <w:t>Eligible Holder</w:t>
      </w:r>
      <w:r>
        <w:rPr>
          <w:color w:val="000000"/>
        </w:rPr>
        <w:t xml:space="preserve">” </w:t>
      </w:r>
      <w:r>
        <w:rPr>
          <w:rFonts w:ascii="Times New Roman;serif" w:hAnsi="Times New Roman;serif"/>
          <w:b w:val="false"/>
          <w:color w:val="000000"/>
          <w:sz w:val="22"/>
        </w:rPr>
        <w:t>is a person who has either (a) been a record holder of the Ordinary Shares (or the ordinary shares previously issued by the Company’s predecessor) used to satisfy the eligibility requirements in Article 229 to 233 continuously for the three-year period specified in Article 230 below or (b) provides to the Company Secretary, within the time period referred to in Article 234, evidence of continuous ownership of such shares for such three-year period from one or more securities intermediaries in a form that the Board determines would be deemed acceptable for purposes of a member proposal under Rule 14a-8(b)(2) under the Exchange Act (or any successor rule).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230.    An Eligible Holder or group of up to twenty Eligible Holders may submit a nomination in accordance with Articles 226 to 237 only if the person or group (in the aggregate) has continuously owned at least the Minimum Number (as defined below) of shares of the Ordinary Shares (or the ordinary shares previously issued by the Company’s predecessor) throughout the three-year period preceding and including the date of submission of the Nomination Notice, and continues to own at least the Minimum Number of such shares through the date of the Company’s applicable annual general meeting.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of the United States, as amended, shall be treated as one Eligible Holder if such Eligible Holder shall provide together with the Nomination Notice documentation reasonably satisfactory to the Board that demonstrates the satisfaction of any of the foregoing criteria. For the avoidance of doubt, in the event of a nomination by a group of Eligible Holders, any and all requirements and obligations for an individual Eligible Holder that are set forth in Articles 226 to 237, including the minimum holding period, shall apply to each member of such group; provided, however, that the Minimum Number shall apply to the ownership of the group in the aggregate. Should any member cease to satisfy the eligibility requirements in Articles 226 to 237, as determined by the Board, or withdraw from a group of Eligible Holders at any time prior to the applicable annual general meeting, the group of Eligible Members shall only be deemed to own the shares held by the remaining members of the group. As used in Articles 226 to 237, any reference to a “group” or “group of Eligible Holders” refers to any Nominating Member that consists of more than one Eligible Holder and to all the Eligible Holders that make up such Nominating Member.</w:t>
      </w:r>
    </w:p>
    <w:p>
      <w:pPr>
        <w:pStyle w:val="TextBody"/>
        <w:bidi w:val="0"/>
        <w:spacing w:lineRule="auto" w:line="288" w:before="0" w:after="220"/>
        <w:ind w:left="0" w:right="0" w:hanging="720"/>
        <w:jc w:val="both"/>
        <w:rPr/>
      </w:pPr>
      <w:r>
        <w:rPr>
          <w:rFonts w:ascii="Times New Roman;serif" w:hAnsi="Times New Roman;serif"/>
          <w:b w:val="false"/>
          <w:color w:val="000000"/>
          <w:sz w:val="22"/>
        </w:rPr>
        <w:t>231.    The “</w:t>
      </w:r>
      <w:r>
        <w:rPr>
          <w:rFonts w:ascii="Times New Roman;serif" w:hAnsi="Times New Roman;serif"/>
          <w:b/>
          <w:color w:val="000000"/>
          <w:sz w:val="22"/>
        </w:rPr>
        <w:t>Minimum Number</w:t>
      </w:r>
      <w:r>
        <w:rPr>
          <w:color w:val="000000"/>
        </w:rPr>
        <w:t xml:space="preserve">” </w:t>
      </w:r>
      <w:r>
        <w:rPr>
          <w:rFonts w:ascii="Times New Roman;serif" w:hAnsi="Times New Roman;serif"/>
          <w:b w:val="false"/>
          <w:color w:val="000000"/>
          <w:sz w:val="22"/>
        </w:rPr>
        <w:t>of the Ordinary Shares means 3% of the number of outstanding Ordinary Shares calculated as of the most recent date for which the total number of outstanding Ordinary Shares is given in any filing by the Company with the SEC prior to the submission of the Nomination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232.    For the purposes of Articles 226 to 237, an Eligible Holder “owns” only those outstanding Ordinary Shares as to which the Eligible Holder possesses both: (a) the full voting and investment rights pertaining to the shares; and (b) the full economic interest in (including the opportunity for profit and risk of loss on) such shares; provided that the number of shares calculated in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A-59</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accordance with clauses (a) and (b) shall not include any shares: (i) purchased or sold by such Eligible Holder or any of its affiliates in any transaction that has not yet been settled or closed; (ii) borrowed by such Eligible Holder or any of its affiliates for any purpose or purchased by such Eligible Holder or any of its affiliates pursuant to an agreement to resell or subject to any other obligation to resell to another person; or (iii) subject to any option, warrant, forward contract, swap, contract of sale, other Derivative Instrument or similar agreement entered into by such Eligible Holder or any of its affiliates, whether any such instrument or agreement is to be settled with shares or with cash based on the notional amount or value of outstanding Ordinary Shares,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gain or loss arising from the full economic ownership of such shares by such Eligible Holder or any of its affiliates.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not more than five business days’ notice and continues to hold such shares through the date of such annual general meeting. The terms “owned,” “owning” and other variations of the word “own” shall have correlative meanings. Whether outstanding Ordinary Shares are “owned” for these purposes shall be determined by the Board.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233.    No Eligible Holder shall be permitted to be in more than one group constituting a Nominating Member, and if any Eligible Holder appears as a member of more than one group, it shall be deemed to be a member of the group that has the largest net long position as reflected in the Nomination Notice.</w:t>
      </w:r>
    </w:p>
    <w:p>
      <w:pPr>
        <w:pStyle w:val="TextBody"/>
        <w:bidi w:val="0"/>
        <w:spacing w:lineRule="auto" w:line="288" w:before="0" w:after="220"/>
        <w:ind w:left="0" w:right="0" w:hanging="720"/>
        <w:jc w:val="both"/>
        <w:rPr/>
      </w:pPr>
      <w:r>
        <w:rPr>
          <w:rFonts w:ascii="Times New Roman;serif" w:hAnsi="Times New Roman;serif"/>
          <w:b w:val="false"/>
          <w:color w:val="000000"/>
          <w:sz w:val="22"/>
        </w:rPr>
        <w:t>234.    To nominate a Nominee, the Nominating Member must, no earlier than one hundred and fifty calendar days and no later than the Close of Business one hundred and twenty calendar days before the anniversary of the date that the Company mailed or otherwise distributed its proxy statement for the prior year’s annual general meeting, submit to the Company Secretary at the principal executive office of the Company all of the following information and documents (collectively, the “</w:t>
      </w:r>
      <w:r>
        <w:rPr>
          <w:rFonts w:ascii="Times New Roman;serif" w:hAnsi="Times New Roman;serif"/>
          <w:b/>
          <w:color w:val="000000"/>
          <w:sz w:val="22"/>
        </w:rPr>
        <w:t>Nomination Notice</w:t>
      </w:r>
      <w:r>
        <w:rPr>
          <w:color w:val="000000"/>
        </w:rPr>
        <w:t>”</w:t>
      </w:r>
      <w:r>
        <w:rPr>
          <w:rFonts w:ascii="Times New Roman;serif" w:hAnsi="Times New Roman;serif"/>
          <w:b w:val="false"/>
          <w:color w:val="000000"/>
          <w:sz w:val="22"/>
        </w:rPr>
        <w:t>); provided, however, that (a) if (and only if) the applicable annual general meeting is not scheduled to be held within a period that commences thirty calendar days before the anniversary date for the prior year’s annual general meeting and ends thirty calendar days after such anniversary date or no annual general meeting date was held in the preceding year, then the Nomination Notice in the manner provided in Article 234 must be received not earlier than one hundred and eighty calendar days prior to such annual general meeting and not later than the Close of Business on the later of the one hundred and fiftieth calendar day prior to such annual general meeting and the tenth calendar day following the date on which notice of the date of such annual general meeting is first publicly announced or disclosed by the Company; and (b) in no event shall the adjournment, postponement, judicial stay or rescheduling of any general meeting, or any announcement thereof, commence a new time period (or extend any time period) for the delivery of a Nomination Notice: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A-60</w:t>
                      </w:r>
                    </w:p>
                  </w:txbxContent>
                </v:textbox>
                <w10:wrap type="none"/>
              </v:rect>
            </w:pict>
          </mc:Fallback>
        </mc:AlternateContent>
      </w:r>
    </w:p>
    <w:p>
      <w:pPr>
        <w:pStyle w:val="TextBody"/>
        <w:bidi w:val="0"/>
        <w:spacing w:lineRule="auto" w:line="288" w:before="0" w:after="220"/>
        <w:ind w:left="0" w:right="0" w:hanging="720"/>
        <w:jc w:val="both"/>
        <w:rPr/>
      </w:pPr>
      <w:r>
        <w:rPr>
          <w:rFonts w:ascii="Times New Roman;serif" w:hAnsi="Times New Roman;serif"/>
          <w:b w:val="false"/>
          <w:color w:val="000000"/>
          <w:sz w:val="22"/>
        </w:rPr>
        <w:t>234.1    a Schedule 14N of the Exchange Act (“</w:t>
      </w:r>
      <w:r>
        <w:rPr>
          <w:rFonts w:ascii="Times New Roman;serif" w:hAnsi="Times New Roman;serif"/>
          <w:b/>
          <w:color w:val="000000"/>
          <w:sz w:val="22"/>
        </w:rPr>
        <w:t>Schedule 14N</w:t>
      </w:r>
      <w:r>
        <w:rPr>
          <w:color w:val="000000"/>
        </w:rPr>
        <w:t>”</w:t>
      </w:r>
      <w:r>
        <w:rPr>
          <w:rFonts w:ascii="Times New Roman;serif" w:hAnsi="Times New Roman;serif"/>
          <w:b w:val="false"/>
          <w:color w:val="000000"/>
          <w:sz w:val="22"/>
        </w:rPr>
        <w:t>) (or any successor form) relating to the Nominee, completed and filed with the SEC by the Nominating Member as applicable, in accordance with SEC rules;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234.2    a written notice, in a form deemed satisfactory by the Board, of the nomination of such Nominee that includes the following additional information, agreements, representations and warranties by the Nominating Member (including, in the case of a group, each Eligible Holder included in the group):</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information required with respect to the nomination of Directors pursuant to Articles 180 and 226 (including any information that would be required to be included in a Member Notice with respect to a proposed Director nominee, the Proposing Member and any Member Affiliates), as if the Nomination Notice were a Member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 fully completed written questionnaire, representations and agreements required pursuant to Article 180.4;</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details of any relationship that existed within the past three years and that would have been described pursuant to Item 6(e) of Schedule 14N (or any successor item) if the relationship existed on the date of submission of the Schedule 14N;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a representation and warranty that the Nominating Member acquired the securities of the Company in the ordinary course of business and investing and did not acquire, and is not holding, securities of the Company for the purpose or with the effect of influencing or changing control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a representation and warranty that the Nominee’s candidacy or, if elected, membership of the Board would not violate applicable state or federal law or the rules of the New York Stock Exchange and any other Exchange on which the Ordinary Shares are traded;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    a representation and warranty that the Nominee: (i) does not have any direct or indirect relationship with the Company that will cause the Nominee to be considered not independent pursuant to independence standards as most recently published on the Company’s website and otherwise qualifies as independent under the rules of the New York Stock Exchange and any other Exchange on which the Ordinary Shares are traded; (ii) meets the audit committee independence requirements under the rules of the New York Stock Exchange and any other Exchange on which the Ordinary Shares are traded; (iii) is a “non-employee director” for the purposes of Rule 16b-3 under the Exchange Act (or any successor rule); (iv) is an “outside director” for the purposes of Section 162(m) of the Internal Revenue Code of 1986 of the United States, as amended (or any successor provision); and (v) is not and has not been subject to any event specified in Rule 506(d)(1) of Regulation D (or any successor rule) under the Securities Act of 1933, as amended, or Item 401(f) of Regulation S-K (or any successor rule) under the Exchange Act without reference to whether the event is material to an evaluation of the ability or integrity of the Nominee;</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A-61</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    a representation and warranty that the Nominating Member satisfies the eligibility requirements set forth in Articles 229 to 233 and has provided evidence of ownership to the extent required by Article 229;</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    a representation and warranty that the Nominating Member intends to continue to satisfy the eligibility requirements described in Articles 229 to 233 through the date of the applicable annual general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a statement as to the Nominating Member’s intentions with respect to maintaining qualifying ownership of the Minimum Number of shares for at least one year following the applicable annual general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    details of any shares of the Company owned by the Nominee that are (i) pledged by the Nominee or otherwise subject to a lien, charge or other encumbrance or (ii) subject to any option, warrant, forward contract, swap, contract of sale, other Derivative Instrument or similar agreement entered into by such Nominee, whether any such instrument or agreement is to be settled with shares or with cash based on the notional amount or value of outstanding Ordinary Shares, in any such case which instrument or agreement has, or is intended to have, the purpose or effect of (x) reducing in any manner, to any extent or at any time in the future, such Nominee’s full right to vote or direct the voting of any such shares, and/or (y) hedging, offsetting, or altering to any degree, gain or loss arising from the full economic ownership of such shares by such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    a representation and warranty that the Nominating Member will not engage in a “solicitation” within the meaning of Rule 14a-1(l) (without reference to the exception in Section 14a-1(l)(2)(iv)) (or any successor rules) under the Exchange Act in support of the election of any individual as a Director at the applicable annual general meeting, other than its Nominee(s) or any nominee of the Board;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(l)    a representation and warranty that the Nominating Member will not use any proxy card or other form of proxy other than the Company’s proxy card or other form of proxy in soliciting members in connection with the election of a Director at the applicable annual general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(m)    confirmation that the requirements of Article 180 as to the Nominating Member’s eligibility for the election as a Director have been complied with;</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(n)    details of all information required pursuant to Articles 180.1 to 180.5;</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(o)    if desired, a Statement;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(p)    in the case of a nomination by a group, the designation by all Eligible Holders included in the group of one such Eligible Holder that is authorized to act on behalf of all Eligible Holders included in the group with respect to matters relating to the nomination, including withdrawal of the nomination;</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A-62</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234.3    an executed agreement, in a form deemed satisfactory by the Board, pursuant to which the Nominating Member (in the case of a group, including, and binding upon, each Eligible Holder included in the group) agrees: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to comply with all applicable law or the relevant code, rules and regulations applicable to the listing of the shares or depository receipts in respect of shares on any Exchange in connection with the nomination, solicitation and election of a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to file with the SEC any written solicitation or other communication with the Company’s members relating to one or more of the Directors or Director nominees or any Nominee, regardless of whether any such filing is required under any rule or regulation or whether any exemption from filing is available for such materials under any rule or regulation;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to assume all liability stemming from an action, suit or proceeding concerning any actual or alleged legal or regulatory violation arising out of any communication by the Nominating Member or any of its Nominees with the Company, its members or any other person in connection with the nomination or election of one or more of the Directors, including, without limitation, the Nomination Notice;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to indemnify and hold harmless the Company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Company or any of its Directors, officers or employees arising out of or relating to a failure or alleged failure of the Nominating Member or any of its Nominees to comply with, or any breach or alleged breach of, its respective obligations, agreements or representations under Articles 226 to 237;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in the event that (i) any information included in the Nomination Notice or in any other communication by the Nominating Member (including with respect to any Eligible Holder included in a group, any of its Nominees or any of their respective agents or representatives) with the Company, its members or any other person in connection with the nomination or election of a Nominee ceases to be true and accurate in all material respects (or omits a material fact necessary to make the statements made not misleading); or (ii) the Nominating Member (including any Eligible Holder included in a group) has failed to continue to satisfy the eligibility requirements described in Articles 229 to 233, to promptly (and in any event within forty-eight hours of discovering such misstatement, omission or failure) notify the Company and, in the case of clause (i), any other recipient of such communication (together with the information required to correct the misstatement or omission);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234.4    an executed agreement, in a form deemed satisfactory by the Board, by the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to provide to the Company such other information as it may reasonably request; and</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A-63</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that the Nominee has read and agrees, if elected, to adhere to the Company’s code of ethics and any other Company policies and guidelines applicable to Directors.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information and documents required by Articles 226 to 237 be provided by the Nominating Member shall be: (x) provided with respect to and executed by each Eligible Holder, in the case of information applicable to group members; and (y) provided with respect to the persons specified in Instruction 1 to Item 6(c) and (d) of Schedule 14N (or any successor item) in the case of a Nominating Member or Eligible Holder included in a group that is an entity. The Nomination Notice shall be deemed submitted on the date on which all of the information and documents referred to in Articles 226 to 237 (other than such information and documents contemplated to be provided after the date the Nomination Notice is provided) have been delivered to or, if sent by mail, received by the Company Secretary.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235.    Each applicable person (including the Nominating Member and any Nominee) shall (a) notify the Company of any inaccuracy or change (within two Business Days of becoming aware of such inaccuracy or change) in any information previously provided to the Company pursuant to Articles 226 to 237; and (b) update the Nomination Notice delivered and information previously provided to the Company pursuant to Articles 226 to 237 and under any questionnaire or representations and agreements, if necessary, so that the information provided or required to be provided in such Nomination Notice shall continue to be true and correct: (i) as of the record date for a general meeting; and (ii) as of the date that is ten Business Days prior to the meeting (or any adjournment, recess or postponement thereof), and such update shall be received by the Company Secretary by electronic mail with confirmation of receipt or registered mail addressed to the Company Secretary at the principal executive office of the Company not later than five Business Days after the record date for such general meeting (in the case of an update required to be made as of the record date) and not later than eight Business Days prior to the date of such general meeting (in the case of an update required to be made as of the date that is ten Business Days prior to such general meeting or any adjournment, recess or postponement thereof). The obligation of a Nominating Member, Nominee or other applicable person to provide information or an update pursuant to Articles 226 to 237 and under any questionnaire or representations and agreements, as applicable, shall not limit the Company’s rights with respect to any deficiencies in any notice or information provided by such person, extend any applicable deadlines under Articles 226 to 237 or enable or be deemed to permit such person to amend or update any nomination or submit any new nomination, including by substituting or adding Nominees, after the advance notice deadlines hereunder have expired. A Nominating Member may not, after the last day on which a notice would be timely under Article 234.2, cure in any way any defect preventing the submission of a nomination of a proposed Nominee.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236.    Notwithstanding anything to the contrary contained in Articles 226 to 237, the Company may omit from its proxy statement any Nominee and any information concerning such Nominee (including a Nominating Member’s Statement) and no vote on such Nominee will occur (notwithstanding that proxies in respect of such vote may have been received by the Company), and the Nominating Member may not, after the last day on which a Nomination Notice would be timely, cure in any way any defect preventing the nomination of the Nominee, if: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236.1    the Company receives a Member Notice, whether or not subsequently withdrawn, pursuant to Article 180 that a member intends to nominate a candidate for Director at the applicable annual general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A-64</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236.2    the Board determines that such Nominee’s nomination or election to the Board would result in the Company violating or failing to be in compliance with the Memorandum, these Articles or any applicable law or the relevant code, rules and regulations applicable to the listing of the shares or depository receipts in respect of shares on any Exchange;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236.3    the Nominee has been, within the past three years, an officer or director of a competitor, as defined for purposes of Section 8 of the Clayton Antitrust Act of 1914 of the United States, as amended;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236.4    the Company is notified, or the Board determines, that the Nominating Member or such Nominee has failed to continue to satisfy the eligibility requirements described in Articles 216 to 226, any of the representations and warranties made in the Nomination Notice ceases to be true and accurate in all material respects (or omits a material fact necessary to make the statements made not misleading), the Nominee becomes unwilling or unable to serve on the Board or any material violation or breach occurs of the obligations, agreements, representations or warranties of the Nominating Member or the Nominee under Articles 226 to 237.</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237.    Notwithstanding anything to the contrary contained in Articles 226 to 237, the Company may omit from its proxy statement, or may supplement or correct, any information, including all or any portion of the statement in support of the Nominee(s) included in the Nomination Notice, if the Board determines that: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237.1    such information is not true in all material respects or omits a material statement necessary to make the statements made not misleading;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237.2    such information directly or indirectly impugns the character, integrity or personal reputation of, or directly or indirectly makes charges concerning improper, illegal or immoral conduct or associations, without factual foundation, with respect to, any person;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237.3    the inclusion of such information in the proxy statement would otherwise violate the SEC proxy rules or any other applicable law or the relevant code, rules and regulations applicable to the listing of the shares or depository receipts in respect of shares on any Exchange.</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may solicit against, and include in the proxy statement its own statement relating to, any Nominee.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The common seal, official seal and securities seal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238.    Any seal of the Company shall be used only by the authority of the Directors, a committee authorised by the Directors to exercise such authority or by any one or more persons severally or jointly so authorised by the Directors or such a committee, and the use of the seal shall be deemed to be authorised for these purposes where the matter or transaction pursuant to which the seal is to be used has been so authorised.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239.    Any instrument to which a Company’s seal shall be affixed shall be signed by any one of the following: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239.1    a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A-65</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239.2    the Company Secretary;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239.3    any person authorised to sign by (i) the Directors or (ii) a committee.</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and the countersignature of a second such person shall not be required.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240.    The Company may have one or more duplicate common seals or official seals for use in different locations including for use abroad.</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Service of notices on members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241.    A notice required or authorised to be served on or given to a member of the Company pursuant to a provision of the Act or these Articles shall, save where the means of serving or giving it specified in Article 241.4 is used, be in writing and may be served on or given to the member in one of the following ways: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241.1    by delivering it to the member;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241.2    by leaving it at the registered address of the member;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241.3    by sending it by post in a prepaid letter to the registered address of the member;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241.4    subject to Article 246, by electronic mail or other means of electronic communication approved by the Directors to the contact details notified to the Company by any such member for such purpose (or if not so notified, then to the contact details of the member last known to the Company). A notice or document may be sent by electronic means to the fullest extent permitted by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242.    Without prejudice or limitation to the foregoing provisions of Article 241.1 to 241.4, for the purposes of these Articles and the Act,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243.    Any notice served or given in accordance with Article 241 shall be deemed, in the absence of any agreement to the contrary between the Company (or, as the case may be, the officer of it) and the member, to have been served or given: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243.1    in the case of its being delivered, at the time of delivery (or, if delivery is refused, when tendered);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243.2    in the case of its being left, at the time that it is left;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243.3    in the case of its being posted on any day other than a Friday, Saturday or Sunday, 24 hours after despatch and in the case of its being posted: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on a Friday — seventy-two hours after despatch;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on a Saturday or Sunday — forty-eight hours after despatch;</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243.4    in the case of electronic means being used in relation to it, twelve hours after despatch,</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but this Article is without prejudice to section 181(3) of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244.    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241.4, if sent to the address notified to the Company by the member for such purpose notwithstanding that the Company may have notice of the death, his or her being of unsound mind, bankruptcy, liquidation or disability of such member.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245.    Notwithstanding anything contained in these Articles to the contrary, the Company shall not be obliged to take account of or make any investigations as to the existence of any suspension or curtailment of postal services within or in relation to all or any part of any jurisdiction.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246.    Any requirement in these Articles for the consent of a member in regard to the receipt by such member of electronic mail or other means of electronic communications approved by the Directors, including the receipt of the Company’s annual report, statutory financial statements and the Directors’ and Auditor’s reports thereon, shall be deemed to have been satisfied where the Company has written to the member informing him or her of its intention to use electronic communications for such purposes and the member has not, within four weeks of the issue of such notice, served an objection in writing on the Company to such member. Where a member has given, or is deemed to have given, his/her consent to the receipt by such member of electronic mail or other means of electronic communications approved by the Directors, she/he may revoke such consent at any time by requesting the Company to communicate with him or her in documented form; provided, however, that such revocation shall not take effect until five days after written notice of the revocation is received by the Company. Notwithstanding anything to the contrary in this Article 246, no such consent shall be necessary, and to the extent it is necessary, such consent shall be deemed to have been given, if electronic communications are permitted to be used under the rules and regulations of any Exchange on which the shares in the capital of the Company or other securities of the Company are listed or under the rules of the SEC.</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247.    If at any time by reason of the suspension or curtailment of postal services in any territory, the Company is unable effectively to convene a general meeting by notices sent through the post, a general meeting may be convened by a public announcement (as defined below) and such notice shall be deemed to have been duly served on all members entitled thereto at Close of Business on the day on which the said public announcement is made. In any such case the Company shall put a full copy of the notice of the general meeting on its website.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248.    Notice may be given by the Company to the joint holders of a share in the capital of the Company by giving the notice to the joint holder whose name stands first in the Register in respect of the share and notice so given shall be sufficient notice to all the joint holders.</w:t>
      </w:r>
    </w:p>
    <w:p>
      <w:pPr>
        <w:pStyle w:val="TextBody"/>
        <w:bidi w:val="0"/>
        <w:spacing w:lineRule="auto" w:line="288" w:before="0" w:after="22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249.    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249.1    Every person who becomes entitled to a share in the capital of the Company shall, before his or her name is entered in the Register in respect of the share, be bound by any notice in respect of that share which has been duly given to a person from whom he or she derives his or her title.</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A-67</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249.2    A notice may be given by the Company to the persons entitled to a share in the capital of the Company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250.    The signature (whether electronic signature, an advanced electronic signature or otherwise) to any notice to be given by the Company may be written (in electronic form or otherwise) or printed.</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Service of notices on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251.    In addition to the means of service of documents set out in section 51 of the Act, a notice or other document may be served on the Company by an officer of the Company by email provided, however, that the Directors have designated an email address for that purpose and notified that email address to its officers for the express purpose of serving notices on the Company.</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Sending statutory financial statements to members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252.    Subject to Article 244, each of the members hereby agree and consent that copies of the documents referred to in section 338(2) of the Act, are to be treated, for the purposes of section 338 of the Act, as sent to a person where: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252.1    the Company and that person have agreed to his or her having access to the documents on a website (instead of their being sent to him or her), provided such agreement shall be deemed to have been given, if electronic communications are permitted to be used under the rules and regulations of any Exchange on which the shares in the capital of the Company or other securities of the Company are listed or under the rules of the SEC;</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252.2    the documents are documents to which that agreement applies;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252.3    that person is notified, in a manner for the time being agreed for the purpose between him or her and the Company, 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publication of the documents on a website;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 address of that website;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place on that website where the documents may be accessed, and how they may be accessed.</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252.4    Documents treated in accordance with Article 252 as sent to any person are to be treated as sent to him or her not less than 21 days before the date of a meeting if, and only if:</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    the documents are published on the website throughout a period beginning at least 21 days before the date of the meeting and ending with the conclusion of the meeting; and</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    the notification given for the purposes of Article 252.3 is given not less than 21 days before the date of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A-68</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253.    Any obligation by virtue of section 339(1) or (2) of the Act to furnish a person with a document may, unless these Articles provide otherwise, be complied with by using electronic communications for sending that document to such address as may for the time being be notified to the Company by that person for that purpose.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Accounting Records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254.    The Directors shall, in accordance with Chapter 2 of Part 6 of the Act, cause to be kept adequate accounting records, whether in the form of documents, electronic form or otherwise, that: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254.1    correctly record and explain the transactions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254.2    will at any time enable the assets, liabilities, financial position and profit or loss of the Company to be determined with reasonable accuracy;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254.3    will enable the Directors to ensure that any financial statements of the Company, required to be prepared under sections 290 or 293 of the Act, comply with the requirements of the Act;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254.4    will enable those financial statements of the Company to be readily and properly audited.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255.    The accounting records shall be kept on a continuous and consistent basis and entries therein shall be made in a timely manner and be consistent from year to year. Adequate accounting records shall be deemed to have been maintained if they comply with the provisions of Chapter 2 of Part 6 of the Act and explain the Company’s transactions and facilitate the preparation of financial statements that give a true and fair view of the assets, liabilities, financial position and profit or loss of the Company and, if relevant, the Group and include any information and returns referred to in section 283(2) of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256.    The accounting records shall be kept at the Office or, subject to the provisions of the Act, at such other place as the Directors think fit and shall be open at all reasonable times to the inspection of the Directors.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257.    The Directors shall determine from time to time whether and to what extent and at what times and places and under what conditions or regulations the accounting records of the Company shall be open to the inspection of members, not being Directors. No member (not being a Director) shall have any right of inspecting any financial statement or accounting record of the Company except as conferred by the Act or authorised by the Directors or by the Company in a general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258.    In accordance with the provisions of the Act, the Directors shall cause to be prepared and to be laid before the annual general meeting of the Company from time to time such statutory financial statements of the Company and reports as are required by the Act to be prepared and laid before such meeting.</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259.    A copy of every statutory financial statement of the Company (including every document required by law to be annexed thereto) which is to be laid before the annual general meeting of the Company together with a copy of the Directors’ report and Auditors’ report, or summary financial statements prepared in accordance with section 1119 of the Act, shall be sent, by post, electronic mail or any other means of electronic communications, not less than twenty-one Clear Days before the date of the annual general meeting, to every person entitled under the provisions of the Act to receive them; provided that where the Directors elect to send summary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A-69</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statements to the members, any member may request that he or she be sent a copy of the statutory financial statements of the Company. The Company may, in addition to sending one or more copies of its statutory financial statements, summary financial statements or other communications to its members, send one or more copies to any Approved Nominee. For the purposes of this Article, sending by electronic communications includes the making available or displaying on the Company’s website (or a website designated by the Board) or the website of the SEC, and each member is deemed to have irrevocably consented to receipt of every statutory financial statement of the Company (including every document required by law to be annexed thereto) and every copy of the Directors’ report and the Auditors’ report and every copy of any summary financial statements prepared in accordance with section 1119 of the Act, by any such document being made so available or displayed.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260.    Auditors shall be appointed and their duties regulated in accordance with the Act.</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Winding up</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261.    Subject to the provisions of the Act as to preferential payments, the property of the Company on its winding up shall be distributed among the members according to their rights and interests in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262.    Unless the conditions of issue of the shares in question provide otherwise, dividends declared by the Company more than six years preceding the commencement date of a winding up of the Company, being dividends which have not been claimed within that period of six years, shall not be a claim admissible to proof against the Company for the purposes of the winding up.</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263.    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in the capital of the Company held by them respectively.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be subject to any specific rights attaching to any class of share capital.</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263.1    In case of a sale by the liquidator under section 601 of the Act,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in the capital of the Company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263.2    The power of sale of the liquidator shall include a power to sell wholly or partially for debentures, debenture stock, or other obligations of another company, either then already constituted or about to be constituted for the purpose of carrying out the sale.</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A-70</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264.    If the Company is wound up, the liquidator, with the sanction of a special resolution and any other sanction required by the Act, may divide amongst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or she determines, but so that no member shall be compelled to accept any assets upon which there is a liability.</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Business Transactions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265.    In addition to any affirmative vote required by law or these Articles, and except as otherwise expressly provided in Article 266 or Article 267, a Business Transaction (as defined in Article 267.3) with, or proposed by or on behalf of, any Interested Person (as defined in Article 267.6) or any Affiliate (as defined in Article 267.1) of any Interested Person or any person who thereafter would be an Affiliate of such Interested Person shall require approval by the affirmative vote of members of the Company holding more than 50% of the votes attaching to shares in the issued share capital of the Company, excluding the voting rights attached to any shares beneficially owned by such Interested Person. Such affirmative vote shall be required notwithstanding the fact that no vote may be required, or that a lesser percentage may be specified, by law or in any agreement with any Exchange or otherwise.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266.    The provisions of Article 265 shall not be applicable to any particular Business Transaction, and such Business Transaction shall require only such affirmative vote, if any, as is required by law or by any other provision of these Articles, or any agreement with any Exchange, if either (i) the Business Transaction shall have been approved by a majority of the Board prior to such Interested Person first becoming an Interested Person; or (ii) prior to such Interested Person first becoming an Interested Person, a majority of the Board shall have approved such Interested Person becoming an Interested Person and, subsequently, a majority of the Independent Directors (as hereinafter defined) shall have approved the Business Transaction.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267.    The following definitions shall apply with respect to Articles 265 to 269:</w:t>
      </w:r>
    </w:p>
    <w:p>
      <w:pPr>
        <w:pStyle w:val="TextBody"/>
        <w:bidi w:val="0"/>
        <w:spacing w:lineRule="auto" w:line="288" w:before="0" w:after="220"/>
        <w:ind w:left="0" w:right="0" w:hanging="720"/>
        <w:jc w:val="both"/>
        <w:rPr/>
      </w:pPr>
      <w:r>
        <w:rPr>
          <w:rFonts w:ascii="Times New Roman;serif" w:hAnsi="Times New Roman;serif"/>
          <w:b w:val="false"/>
          <w:color w:val="000000"/>
          <w:sz w:val="22"/>
        </w:rPr>
        <w:t>267.1    The term “</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shall mean a person that directly, or indirectly through one or more intermediaries, controls, or is controlled by, or is under common control with, a specified person.</w:t>
      </w:r>
    </w:p>
    <w:p>
      <w:pPr>
        <w:pStyle w:val="TextBody"/>
        <w:bidi w:val="0"/>
        <w:spacing w:lineRule="auto" w:line="288" w:before="0" w:after="220"/>
        <w:ind w:left="0" w:right="0" w:hanging="720"/>
        <w:jc w:val="both"/>
        <w:rPr/>
      </w:pPr>
      <w:r>
        <w:rPr>
          <w:rFonts w:ascii="Times New Roman;serif" w:hAnsi="Times New Roman;serif"/>
          <w:b w:val="false"/>
          <w:color w:val="000000"/>
          <w:sz w:val="22"/>
        </w:rPr>
        <w:t>267.2    A person shall be a “</w:t>
      </w:r>
      <w:r>
        <w:rPr>
          <w:rFonts w:ascii="Times New Roman;serif" w:hAnsi="Times New Roman;serif"/>
          <w:b/>
          <w:color w:val="000000"/>
          <w:sz w:val="22"/>
        </w:rPr>
        <w:t>beneficial owner</w:t>
      </w:r>
      <w:r>
        <w:rPr>
          <w:color w:val="000000"/>
        </w:rPr>
        <w:t xml:space="preserve">” </w:t>
      </w:r>
      <w:r>
        <w:rPr>
          <w:rFonts w:ascii="Times New Roman;serif" w:hAnsi="Times New Roman;serif"/>
          <w:b w:val="false"/>
          <w:color w:val="000000"/>
          <w:sz w:val="22"/>
        </w:rPr>
        <w:t xml:space="preserve">of any shares of the Company (a) which such person or any of its Affiliates beneficially owns within the meaning of Rule 13d-3 under the Exchange Act; (b) which such person or any of its Affiliates has, directly or indirectly, (i) the right to acquire (whether such right is exercisable immediately or subject only to the passage of time or the occurrence of one or more events), pursuant to any agreement, arrangement or understanding or upon the exercise of conversion rights, exchange rights, warrants or options, or otherwise, or (ii) the right to vote pursuant to any agreement, arrangement or understanding; provided, however, that a person shall not be deemed the beneficial owner of any security if the agreement, arrangement or understanding to vote such security arises solely from a revocable proxy or consent solicitation made pursuant to and in accordance with the Act; or (c) which is beneficially owned, directly or indirectly, by any other person with which such person or any of its Affiliates has any agreement, arrangement or understanding for the purpose of acquiring,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A-71</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holding, voting or disposing of any shares of the Company (except to the extent permitted by the proviso of clause (b)(ii) above). For the purposes of determining whether a person is an Interested Person pursuant to Article 267.6, the number of shares of the Company deemed to be outstanding shall include shares deemed beneficially owned by such person through application of this Article 267.2, but shall not include any other shares of the Company that may be issuable pursuant to any agreement, arrangement or understanding, or upon exercise of conversion rights, warrants or options, or otherwise.</w:t>
      </w:r>
    </w:p>
    <w:p>
      <w:pPr>
        <w:pStyle w:val="TextBody"/>
        <w:bidi w:val="0"/>
        <w:spacing w:lineRule="auto" w:line="288" w:before="0" w:after="220"/>
        <w:ind w:left="0" w:right="0" w:hanging="720"/>
        <w:jc w:val="both"/>
        <w:rPr/>
      </w:pPr>
      <w:r>
        <w:rPr>
          <w:rFonts w:ascii="Times New Roman;serif" w:hAnsi="Times New Roman;serif"/>
          <w:b w:val="false"/>
          <w:color w:val="000000"/>
          <w:sz w:val="22"/>
        </w:rPr>
        <w:t>267.3    The term “</w:t>
      </w:r>
      <w:r>
        <w:rPr>
          <w:rFonts w:ascii="Times New Roman;serif" w:hAnsi="Times New Roman;serif"/>
          <w:b/>
          <w:color w:val="000000"/>
          <w:sz w:val="22"/>
        </w:rPr>
        <w:t>Business Transaction</w:t>
      </w:r>
      <w:r>
        <w:rPr>
          <w:color w:val="000000"/>
        </w:rPr>
        <w:t xml:space="preserve">” </w:t>
      </w:r>
      <w:r>
        <w:rPr>
          <w:rFonts w:ascii="Times New Roman;serif" w:hAnsi="Times New Roman;serif"/>
          <w:b w:val="false"/>
          <w:color w:val="000000"/>
          <w:sz w:val="22"/>
        </w:rPr>
        <w:t>shall mean any of the following transactions (other than a transaction entered into with Hexagon AB and/or any of its Affiliates which relates to the Transaction including, without limitation, the Distribution Agreement, Transitional Services Agreement, Tax Disaffiliation Agreement, Employee Matters Agreement and Registration Rights Agreement) when entered into by the Company or a subsidiary of the Company with, or upon a proposal by or on behalf of, any Interested Person or any Affiliate of any Interested Person: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any merger or consolidation of the Company or any subsidiary with (i) any Interested Person, or (ii) any other body corporate which is, or after such merger or consolidation would be, an Affiliate of an Interested Person;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any sale, lease, exchange, mortgage, pledge, transfer or other disposition (in one transaction or a series of transactions), except proportionately as a member of the Company, to or with the Interested Person of assets of the Company (other than shares of the Company or of any subsidiary of the Company which assets have an aggregate market value equal to ten percent (10%) or more of the aggregate market value of all the issued share capital of the Company as of the date definitive documentation is entered into with respect thereto);</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any transaction that results in the issuance of shares or the transfer of treasury shares by the Company or by any subsidiary of the Company of any shares of the Company or any shares of such subsidiary to the Interested Person, except (i) pursuant to the exercise, exchange or conversion of securities exercisable for, exchangeable for or convertible into stock of the Company or any such subsidiary which securities were outstanding prior to the time that the Interested Person became such, (ii) pursuant to a dividend or distribution paid or made, or the exercise, exchange or conversion of securities exercisable for, exchangeable for or convertible into shares of the Company or any such subsidiary which security is distributed, pro rata to all holders of a class or series of shares of the Company subsequent to the time the Interested Person became such, (iii) pursuant to an exchange offer by the Company to purchase shares made on the same terms to all holders of said shares, (iv) any issuance of shares or transfer of treasury shares of the Company by the Company, provided, however, that in the case of each of the clauses (ii) through (iv) above there shall be no increase of more than one percent (1%) in the Interested Person’s proportionate share in the shares of the Company of any class or series or (v) pursuant to a public offering or private placement by the Company to an Institutional Investor (as defined in Article 267.5);</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    any reclassification of securities, recapitalization or other transaction involving the Company or any subsidiary of the Company which has the effect,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indirectly, of (i) increasing the proportionate amount of the shares of any class or series, or securities convertible into the shares of any class or series, of the Company or of any such subsidiary which is owned by the Interested Person, except as a result of immaterial changes due to fractional share adjustments or as a result of any purchase or redemption of any shares not caused, directly or indirectly, by the Interested Person or (ii) increasing the voting power, whether or not then exercisable, of an Interested Person in any class or series of shares of the Company or any subsidiary of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the adoption of any plan or proposal by or on behalf of an Interested Person for the liquidation, dissolution or winding-up of the Company;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    any receipt by the Interested Person of the benefit, directly or indirectly (except proportionately as a member of the Company), of any loans, advances, guarantees, pledges, tax benefits or other financial benefits (other than those expressly permitted in subparagraphs (a) through (e) above) provided by or through the Company or any subsidiary thereof.</w:t>
      </w:r>
    </w:p>
    <w:p>
      <w:pPr>
        <w:pStyle w:val="TextBody"/>
        <w:bidi w:val="0"/>
        <w:spacing w:lineRule="auto" w:line="288" w:before="0" w:after="220"/>
        <w:ind w:left="0" w:right="0" w:hanging="720"/>
        <w:jc w:val="both"/>
        <w:rPr/>
      </w:pPr>
      <w:r>
        <w:rPr>
          <w:rFonts w:ascii="Times New Roman;serif" w:hAnsi="Times New Roman;serif"/>
          <w:b w:val="false"/>
          <w:color w:val="000000"/>
          <w:sz w:val="22"/>
        </w:rPr>
        <w:t>267.4    The term “</w:t>
      </w:r>
      <w:r>
        <w:rPr>
          <w:rFonts w:ascii="Times New Roman;serif" w:hAnsi="Times New Roman;serif"/>
          <w:b/>
          <w:color w:val="000000"/>
          <w:sz w:val="22"/>
        </w:rPr>
        <w:t>Independent Directors</w:t>
      </w:r>
      <w:r>
        <w:rPr>
          <w:color w:val="000000"/>
        </w:rPr>
        <w:t xml:space="preserve">” </w:t>
      </w:r>
      <w:r>
        <w:rPr>
          <w:rFonts w:ascii="Times New Roman;serif" w:hAnsi="Times New Roman;serif"/>
          <w:b w:val="false"/>
          <w:color w:val="000000"/>
          <w:sz w:val="22"/>
        </w:rPr>
        <w:t>shall mean the members of the Board who are not Affiliates or representatives of, or associated with, an Interested Person and who were either Directors prior to any person becoming an Interested Person or were recommended for election or elected to succeed such directors by a vote which includes the affirmative vote of a majority of the Independent Directors.</w:t>
      </w:r>
    </w:p>
    <w:p>
      <w:pPr>
        <w:pStyle w:val="TextBody"/>
        <w:bidi w:val="0"/>
        <w:spacing w:lineRule="auto" w:line="288" w:before="0" w:after="220"/>
        <w:ind w:left="0" w:right="0" w:hanging="720"/>
        <w:jc w:val="both"/>
        <w:rPr/>
      </w:pPr>
      <w:r>
        <w:rPr>
          <w:rFonts w:ascii="Times New Roman;serif" w:hAnsi="Times New Roman;serif"/>
          <w:b w:val="false"/>
          <w:color w:val="000000"/>
          <w:sz w:val="22"/>
        </w:rPr>
        <w:t>267.5    The term “</w:t>
      </w:r>
      <w:r>
        <w:rPr>
          <w:rFonts w:ascii="Times New Roman;serif" w:hAnsi="Times New Roman;serif"/>
          <w:b/>
          <w:color w:val="000000"/>
          <w:sz w:val="22"/>
        </w:rPr>
        <w:t>Institutional Investor</w:t>
      </w:r>
      <w:r>
        <w:rPr>
          <w:color w:val="000000"/>
        </w:rPr>
        <w:t xml:space="preserve">” </w:t>
      </w:r>
      <w:r>
        <w:rPr>
          <w:rFonts w:ascii="Times New Roman;serif" w:hAnsi="Times New Roman;serif"/>
          <w:b w:val="false"/>
          <w:color w:val="000000"/>
          <w:sz w:val="22"/>
        </w:rPr>
        <w:t>shall mean a person that (a) has acquired, or will acquire, all of its shares in the Company in the ordinary course of its business and not with the purpose nor with the effect of changing or influencing the control of the Company, nor in connection with or as a participant in any transaction having such purpose or effect, including any transaction subject to rule 13d-3(b) under the Exchange Act, and (b) is a registered broker dealer; a bank as defined in section 3(a)(6) of the Exchange Act; an insurance company as defined in, or an investment company registered under, the Investment Company Act of 1940 of the United States; an investment advisor registered under the Investment Advisors Act of 1940 of the United States; an employee benefit plan or pension fund subject to the Employee Retirement Income Security Act of 1974 of the United States or an endowment fund; a parent holding company, provided that the aggregate amount held directly by the parent and directly and indirectly by its subsidiaries which are not persons specified in the foregoing subclauses of this clause (b) does not exceed one percent (1%) of the securities of the subject class; or a group, provided that all the members are persons specified in the foregoing subclauses of this clause (b).</w:t>
      </w:r>
    </w:p>
    <w:p>
      <w:pPr>
        <w:pStyle w:val="TextBody"/>
        <w:bidi w:val="0"/>
        <w:spacing w:lineRule="auto" w:line="288" w:before="0" w:after="220"/>
        <w:ind w:left="0" w:right="0" w:hanging="720"/>
        <w:jc w:val="both"/>
        <w:rPr/>
      </w:pPr>
      <w:r>
        <w:rPr>
          <w:rFonts w:ascii="Times New Roman;serif" w:hAnsi="Times New Roman;serif"/>
          <w:b w:val="false"/>
          <w:color w:val="000000"/>
          <w:sz w:val="22"/>
        </w:rPr>
        <w:t>267.6    The term “</w:t>
      </w:r>
      <w:r>
        <w:rPr>
          <w:rFonts w:ascii="Times New Roman;serif" w:hAnsi="Times New Roman;serif"/>
          <w:b/>
          <w:color w:val="000000"/>
          <w:sz w:val="22"/>
        </w:rPr>
        <w:t>Interested Person</w:t>
      </w:r>
      <w:r>
        <w:rPr>
          <w:color w:val="000000"/>
        </w:rPr>
        <w:t xml:space="preserve">” </w:t>
      </w:r>
      <w:r>
        <w:rPr>
          <w:rFonts w:ascii="Times New Roman;serif" w:hAnsi="Times New Roman;serif"/>
          <w:b w:val="false"/>
          <w:color w:val="000000"/>
          <w:sz w:val="22"/>
        </w:rPr>
        <w:t xml:space="preserve">shall mean any person other than: (a) the Company, any subsidiary, any profit-sharing, employee share ownership or other employee benefit plan of the Company or any subsidiary or any trustee of or fiduciary with respect to any such plan when acting in such capacity; and/or (b) Melker Schörling AB (or any of its Affiliates) who: (i) is the beneficial owner of shares of the Company representing ten percent (10%) or more of the votes entitled to be cast by the holders of all the paid up share capital of the Company; (ii) has stated in a filing with any governmental agency or press release or otherwise publicly disclosed a plan or intention to become or consider becoming the beneficial owner of shares of the Company representing ten percent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A-73</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(10%) or more of the votes entitled to be cast by the holders of all paid up share capital of the Company and has not expressly abandoned such plan, intention or consideration more than two years prior to the date in question; or (iii) is an Affiliate of the Company and at any time within the two-year period immediately prior to the date in question was the beneficial owner of shares representing ten percent (10%) or more of the votes entitled to be cast by holders of all the paid up share capital of the Company.</w:t>
      </w:r>
    </w:p>
    <w:p>
      <w:pPr>
        <w:pStyle w:val="TextBody"/>
        <w:bidi w:val="0"/>
        <w:spacing w:lineRule="auto" w:line="288" w:before="0" w:after="220"/>
        <w:ind w:left="0" w:right="0" w:hanging="720"/>
        <w:jc w:val="both"/>
        <w:rPr/>
      </w:pPr>
      <w:r>
        <w:rPr>
          <w:rFonts w:ascii="Times New Roman;serif" w:hAnsi="Times New Roman;serif"/>
          <w:b w:val="false"/>
          <w:color w:val="000000"/>
          <w:sz w:val="22"/>
        </w:rPr>
        <w:t>267.7    The term “</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shall mean any individual, body corporate, partnership, unincorporated association, trust or other entity.</w:t>
      </w:r>
    </w:p>
    <w:p>
      <w:pPr>
        <w:pStyle w:val="TextBody"/>
        <w:bidi w:val="0"/>
        <w:spacing w:lineRule="auto" w:line="288" w:before="0" w:after="220"/>
        <w:ind w:left="0" w:right="0" w:hanging="720"/>
        <w:jc w:val="both"/>
        <w:rPr/>
      </w:pPr>
      <w:r>
        <w:rPr>
          <w:rFonts w:ascii="Times New Roman;serif" w:hAnsi="Times New Roman;serif"/>
          <w:b w:val="false"/>
          <w:color w:val="000000"/>
          <w:sz w:val="22"/>
        </w:rPr>
        <w:t>267.8    The term “</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is as defined in section 7 of the Act.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268.    A majority of the Independent Directors shall have the power and duty to determine, on the basis of information known to them after reasonable inquiry, for the purposes of (i) Articles 265 and 266, all questions arising under Articles 265 and 266 including, without limitation (a) whether a person is an Interested Person, (b) the number of shares of the Company or other securities beneficially owned by any person; and (c) whether a person is an Affiliate of another; and (ii) these Articles, the question of whether a person is an Interested Person. Any such determination made in good faith shall be binding and conclusive on all parties.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269.    Nothing contained in Articles 265 to 268 shall be construed to relieve any Interested Person from any fiduciary obligation imposed by law.</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Untraced members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270.    The Company shall be entitled to sell at the best price reasonably obtainable any share of a member or any share to which a person is entitled by transmission if and provided that: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270.1    for a period of twelve years no cheque or warrant sent by the Company through the post in a pre-paid letter addressed to the member or to the person entitled by transmission to the share at his or her address on the Register or at the last known address given by the member or the person entitled by transmission to which cheques and warrants are to be sent has been cashed and no communication has been received by the Company from the member or the person entitled by transmission (provided that during such twelve year period at least three dividends shall have become payable in respect of such share);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270.2    at the expiration of the said period of twelve years by advertisement in a national daily newspaper published in Ireland (and a national daily newspaper published in the United States of America and, to the extent that the Company has any shares or depository receipts representing shares in the Company listed on any Exchange in another country, a national daily newspaper published in such country) and in a newspaper circulating in the area in which the address referred to in Article 270.1 is located the Company has given notice of its intention to sell such share;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270.3    during the further period of three months after the date of the advertisement and prior to the exercise of the power of sale the Company has not received any communication from the member or person entitled by transmission;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270.4    the Company has first given notice in writing to the appropriate sections of any Exchange on which the Company’s shares or depository receipts in respect of shares are normally traded of its intention to sell such shares.</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A-74</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271.    Where a share, which is to be sold as provided in Article 270, is held in uncertificated form, the Directors may authorise any person to do all that is necessary to change such share into certificated form prior to its sale.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272.    To give effect to any such sale the Company may appoint any person to execute as transferor an instrument of transfer of such share and such instrument of transfer shall be as effective as if it had been executed by the member or the person entitled by the transmission to such share. The transferee shall be entered in the Register as the member of the shares comprised in any such transfer and he or she shall not be bound to see to the application of the purchase moneys nor shall his or her title to the shares be affected by any irregularity in or invalidity of the proceedings in reference to the sale.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273.    The Company shall account to the member or other person entitled to such share for the net proceeds of such sale by carrying all moneys in respect thereof to a separate account which shall be a permanent debt of the Company and the Company shall be deemed to be a debtor and not a trustee in respect thereof for such member or other person. Moneys carried to such separate account may be either employed in the business of the Company or held as cash or cash equivalents, or invested in such investments as the Directors may think fit, from time to time.</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Destruction of records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274.    The Company shall be entitled to destroy all instruments of transfer which have been registered at any time after the expiration of six years from the date of registration thereof, all notifications of change of name or change of address however received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274.1    the provision aforesaid shall apply only to the destruction of a document in good faith and without notice of any claim (regardless of the parties thereto) to which the document might be relevant;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274.2    nothing herein contained shall be construed as imposing upon the Company any liability in respect of the destruction of any document earlier than as aforesaid or in any other circumstances which would not attach to the Company in the absence of this Article;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274.3    references herein to the destruction of any document include references to the disposal thereof in any manner.</w:t>
      </w:r>
    </w:p>
    <w:p>
      <w:pPr>
        <w:pStyle w:val="TextBody"/>
        <w:bidi w:val="0"/>
        <w:spacing w:lineRule="auto" w:line="288" w:before="0" w:after="220"/>
        <w:jc w:val="left"/>
        <w:rPr>
          <w:rFonts w:ascii="Times New Roman;serif" w:hAnsi="Times New Roman;serif"/>
          <w:b/>
          <w:color w:val="000000"/>
          <w:sz w:val="22"/>
        </w:rPr>
      </w:pPr>
      <w:r>
        <w:rPr>
          <w:rFonts w:ascii="Times New Roman;serif" w:hAnsi="Times New Roman;serif"/>
          <w:b/>
          <w:color w:val="000000"/>
          <w:sz w:val="22"/>
        </w:rPr>
        <w:t>Indemnification</w:t>
      </w:r>
    </w:p>
    <w:p>
      <w:pPr>
        <w:pStyle w:val="TextBody"/>
        <w:bidi w:val="0"/>
        <w:spacing w:lineRule="auto" w:line="288" w:before="0" w:after="22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275.    </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275.1    Subject to the provisions of and so far as may be permitted by the Act, each person who is or was a Director or Company Secretary of the Company shall be entitled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A-75</w:t>
                      </w:r>
                    </w:p>
                  </w:txbxContent>
                </v:textbox>
                <w10:wrap type="none"/>
              </v:rect>
            </w:pict>
          </mc:Fallback>
        </mc:AlternateConten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indemnified by the Company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the Company and in which judgment is given in his or her favour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pStyle w:val="TextBody"/>
        <w:bidi w:val="0"/>
        <w:spacing w:lineRule="auto" w:line="288" w:before="0" w:after="220"/>
        <w:ind w:left="0" w:right="0" w:hanging="720"/>
        <w:jc w:val="left"/>
        <w:rPr/>
      </w:pPr>
      <w:r>
        <w:rPr>
          <w:rFonts w:ascii="Times New Roman;serif" w:hAnsi="Times New Roman;serif"/>
          <w:b w:val="false"/>
          <w:color w:val="000000"/>
          <w:sz w:val="22"/>
        </w:rPr>
        <w:t>275.2    As far as permissible under the Act, the Company shall indemnify any current or former executive officer of the Company (excluding any present or former Directors of the Company or Secretary of the Company), or any person who is or was serving at the request of the Company as a director, officer, employee or agent of another body corporate, partnership, joint venture, trust or other enterprise (each individually, a “</w:t>
      </w:r>
      <w:r>
        <w:rPr>
          <w:rFonts w:ascii="Times New Roman;serif" w:hAnsi="Times New Roman;serif"/>
          <w:b/>
          <w:color w:val="000000"/>
          <w:sz w:val="22"/>
        </w:rPr>
        <w:t>Covered Person</w:t>
      </w:r>
      <w:r>
        <w:rPr>
          <w:color w:val="000000"/>
        </w:rPr>
        <w:t>”</w:t>
      </w:r>
      <w:r>
        <w:rPr>
          <w:rFonts w:ascii="Times New Roman;serif" w:hAnsi="Times New Roman;serif"/>
          <w:b w:val="false"/>
          <w:color w:val="000000"/>
          <w:sz w:val="22"/>
        </w:rPr>
        <w:t>), against expenses, including attorneys’ fees, judgments, fines and amounts paid in settlement actually and reasonably incurred by him or her in connection with any threatened, pending or completed action, suit or proceeding, whether civil or criminal, administrative or investigative, by reason of, in whole or in part (or arising in whole or in part out of) the fact that he or she is or was a Covered Person, provided, however, that this provision shall not indemnify any Covered Person against any liability arising out of (a) any fraud or dishonesty in the performance of such Covered Person’s duty to the Company, or (b) such Covered Person’s conscious, intentional or wilful breach of the obligation to act honestly and in good faith with a view to the best interests of the Company. Notwithstanding the preceding sentence, this section shall not extend to any matter which would render it void pursuant to the Act or to any person holding the office of auditor in relation to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275.3    In the case of any threatened, pending or completed action, suit or proceeding by or in the right of the Company, the Company shall indemnify, to the fullest extent permitted by the Act,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courts of Ireland or the court in which such action or suit was brought shall determine upon application that despite the adjudication of liability, but in view of all the circumstances of the case, such person is fairly and reasonably entitled to indemnification for such expenses as the Court shall deem proper. Notwithstanding the preceding sentence, this section shall not extend to any matter which would render it void pursuant to the Act or to any person holding the office of auditor in relation to the Company.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275.4    Any indemnification under this Article 275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275.5    As far as permissible under the Act, the Company shall advance all expenses, including attorneys’ fees, actually and reasonably incurred in connection with any proceeding for which indemnification is permitted pursuant to this Article 275 upon receipt of an undertaking by the particular indemnitee to repay such amounts if it shall ultimately be determined that he or she is not entitled to be indemnified by the Company pursuant to these articles.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275.6    It being the policy of the Company that indemnification of the persons specified in this Article 275 shall be made to the fullest extent permitted by law, the indemnification provided by this Article 275 shall not be deemed exclusive of: (a) any other rights to which those seeking indemnification or advancement of expenses may be entitled under the Memorandum, these Articles, any agreement, any insurance purchased by the Company, any vote of members or disinterested Directors, or pursuant to the direction (however embodied) of any court of competent jurisdiction, or otherwise, both as to action in his or her official capacity and as to action in another capacity while holding such office, (b) the power of the Company to indemnify or maintain insurance for any person who is or was an employee or agent of the Company or of another body corporate, partnership, joint venture, trust or other enterprise which he or she is serving or has served at the request of the Company to the fullest extent provided by law, or (c) any amendments or replacements of the Act which permit for greater indemnification of the persons specified in this Article 275 and any such amendment or replacement of the Act shall hereby be incorporated into these Articles. As used in this Article 275, references to the “Company” include all constituent companies in a scheme of arrangement, consolidation or merger in which the Company or any predecessor to the Company by scheme of arrangement, consolidation or merger was involved. The indemnification provided by this Article 275 shall continue as to a person who has ceased to be a Director, officer or employee and shall inure to the benefit of the heirs, executors, and administrators of such Directors, officers, employees or other indemnitees.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275.7    The Directors shall have power to purchase and maintain for any Director, the Company Secretary or other officers or employees of the Company or its subsidiaries insurance against any such liability as referred to in the Act.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4.1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A-77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The below General Terms and Conditions are, in all essential respects, a translation of the Swedish original version of the “General Terms and Conditions for Swedish Depository Receipts representing Share Entitlements in Octave Intelligence plc kept in safe custody with Skandinaviska Enskilda Banken AB (publ) (Sw. Allmänna villkor för svenska depåbevis representerande Rättigheter Till Aktier i Octave Intelligence plc deponerade hos Skandinaviska Enskilda Banken AB (publ))”. In the event of any difference between this translation and the Swedish original, the Swedish version shall govern.</w: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TERMS AND CONDITIONS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SWEDISH DEPOSITORY RECEIPTS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representing Share Entitlements in Octave Intelligence plc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kept in safe custody with Skandinaviska Enskilda Banken AB (publ)</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Effective as from 22 May, 2026</w:t>
      </w:r>
    </w:p>
    <w:p>
      <w:pPr>
        <w:pStyle w:val="TextBody"/>
        <w:bidi w:val="0"/>
        <w:spacing w:lineRule="auto" w:line="268" w:before="0" w:after="0"/>
        <w:jc w:val="left"/>
        <w:rPr/>
      </w:pPr>
      <w:r>
        <w:rPr>
          <w:rFonts w:ascii="Times New Roman;serif" w:hAnsi="Times New Roman;serif"/>
          <w:b w:val="false"/>
          <w:color w:val="000000"/>
          <w:sz w:val="20"/>
        </w:rPr>
        <w:t>Octave Intelligence plc, a company incorporated under the laws of Ireland with company registration number 607457,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has requested that Skandinaviska Enskilda Banken AB (publ) (“</w:t>
      </w:r>
      <w:r>
        <w:rPr>
          <w:rFonts w:ascii="Times New Roman;serif" w:hAnsi="Times New Roman;serif"/>
          <w:b/>
          <w:color w:val="000000"/>
          <w:sz w:val="20"/>
        </w:rPr>
        <w:t>SEB</w:t>
      </w:r>
      <w:r>
        <w:rPr>
          <w:color w:val="000000"/>
        </w:rPr>
        <w:t>”</w:t>
      </w:r>
      <w:r>
        <w:rPr>
          <w:rFonts w:ascii="Times New Roman;serif" w:hAnsi="Times New Roman;serif"/>
          <w:b w:val="false"/>
          <w:color w:val="000000"/>
          <w:sz w:val="20"/>
        </w:rPr>
        <w:t>), and SEB has agreed, (i) to hold in safe custody the beneficial interests in class B ordinary shares in the Company represented in book-entry form through the clearance and settlement system of the Depository Trust Company (“</w:t>
      </w:r>
      <w:r>
        <w:rPr>
          <w:rFonts w:ascii="Times New Roman;serif" w:hAnsi="Times New Roman;serif"/>
          <w:b/>
          <w:color w:val="000000"/>
          <w:sz w:val="20"/>
        </w:rPr>
        <w:t>DTC</w:t>
      </w:r>
      <w:r>
        <w:rPr>
          <w:color w:val="000000"/>
        </w:rPr>
        <w:t>”</w:t>
      </w:r>
      <w:r>
        <w:rPr>
          <w:rFonts w:ascii="Times New Roman;serif" w:hAnsi="Times New Roman;serif"/>
          <w:b w:val="false"/>
          <w:color w:val="000000"/>
          <w:sz w:val="20"/>
        </w:rPr>
        <w:t>) (the “</w:t>
      </w:r>
      <w:r>
        <w:rPr>
          <w:rFonts w:ascii="Times New Roman;serif" w:hAnsi="Times New Roman;serif"/>
          <w:b/>
          <w:color w:val="000000"/>
          <w:sz w:val="20"/>
        </w:rPr>
        <w:t>Shares</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Share Entitlements</w:t>
      </w:r>
      <w:r>
        <w:rPr>
          <w:color w:val="000000"/>
        </w:rPr>
        <w:t>”</w:t>
      </w:r>
      <w:r>
        <w:rPr>
          <w:rFonts w:ascii="Times New Roman;serif" w:hAnsi="Times New Roman;serif"/>
          <w:b w:val="false"/>
          <w:color w:val="000000"/>
          <w:sz w:val="20"/>
        </w:rPr>
        <w:t xml:space="preserve">, respectively) on behalf of the Holders (as defined below) through a sub-custodian in the United States appointed by SEB, (ii) to issue Swedish Depository Receipts (Sw. </w:t>
      </w:r>
      <w:r>
        <w:rPr>
          <w:rFonts w:ascii="Times New Roman;serif" w:hAnsi="Times New Roman;serif"/>
          <w:b w:val="false"/>
          <w:i/>
          <w:color w:val="000000"/>
          <w:sz w:val="20"/>
        </w:rPr>
        <w:t>svenska depåbevis</w:t>
      </w:r>
      <w:r>
        <w:rPr>
          <w:rFonts w:ascii="Times New Roman;serif" w:hAnsi="Times New Roman;serif"/>
          <w:b w:val="false"/>
          <w:color w:val="000000"/>
          <w:sz w:val="20"/>
        </w:rPr>
        <w:t>, the ”</w:t>
      </w:r>
      <w:r>
        <w:rPr>
          <w:rFonts w:ascii="Times New Roman;serif" w:hAnsi="Times New Roman;serif"/>
          <w:b/>
          <w:color w:val="000000"/>
          <w:sz w:val="20"/>
        </w:rPr>
        <w:t>SDRs</w:t>
      </w:r>
      <w:r>
        <w:rPr>
          <w:color w:val="000000"/>
        </w:rPr>
        <w:t>”</w:t>
      </w:r>
      <w:r>
        <w:rPr>
          <w:rFonts w:ascii="Times New Roman;serif" w:hAnsi="Times New Roman;serif"/>
          <w:b w:val="false"/>
          <w:color w:val="000000"/>
          <w:sz w:val="20"/>
        </w:rPr>
        <w:t>) representing Share Entitlements to holders in accordance with these general terms and conditions (these “</w:t>
      </w:r>
      <w:r>
        <w:rPr>
          <w:rFonts w:ascii="Times New Roman;serif" w:hAnsi="Times New Roman;serif"/>
          <w:b/>
          <w:color w:val="000000"/>
          <w:sz w:val="20"/>
        </w:rPr>
        <w:t>General Terms and Conditions</w:t>
      </w:r>
      <w:r>
        <w:rPr>
          <w:color w:val="000000"/>
        </w:rPr>
        <w:t>”</w:t>
      </w:r>
      <w:r>
        <w:rPr>
          <w:rFonts w:ascii="Times New Roman;serif" w:hAnsi="Times New Roman;serif"/>
          <w:b w:val="false"/>
          <w:color w:val="000000"/>
          <w:sz w:val="20"/>
        </w:rPr>
        <w:t>), and (iii) upon request by a Holder (as defined below), convert its SDRs into a corresponding number of Share Entitlements. The SDRs shall be recorded in book-entry by Euroclear Sweden AB (”</w:t>
      </w:r>
      <w:r>
        <w:rPr>
          <w:rFonts w:ascii="Times New Roman;serif" w:hAnsi="Times New Roman;serif"/>
          <w:b/>
          <w:color w:val="000000"/>
          <w:sz w:val="20"/>
        </w:rPr>
        <w:t>Euroclear Sweden</w:t>
      </w:r>
      <w:r>
        <w:rPr>
          <w:color w:val="000000"/>
        </w:rPr>
        <w:t>”</w:t>
      </w:r>
      <w:r>
        <w:rPr>
          <w:rFonts w:ascii="Times New Roman;serif" w:hAnsi="Times New Roman;serif"/>
          <w:b w:val="false"/>
          <w:color w:val="000000"/>
          <w:sz w:val="20"/>
        </w:rPr>
        <w:t xml:space="preserve">). The Company has applied for the listing of the SDRs on Nasdaq Stockholm in Sweden, a regulated market governed by the Swedish Securities Market Act (Sw. </w:t>
      </w:r>
      <w:r>
        <w:rPr>
          <w:rFonts w:ascii="Times New Roman;serif" w:hAnsi="Times New Roman;serif"/>
          <w:b w:val="false"/>
          <w:i/>
          <w:color w:val="000000"/>
          <w:sz w:val="20"/>
        </w:rPr>
        <w:t>lag (2007:528) om värdepappersmarknaden</w:t>
      </w:r>
      <w:r>
        <w:rPr>
          <w:rFonts w:ascii="Times New Roman;serif" w:hAnsi="Times New Roman;serif"/>
          <w:b w:val="false"/>
          <w:color w:val="000000"/>
          <w:sz w:val="20"/>
        </w:rPr>
        <w:t xml:space="preserve">) and subject to supervision by the Swedish Financial Supervisory Authority (Sw. </w:t>
      </w:r>
      <w:r>
        <w:rPr>
          <w:rFonts w:ascii="Times New Roman;serif" w:hAnsi="Times New Roman;serif"/>
          <w:b w:val="false"/>
          <w:i/>
          <w:color w:val="000000"/>
          <w:sz w:val="20"/>
        </w:rPr>
        <w:t>Finansins</w:t>
      </w:r>
      <w:r>
        <w:rPr>
          <w:rFonts w:ascii="Times New Roman;serif" w:hAnsi="Times New Roman;serif"/>
          <w:b w:val="false"/>
          <w:color w:val="000000"/>
          <w:sz w:val="20"/>
        </w:rPr>
        <w:t>pektionen) (“</w:t>
      </w:r>
      <w:r>
        <w:rPr>
          <w:rFonts w:ascii="Times New Roman;serif" w:hAnsi="Times New Roman;serif"/>
          <w:b/>
          <w:color w:val="000000"/>
          <w:sz w:val="20"/>
        </w:rPr>
        <w:t>Nasdaq Stockholm</w:t>
      </w:r>
      <w:r>
        <w:rPr>
          <w:color w:val="000000"/>
        </w:rPr>
        <w:t>”</w:t>
      </w:r>
      <w:r>
        <w:rPr>
          <w:rFonts w:ascii="Times New Roman;serif" w:hAnsi="Times New Roman;serif"/>
          <w:b w:val="false"/>
          <w:color w:val="000000"/>
          <w:sz w:val="20"/>
        </w:rPr>
        <w:t>). Nasdaq Stockholm has approved the Company’s listing application for the SDRs subject to meeting certain standard conditions.</w:t>
      </w:r>
    </w:p>
    <w:p>
      <w:pPr>
        <w:pStyle w:val="TextBody"/>
        <w:bidi w:val="0"/>
        <w:spacing w:before="0" w:after="180"/>
        <w:jc w:val="both"/>
        <w:rPr/>
      </w:pPr>
      <w:r>
        <w:rPr/>
      </w:r>
    </w:p>
    <w:p>
      <w:pPr>
        <w:pStyle w:val="TextBody"/>
        <w:bidi w:val="0"/>
        <w:spacing w:lineRule="auto" w:line="288" w:before="0" w:after="180"/>
        <w:ind w:left="0" w:right="0" w:hanging="709"/>
        <w:jc w:val="both"/>
        <w:rPr/>
      </w:pPr>
      <w:r>
        <w:rPr>
          <w:rFonts w:ascii="Times New Roman;serif" w:hAnsi="Times New Roman;serif"/>
          <w:b w:val="false"/>
          <w:color w:val="000000"/>
          <w:sz w:val="20"/>
        </w:rPr>
        <w:t>1.    </w:t>
      </w:r>
      <w:r>
        <w:rPr>
          <w:rFonts w:ascii="Times New Roman;serif" w:hAnsi="Times New Roman;serif"/>
          <w:b w:val="false"/>
          <w:color w:val="000000"/>
          <w:sz w:val="20"/>
          <w:u w:val="single"/>
        </w:rPr>
        <w:t>Deposit of Share Entitlements and registration etc.</w:t>
      </w:r>
    </w:p>
    <w:p>
      <w:pPr>
        <w:pStyle w:val="TextBody"/>
        <w:bidi w:val="0"/>
        <w:spacing w:lineRule="auto" w:line="288" w:before="0" w:after="180"/>
        <w:ind w:left="0" w:right="0" w:hanging="709"/>
        <w:jc w:val="both"/>
        <w:rPr/>
      </w:pPr>
      <w:r>
        <w:rPr>
          <w:rFonts w:ascii="Times New Roman;serif" w:hAnsi="Times New Roman;serif"/>
          <w:b w:val="false"/>
          <w:color w:val="000000"/>
          <w:sz w:val="20"/>
        </w:rPr>
        <w:t>1.1    The Share Entitlements will be credited by DTC, on behalf of the Company, for further distribution to Hexagon’s shareholders in the form of SDRs, to an account with a bank incorporated under U.S. law which conducts business in the United States and is permitted under U.S. law to hold the Share Entitlements in custody, in its capacity as a custodian delegate retained by SEB in the United States on behalf of SEB through the clearance and settlement system of the DTC (the “</w:t>
      </w:r>
      <w:r>
        <w:rPr>
          <w:rFonts w:ascii="Times New Roman;serif" w:hAnsi="Times New Roman;serif"/>
          <w:b/>
          <w:color w:val="000000"/>
          <w:sz w:val="20"/>
        </w:rPr>
        <w:t>Sub-Custodian</w:t>
      </w:r>
      <w:r>
        <w:rPr>
          <w:color w:val="000000"/>
        </w:rPr>
        <w:t>”</w:t>
      </w:r>
      <w:r>
        <w:rPr>
          <w:rFonts w:ascii="Times New Roman;serif" w:hAnsi="Times New Roman;serif"/>
          <w:b w:val="false"/>
          <w:color w:val="000000"/>
          <w:sz w:val="20"/>
        </w:rPr>
        <w:t>). The Sub-Custodian will hold the Share Entitlements in custody as custodian for SEB on behalf of the ultimate owners of the SDRs or their nominees (each a “</w:t>
      </w:r>
      <w:r>
        <w:rPr>
          <w:rFonts w:ascii="Times New Roman;serif" w:hAnsi="Times New Roman;serif"/>
          <w:b/>
          <w:color w:val="000000"/>
          <w:sz w:val="20"/>
        </w:rPr>
        <w:t>Holder</w:t>
      </w:r>
      <w:r>
        <w:rPr>
          <w:color w:val="000000"/>
        </w:rPr>
        <w:t xml:space="preserve">” </w:t>
      </w:r>
      <w:r>
        <w:rPr>
          <w:rFonts w:ascii="Times New Roman;serif" w:hAnsi="Times New Roman;serif"/>
          <w:b w:val="false"/>
          <w:color w:val="000000"/>
          <w:sz w:val="20"/>
        </w:rPr>
        <w:t>and jointly the “</w:t>
      </w:r>
      <w:r>
        <w:rPr>
          <w:rFonts w:ascii="Times New Roman;serif" w:hAnsi="Times New Roman;serif"/>
          <w:b/>
          <w:color w:val="000000"/>
          <w:sz w:val="20"/>
        </w:rPr>
        <w:t>Holders</w:t>
      </w:r>
      <w:r>
        <w:rPr>
          <w:color w:val="000000"/>
        </w:rPr>
        <w:t>”</w:t>
      </w:r>
      <w:r>
        <w:rPr>
          <w:rFonts w:ascii="Times New Roman;serif" w:hAnsi="Times New Roman;serif"/>
          <w:b w:val="false"/>
          <w:color w:val="000000"/>
          <w:sz w:val="20"/>
        </w:rPr>
        <w:t>), as evidenced by the entry of the Sub-Custodian’s name as holder of the Share Entitlements through the systems of DTC. These General Terms and Conditions shall govern the safe custody of Share Entitlements and the issuance of the SDRs.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1.2    In order to convert the Shares into SDRs, the Shares are registered in the name of Cede &amp; Co and will be issued or credited to an account of the Sub-Custodian on behalf of SEB through the systems of DTC. The associated Share Entitlements of the Shares are, for the benefit of the Holders under these General Terms and Conditions, deposited by the Company's request through Cede &amp; Co to the Sub-Custodian as a DTC participant on behalf of SEB, together with appropriate instructions from the Company to SEB as to the number of Share Entitlements so deposited and the number of SDRs to be issued by SEB. SEB will issue the SDRs as soon as practicable following delivery of the Share Entitlements to the Sub-Custodian, and order Euroclear Sweden to deliver SDRs to each Holder according to these General Terms and Conditions in which the SDRs are to be registered under Swedish, U.S., Irish and/or any other applicable laws, Euroclear Sweden’s rules and/or the Euroclear Agreement (as defined below in Section 1.4).</w:t>
      </w:r>
    </w:p>
    <w:p>
      <w:pPr>
        <w:pStyle w:val="TextBody"/>
        <w:bidi w:val="0"/>
        <w:spacing w:lineRule="auto" w:line="288" w:before="0" w:after="180"/>
        <w:ind w:left="0" w:right="0" w:hanging="709"/>
        <w:jc w:val="both"/>
        <w:rPr/>
      </w:pPr>
      <w:r>
        <w:rPr>
          <w:rFonts w:ascii="Times New Roman;serif" w:hAnsi="Times New Roman;serif"/>
          <w:b w:val="false"/>
          <w:color w:val="000000"/>
          <w:sz w:val="20"/>
        </w:rPr>
        <w:t>1.3    The SDRs shall be registered by SEB with the Central Securities Depository register maintained by Euroclear Sweden (the “</w:t>
      </w:r>
      <w:r>
        <w:rPr>
          <w:rFonts w:ascii="Times New Roman;serif" w:hAnsi="Times New Roman;serif"/>
          <w:b/>
          <w:color w:val="000000"/>
          <w:sz w:val="20"/>
        </w:rPr>
        <w:t>CSD Register</w:t>
      </w:r>
      <w:r>
        <w:rPr>
          <w:color w:val="000000"/>
        </w:rPr>
        <w:t>”</w:t>
      </w:r>
      <w:r>
        <w:rPr>
          <w:rFonts w:ascii="Times New Roman;serif" w:hAnsi="Times New Roman;serif"/>
          <w:b w:val="false"/>
          <w:color w:val="000000"/>
          <w:sz w:val="20"/>
        </w:rPr>
        <w:t xml:space="preserve">) in accordance with the Swedish Central Securities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 xml:space="preserve">Depositories and Financial Instruments Accounts Act (Sw. </w:t>
      </w:r>
      <w:r>
        <w:rPr>
          <w:rFonts w:ascii="Times New Roman;serif" w:hAnsi="Times New Roman;serif"/>
          <w:b w:val="false"/>
          <w:i/>
          <w:color w:val="000000"/>
          <w:sz w:val="20"/>
        </w:rPr>
        <w:t>lag (1998:1479) om värdepapperscentraler och kontoföring av finansiella instrument</w:t>
      </w:r>
      <w:r>
        <w:rPr>
          <w:rFonts w:ascii="Times New Roman;serif" w:hAnsi="Times New Roman;serif"/>
          <w:b w:val="false"/>
          <w:color w:val="000000"/>
          <w:sz w:val="20"/>
        </w:rPr>
        <w:t>). Physical securities representing the SDRs will not be issued.</w:t>
      </w:r>
    </w:p>
    <w:p>
      <w:pPr>
        <w:pStyle w:val="TextBody"/>
        <w:bidi w:val="0"/>
        <w:spacing w:lineRule="auto" w:line="288" w:before="0" w:after="180"/>
        <w:ind w:left="0" w:right="0" w:hanging="709"/>
        <w:jc w:val="both"/>
        <w:rPr/>
      </w:pPr>
      <w:r>
        <w:rPr>
          <w:rFonts w:ascii="Times New Roman;serif" w:hAnsi="Times New Roman;serif"/>
          <w:b w:val="false"/>
          <w:color w:val="000000"/>
          <w:sz w:val="20"/>
        </w:rPr>
        <w:t>1.4    SEB may from time to time request that any Holder (a) files with SEB such information and documentation as SEB, the Sub-Custodian, or the Company may require pursuant to Swedish or foreign law or governmental regulations, Euroclear Sweden’s rules and/or SEB’s agreement with Euroclear Sweden (the ”</w:t>
      </w:r>
      <w:r>
        <w:rPr>
          <w:rFonts w:ascii="Times New Roman;serif" w:hAnsi="Times New Roman;serif"/>
          <w:b/>
          <w:color w:val="000000"/>
          <w:sz w:val="20"/>
        </w:rPr>
        <w:t>Euroclear Agreement</w:t>
      </w:r>
      <w:r>
        <w:rPr>
          <w:color w:val="000000"/>
        </w:rPr>
        <w:t>”</w:t>
      </w:r>
      <w:r>
        <w:rPr>
          <w:rFonts w:ascii="Times New Roman;serif" w:hAnsi="Times New Roman;serif"/>
          <w:b w:val="false"/>
          <w:color w:val="000000"/>
          <w:sz w:val="20"/>
        </w:rPr>
        <w:t>); and (b) to execute such certificates and to make such representations and warranties as SEB may deem necessary or proper to enable SEB to perform its obligations hereunder (including without limitation any obligation under Swedish, Irish, U.S. or other applicable laws to withhold taxes or file returns).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1.5    It is the Holder’s responsibility to comply with applicable laws and rules, such as shareholdings’ notification and disclosure as well as market abuse rules, any economic or financial sanctions law, regulations or trade embargoes imposed, administered or enforced from time to time by any sanction authority and/or court, anti-money laundering and counter terrorist financing laws, regulations and procedures, as applicable.</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1.6    In the event a Holder does not fulfil the requirements set out by Swedish or foreign law, governmental regulations, authorities decision, court decisions, the Euroclear Agreement, and/or the Euroclear Rules, terms and conditions applicable to the SDRs (or any new securities replacing the SDRs), from time to time, to be registered as a holder of SDRs, or does not fulfil the requirements to enable SEB to fulfil its obligations as set out herein, SEB is entitled, in its sole discretion, to deregister all of such Holder’s SDRs in the CSD Register and transfer the Share Entitlements to a custodian/nominee designated by the Holder or according to another agreement with the Holder. If the Holder has not designated a securities account able to hold Share Entitlements or a custodian for such purpose or if no other agreement with SEB exists, SEB is, in its sole discretion, entitled to sell the Share Entitlements. SEB will use its reasonable best efforts to procure that any such sale of Share Entitlements is executed on the marketplace where the Share Entitlements are officially traded. However, SEB has no obligation or any liability for not being able to complete such transaction(s) on the relevant marketplace and may thus explore and complete other alternatives to achieve the relevant sales. SEB shall use its reasonable best efforts to ensure that the sales price corresponds to the market value of the Share Entitlements. The timing of the disposals will be determined by SEB in its sole discretion. The Holder is entitled to the sales proceeds after deduction of taxes. Following any sale of Share Entitlements by SEB, the remaining amount shall be paid to an account linked to the Holder’s securities account, or, if no such account exists, by payment notice. No interest is payable on the amount. The Company shall bear any fees and properly incurred costs relating to such sale of Share Entitlements and SEB is entitled to compensation from the Company for all fees and costs pursuant to this Section1.6, in accordance with the price list applied by SEB from time to time. SEB and/or the Company, and/or any of SEBs or the Company's directors, officers or employees shall not have or incur any responsibility or liability for any losses incurred by reason of, or arising out of, based upon or in connection with the carrying out by SEB of its obligations and services, including but not limited to the sale of a Holder’s Share Entitlements under these General Terms and Conditions.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1.7    Notwithstanding anything contained in these General Terms and Conditions, neither SEB nor the Company shall be obligated to do or perform any act or undertaking which is inconsistent with the provisions of any law or regulation of Sweden, the United States, Ireland or any other applicable country or any governmental authority or regulatory authority or regulated market, central securities depository, other securities infrastructure or the memorandum and articles of association of the Company as amended from time to time. </w:t>
      </w:r>
    </w:p>
    <w:p>
      <w:pPr>
        <w:pStyle w:val="TextBody"/>
        <w:bidi w:val="0"/>
        <w:spacing w:lineRule="auto" w:line="288" w:before="0" w:after="180"/>
        <w:ind w:left="0" w:right="0" w:hanging="709"/>
        <w:jc w:val="both"/>
        <w:rPr/>
      </w:pPr>
      <w:r>
        <w:rPr>
          <w:rFonts w:ascii="Times New Roman;serif" w:hAnsi="Times New Roman;serif"/>
          <w:b w:val="false"/>
          <w:color w:val="000000"/>
          <w:sz w:val="20"/>
        </w:rPr>
        <w:t>1.8    In these General Terms and Conditions any reference to business day shall mean a day (other than a Saturday or Sunday) on which banks are open for general business (for the avoidance of doubt not including internet banking) in Sweden, Ireland and New York City (each a “</w:t>
      </w:r>
      <w:r>
        <w:rPr>
          <w:rFonts w:ascii="Times New Roman;serif" w:hAnsi="Times New Roman;serif"/>
          <w:b/>
          <w:color w:val="000000"/>
          <w:sz w:val="20"/>
        </w:rPr>
        <w:t>Business Day</w:t>
      </w:r>
      <w:r>
        <w:rPr>
          <w:color w:val="000000"/>
        </w:rPr>
        <w:t>”</w:t>
      </w:r>
      <w:r>
        <w:rPr>
          <w:rFonts w:ascii="Times New Roman;serif" w:hAnsi="Times New Roman;serif"/>
          <w:b w:val="false"/>
          <w:color w:val="000000"/>
          <w:sz w:val="20"/>
        </w:rPr>
        <w:t>).</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1.9    Registrations in the CSD Register may be suspended or withheld, or the registration of transfer of SDRs in particular instances may be refused, or the registration of transfer generally may be suspended, or the conversion of outstanding SDRs, or the receipt of written instructions from any Holder for the purpose of withdrawal of Share Entitlements may be suspended, during any period when the transfer books of Euroclear Sweden are closed or if deemed to be necessary or advisable in the reasonable opinion of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SEB at any time or from time to time because of any requirement of any applicable law or any government or governmental body or commission, or under any provision of Euroclear’s rules or the Euroclear Agreement or for any other reason. However, the conversion of outstanding SDRs and withdrawal of Share Entitlements under Section 2 may not be generally suspended except for (i) temporary delays caused by closing the transfer books of Euroclear Sweden or the Company or the deposit of Shares or Share Entitlements in connection with voting at a shareholders’ meeting, or the payment of dividends, (ii) the payment of fees, taxes and similar charges, and/or (iii) compliance with any laws or governmental regulations relating to the SDRs or the withdrawal of Share Entitlements. Deposits of Share Entitlements and registrations of SDRs in the CSD Register may also be suspended for such period of time deemed to be necessary or advisable in the reasonable opinion of SEB prior to a termination of the SDR program.</w:t>
      </w:r>
    </w:p>
    <w:p>
      <w:pPr>
        <w:pStyle w:val="TextBody"/>
        <w:bidi w:val="0"/>
        <w:spacing w:lineRule="auto" w:line="288" w:before="0" w:after="180"/>
        <w:ind w:left="0" w:right="0" w:hanging="709"/>
        <w:jc w:val="both"/>
        <w:rPr/>
      </w:pPr>
      <w:r>
        <w:rPr>
          <w:rFonts w:ascii="Times New Roman;serif" w:hAnsi="Times New Roman;serif"/>
          <w:b w:val="false"/>
          <w:color w:val="000000"/>
          <w:sz w:val="20"/>
        </w:rPr>
        <w:t>2.    </w:t>
      </w:r>
      <w:r>
        <w:rPr>
          <w:rFonts w:ascii="Times New Roman;serif" w:hAnsi="Times New Roman;serif"/>
          <w:b w:val="false"/>
          <w:color w:val="000000"/>
          <w:sz w:val="20"/>
          <w:u w:val="single"/>
        </w:rPr>
        <w:t>Conversion</w:t>
      </w:r>
    </w:p>
    <w:p>
      <w:pPr>
        <w:pStyle w:val="TextBody"/>
        <w:bidi w:val="0"/>
        <w:spacing w:lineRule="auto" w:line="288" w:before="0" w:after="180"/>
        <w:ind w:left="0" w:right="0" w:hanging="709"/>
        <w:jc w:val="both"/>
        <w:rPr/>
      </w:pPr>
      <w:r>
        <w:rPr>
          <w:rFonts w:ascii="Times New Roman;serif" w:hAnsi="Times New Roman;serif"/>
          <w:b w:val="false"/>
          <w:color w:val="000000"/>
          <w:sz w:val="20"/>
        </w:rPr>
        <w:t>2.1    In connection with the initial issuance of the SDRs, Holders may request conversion of SDRs into Share Entitlements on the first day of trading in the SDRs on Nasdaq Stockholm (the “</w:t>
      </w:r>
      <w:r>
        <w:rPr>
          <w:rFonts w:ascii="Times New Roman;serif" w:hAnsi="Times New Roman;serif"/>
          <w:b/>
          <w:color w:val="000000"/>
          <w:sz w:val="20"/>
        </w:rPr>
        <w:t>SDR Trading Commencement Date</w:t>
      </w:r>
      <w:r>
        <w:rPr>
          <w:color w:val="000000"/>
        </w:rPr>
        <w:t>”</w:t>
      </w:r>
      <w:r>
        <w:rPr>
          <w:rFonts w:ascii="Times New Roman;serif" w:hAnsi="Times New Roman;serif"/>
          <w:b w:val="false"/>
          <w:color w:val="000000"/>
          <w:sz w:val="20"/>
        </w:rPr>
        <w:t>), with expected delivery of the corresponding number of Share Entitlements three (3) Business Days thereafter. For the avoidance of doubt, such initial conversion right is a one-off entitlement and shall not constitute a Conversion Date for the purposes of this Section 2. Subsequently, during the initial six (6) months from and including the SDR Trading Commencement Date, conversion of SDRs into Share Entitlements is expected to occur from time to time within intervals of not less than ten (10) Business Days (each referred to as a “</w:t>
      </w:r>
      <w:r>
        <w:rPr>
          <w:rFonts w:ascii="Times New Roman;serif" w:hAnsi="Times New Roman;serif"/>
          <w:b/>
          <w:color w:val="000000"/>
          <w:sz w:val="20"/>
        </w:rPr>
        <w:t>Conversion Date</w:t>
      </w:r>
      <w:r>
        <w:rPr>
          <w:color w:val="000000"/>
        </w:rPr>
        <w:t>”</w:t>
      </w:r>
      <w:r>
        <w:rPr>
          <w:rFonts w:ascii="Times New Roman;serif" w:hAnsi="Times New Roman;serif"/>
          <w:b w:val="false"/>
          <w:color w:val="000000"/>
          <w:sz w:val="20"/>
        </w:rPr>
        <w:t>). Following the initial six (6) months from and including the SDR Trading Commencement Date, conversion of SDRs into Share Entitlements is expected to occur from time to time within intervals of not less than five (5) Business Days. SEB shall, in its sole discretion, determine the Conversion Dates and, no later than ten (10) Business Days prior to the first Conversion Date, notify the Company and the Holders through their respective nominees’ or in their capacity as a nominee in accordance with Section 12 below of the upcoming Conversion Dates and of the Holders’ ability to convert their holdings of SDRs into Share Entitlements in the manner prescribed in Section 2.2 below. SEB and the Company may agree to amend the conversion schedule, in which case such change will be communicated in the manner prescribed in this Section 2.1.</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2.2    In order to convert SDRs into Share Entitlements, a directly registered Holder needs to open a securities custody account, an investment savings account or an endowment insurance with a nominee participating as a nominee with Euroclear Sweden and transfer the SDRs thereto. A Holder shall through its nominee or as a nominee initiate a conversion by notifying SEB in accordance with Section 12 below. Such a notification shall include an instruction to SEB specifying the number of SDRs to be converted into Share Entitlements as well as the DTC participant account to which the Share Entitlements should be transferred (which may be the same ultimate holder or different transferee). Upon receipt of such notification, SEB shall initiate the booking and crediting of such Share Entitlements to the DTC participant account as specified in the notification on the relevant Conversion Date. Upon the payment by a Holder of all taxes and governmental charges payable in connection with a conversion of its Share Entitlements from the SDR program, and subject to the memorandum and articles of association of the Company, Swedish, U.S., Irish or any other applicable law or by decisions of governmental authority, and the Euroclear Agreement, the Share Entitlements converted from SDRs will be delivered by the Sub-Custodian to the DTC participant account designated by the Holder through its nominee or as a nominee or as agreed between the Holder and SEB, provided the corresponding number of SDRs have been surrendered to and cancelled by SEB in the CSD Register. If SEB, acting in its sole discretion, determines that conversion of SDRs into Share Entitlements and delivery of Share Entitlements is not reasonably possible, such as if the Holder has not designated a custodian or account able to hold the Share Entitlements, SEB is entitled, in its sole discretion following consultation with the Company, to sell the underlying Share Entitlements in accordance with the procedure set forth in Section 1.6 above, as applicable.</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2.3    SEB will not act upon conversion instructions that may result in a late settlement, a matching fail, or in a penalty. For instructions received after SEB’s cut-off time, SEB will execute the conversion on the next Conversion Date alternatively, if for any reason no such new Conversion Date occurs, SEB is entitled to sell the underlying Share Entitlements in accordance with the procedure set forth in Section 1.6 above,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2.4    In order to convert Share Entitlements to SDRs, Share Entitlements may be deposited under these General Terms and Conditions by delivery to SEB or the Sub-Custodian together with appropriate instructions to SEB as to the Holder’s name, address and nominee account or directly registered holder account or trading book VPC account number in which the SDRs are to be registered as well as any other information and documentation required under Swedish, Irish, U.S. or any other applicable law, Euroclear rules or the Euroclear Agreement. Upon payment to SEB by the holder depositing the Share Entitlements of all taxes, charges, fees and costs in connection with a deposit of Share Entitlements, the corresponding number of SDRs will be registered in the CSD Register.</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2.5    Conversion of SDRs into Share Entitlements and withdrawal of Share Entitlements, and conversion of Share Entitlements to SDRs and deposit of Share Entitlements, pursuant to this Section 2 may only be made via SEB in Sweden or any successor of SEB appointed in accordance with Section 14 below.</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2.6    Conversion of SDRs into Share Entitlements and withdrawal of Share Entitlements, and conversion of Share Entitlements to SDRs and deposit of Share Entitlements, pursuant to this Section 2 is not allowed during such period decided by SEB in consultation with the Company as informed to the Holders or as required by the Euroclear Agreement. </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2.7     During the initial six (6) months from and including the SDR Trading Commencement Date, any conversion of SDRs into Share Entitlements and withdrawal of Share Entitlements pursuant to this Section 2, shall be free of charge for the Holder. Following the initial six (6) months from and including the SDR Trading Commencement Date, the relevant Holder shall bear all fees and costs in connection with any conversion of SDRs into Share Entitlements and withdrawal of Share Entitlements pursuant to this Section 2, in accordance with the price list applied by SEB from time to time. The relevant Holder shall bear all fees and costs in connection with the conversion of Share Entitlements to SDRs and deposit of Share Entitlements pursuant to this Section 2, in accordance with the price list applied by SEB from time to time. </w:t>
      </w:r>
    </w:p>
    <w:p>
      <w:pPr>
        <w:pStyle w:val="TextBody"/>
        <w:bidi w:val="0"/>
        <w:spacing w:lineRule="auto" w:line="288" w:before="0" w:after="180"/>
        <w:ind w:left="0" w:right="0" w:hanging="709"/>
        <w:jc w:val="both"/>
        <w:rPr/>
      </w:pPr>
      <w:r>
        <w:rPr>
          <w:rFonts w:ascii="Times New Roman;serif" w:hAnsi="Times New Roman;serif"/>
          <w:b w:val="false"/>
          <w:color w:val="000000"/>
          <w:sz w:val="20"/>
        </w:rPr>
        <w:t>3.    </w:t>
      </w:r>
      <w:r>
        <w:rPr>
          <w:rFonts w:ascii="Times New Roman;serif" w:hAnsi="Times New Roman;serif"/>
          <w:b w:val="false"/>
          <w:color w:val="000000"/>
          <w:sz w:val="20"/>
          <w:u w:val="single"/>
        </w:rPr>
        <w:t>Transfer and pledge of Shares</w:t>
      </w:r>
    </w:p>
    <w:p>
      <w:pPr>
        <w:pStyle w:val="TextBody"/>
        <w:bidi w:val="0"/>
        <w:spacing w:lineRule="auto" w:line="288" w:before="0" w:after="180"/>
        <w:ind w:left="0" w:right="0" w:hanging="709"/>
        <w:jc w:val="both"/>
        <w:rPr/>
      </w:pPr>
      <w:r>
        <w:rPr>
          <w:rFonts w:ascii="Times New Roman;serif" w:hAnsi="Times New Roman;serif"/>
          <w:b w:val="false"/>
          <w:color w:val="000000"/>
          <w:sz w:val="20"/>
        </w:rPr>
        <w:t xml:space="preserve">3.1    Deposited Share Entitlements may only be transferred or pledged through a transfer or pledge of SDRs. With respect to transfers and pledges of SDRs, the provisions set forth in Chapter 6 of the Swedish Central Securities Depositories and Financial Instruments Accounts Act (Sw. </w:t>
      </w:r>
      <w:r>
        <w:rPr>
          <w:rFonts w:ascii="Times New Roman;serif" w:hAnsi="Times New Roman;serif"/>
          <w:b w:val="false"/>
          <w:i/>
          <w:color w:val="000000"/>
          <w:sz w:val="20"/>
        </w:rPr>
        <w:t>lag (1998:1479) om värdepapperscentraler och kontoföring av finansiella instrument</w:t>
      </w:r>
      <w:r>
        <w:rPr>
          <w:rFonts w:ascii="Times New Roman;serif" w:hAnsi="Times New Roman;serif"/>
          <w:b w:val="false"/>
          <w:color w:val="000000"/>
          <w:sz w:val="20"/>
        </w:rPr>
        <w:t xml:space="preserve">) shall apply. </w:t>
      </w:r>
    </w:p>
    <w:p>
      <w:pPr>
        <w:pStyle w:val="TextBody"/>
        <w:bidi w:val="0"/>
        <w:spacing w:lineRule="auto" w:line="288" w:before="0" w:after="180"/>
        <w:ind w:left="0" w:right="0" w:hanging="709"/>
        <w:jc w:val="both"/>
        <w:rPr/>
      </w:pPr>
      <w:r>
        <w:rPr>
          <w:rFonts w:ascii="Times New Roman;serif" w:hAnsi="Times New Roman;serif"/>
          <w:b w:val="false"/>
          <w:color w:val="000000"/>
          <w:sz w:val="20"/>
        </w:rPr>
        <w:t>4.    </w:t>
      </w:r>
      <w:r>
        <w:rPr>
          <w:rFonts w:ascii="Times New Roman;serif" w:hAnsi="Times New Roman;serif"/>
          <w:b w:val="false"/>
          <w:color w:val="000000"/>
          <w:sz w:val="20"/>
          <w:u w:val="single"/>
        </w:rPr>
        <w:t xml:space="preserve">Trading in the SDRs </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4.1    The Company has applied for the listing of the SDRs on Nasdaq Stockholm. Nasdaq Stockholm has approved the Company's listing application for the SDRs subject to meeting certain standard conditions, whereby the Company shall ensure that the relevant documentation is prepared and the relevant approvals are obtained to enable such listing/trading. However, the SDRs may be issued and outstanding irrespective of whether the SDRs at such time are admitted to trading on Nasdaq Stockholm or any other regulated market, multilateral trading facility or equivalent market, including in circumstances where the SDRs have ceased to be listed but remain outstanding. The Company shall inform SEB as well as the Holders of such in relation to such listing or ceasing of listing.</w:t>
      </w:r>
    </w:p>
    <w:p>
      <w:pPr>
        <w:pStyle w:val="TextBody"/>
        <w:bidi w:val="0"/>
        <w:spacing w:lineRule="auto" w:line="288" w:before="0" w:after="180"/>
        <w:ind w:left="0" w:right="0" w:hanging="709"/>
        <w:jc w:val="both"/>
        <w:rPr/>
      </w:pPr>
      <w:r>
        <w:rPr>
          <w:rFonts w:ascii="Times New Roman;serif" w:hAnsi="Times New Roman;serif"/>
          <w:b w:val="false"/>
          <w:color w:val="000000"/>
          <w:sz w:val="20"/>
        </w:rPr>
        <w:t>5.    </w:t>
      </w:r>
      <w:r>
        <w:rPr>
          <w:rFonts w:ascii="Times New Roman;serif" w:hAnsi="Times New Roman;serif"/>
          <w:b w:val="false"/>
          <w:color w:val="000000"/>
          <w:sz w:val="20"/>
          <w:u w:val="single"/>
        </w:rPr>
        <w:t>Record Date</w:t>
      </w:r>
    </w:p>
    <w:p>
      <w:pPr>
        <w:pStyle w:val="TextBody"/>
        <w:bidi w:val="0"/>
        <w:spacing w:lineRule="auto" w:line="288" w:before="0" w:after="180"/>
        <w:ind w:left="0" w:right="0" w:hanging="709"/>
        <w:jc w:val="both"/>
        <w:rPr/>
      </w:pPr>
      <w:r>
        <w:rPr>
          <w:rFonts w:ascii="Times New Roman;serif" w:hAnsi="Times New Roman;serif"/>
          <w:b w:val="false"/>
          <w:color w:val="000000"/>
          <w:sz w:val="20"/>
        </w:rPr>
        <w:t>5.1    If the Company would resolve upon any corporate event in accordance with Sections 6 through 8 below, SEB shall, in its sole discretion but first after consulting with the Company, be entitled to decide on the record date (the ”</w:t>
      </w:r>
      <w:r>
        <w:rPr>
          <w:rFonts w:ascii="Times New Roman;serif" w:hAnsi="Times New Roman;serif"/>
          <w:b/>
          <w:color w:val="000000"/>
          <w:sz w:val="20"/>
        </w:rPr>
        <w:t>Record Date</w:t>
      </w:r>
      <w:r>
        <w:rPr>
          <w:color w:val="000000"/>
        </w:rPr>
        <w:t>”</w:t>
      </w:r>
      <w:r>
        <w:rPr>
          <w:rFonts w:ascii="Times New Roman;serif" w:hAnsi="Times New Roman;serif"/>
          <w:b w:val="false"/>
          <w:color w:val="000000"/>
          <w:sz w:val="20"/>
        </w:rPr>
        <w:t>) which shall be used by SEB for the determination of those Holders entitled to receive cash dividends or other property, out of dividends distributed on the Shares or Share Entitlements, to participate and vote at the shareholders’ meeting of the Company, to receive Share Entitlements in connection with bonus issues, to subscribe for Share Entitlements, convertibles, warrants and other rights in connection with new issues and to otherwise exercise those rights which normally accrue to shareholders or holders of Share Entitlements in the Company. It is the Company’s and SEB’s intention, where practically feasible, that the Record Date for dividends and other rights in accordance with the above shall, to the extent possible, be the same date as the record date determined for the Shares or Share Entitlements.</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709"/>
        <w:jc w:val="both"/>
        <w:rPr/>
      </w:pPr>
      <w:r>
        <w:rPr>
          <w:rFonts w:ascii="Times New Roman;serif" w:hAnsi="Times New Roman;serif"/>
          <w:b w:val="false"/>
          <w:color w:val="000000"/>
          <w:sz w:val="20"/>
        </w:rPr>
        <w:t>6.    </w:t>
      </w:r>
      <w:r>
        <w:rPr>
          <w:rFonts w:ascii="Times New Roman;serif" w:hAnsi="Times New Roman;serif"/>
          <w:b w:val="false"/>
          <w:color w:val="000000"/>
          <w:sz w:val="20"/>
          <w:u w:val="single"/>
        </w:rPr>
        <w:t>Dividends, distributions, fees and taxes</w:t>
      </w:r>
    </w:p>
    <w:p>
      <w:pPr>
        <w:pStyle w:val="TextBody"/>
        <w:bidi w:val="0"/>
        <w:spacing w:lineRule="auto" w:line="288" w:before="0" w:after="180"/>
        <w:ind w:left="0" w:right="0" w:hanging="709"/>
        <w:jc w:val="both"/>
        <w:rPr/>
      </w:pPr>
      <w:r>
        <w:rPr>
          <w:rFonts w:ascii="Times New Roman;serif" w:hAnsi="Times New Roman;serif"/>
          <w:b w:val="false"/>
          <w:color w:val="000000"/>
          <w:sz w:val="20"/>
        </w:rPr>
        <w:t>6.1    In conjunction with every distribution, SEB shall, in its sole discretion, determine the date of the payment of dividends (“</w:t>
      </w:r>
      <w:r>
        <w:rPr>
          <w:rFonts w:ascii="Times New Roman;serif" w:hAnsi="Times New Roman;serif"/>
          <w:b/>
          <w:color w:val="000000"/>
          <w:sz w:val="20"/>
        </w:rPr>
        <w:t>Payment Date</w:t>
      </w:r>
      <w:r>
        <w:rPr>
          <w:color w:val="000000"/>
        </w:rPr>
        <w:t>”</w:t>
      </w:r>
      <w:r>
        <w:rPr>
          <w:rFonts w:ascii="Times New Roman;serif" w:hAnsi="Times New Roman;serif"/>
          <w:b w:val="false"/>
          <w:color w:val="000000"/>
          <w:sz w:val="20"/>
        </w:rPr>
        <w:t>). Payment of dividends to Holders or holders of other rights to dividend, shall take place on the Payment Date through Euroclear Sweden and in accordance with the rules and regulations applied by Euroclear Sweden from time to time.</w:t>
      </w:r>
    </w:p>
    <w:p>
      <w:pPr>
        <w:pStyle w:val="TextBody"/>
        <w:bidi w:val="0"/>
        <w:spacing w:lineRule="auto" w:line="288" w:before="0" w:after="180"/>
        <w:ind w:left="0" w:right="0" w:hanging="709"/>
        <w:jc w:val="both"/>
        <w:rPr/>
      </w:pPr>
      <w:r>
        <w:rPr>
          <w:rFonts w:ascii="Times New Roman;serif" w:hAnsi="Times New Roman;serif"/>
          <w:b w:val="false"/>
          <w:color w:val="000000"/>
          <w:sz w:val="20"/>
        </w:rPr>
        <w:t>6.2    The payment of dividends when made in cash shall be made in Swedish kronor (“</w:t>
      </w:r>
      <w:r>
        <w:rPr>
          <w:rFonts w:ascii="Times New Roman;serif" w:hAnsi="Times New Roman;serif"/>
          <w:b/>
          <w:color w:val="000000"/>
          <w:sz w:val="20"/>
        </w:rPr>
        <w:t>SEK</w:t>
      </w:r>
      <w:r>
        <w:rPr>
          <w:color w:val="000000"/>
        </w:rPr>
        <w:t>”</w:t>
      </w:r>
      <w:r>
        <w:rPr>
          <w:rFonts w:ascii="Times New Roman;serif" w:hAnsi="Times New Roman;serif"/>
          <w:b w:val="false"/>
          <w:color w:val="000000"/>
          <w:sz w:val="20"/>
        </w:rPr>
        <w:t>) to those persons who, on the Record Date, are registered in the CSD Register as Holders or rights holders in respect of dividends. SEB shall convert any funds received in foreign currency into SEK in accordance with the exchange rates applied by SEB from time to time which shall be set in accordance with public market rates three (3) Business Days prior to the Payment Date, by entering into spot contracts with delivery on such Payment Date. The final conversion will be the average of the rates achieved in each such spot contract. The dividend amount distributed per SDR will be rounded down to SEK 0.01. Surplus amounts, which as a consequence of a rounding are not paid, shall be repaid by SEB to the Company.</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6.3    In conjunction with payment of dividends to Holders, the Company, SEB, the Sub-Custodian or any other party shall withhold and pay to the tax authorities in the United States or Ireland any required tax amount, should there be any such taxes imposed. In the event the Company, SEB, or the Sub-Custodian or representatives of the foregoing determine that dividends in cash, shares, rights, or other assets are subject to taxation or other public fees which must be withheld, the Company, SEB, the Sub-Custodian or representatives of any of the foregoing shall be entitled to withhold cash amounts or sell all or part of the assets as is financially and practically necessary to sell in order to be able to pay those taxes and fees. The remaining proceeds, following deduction of taxes and fees, shall be paid by SEB to the Holders who are entitled thereto. Holders shall be liable for deficiencies which may arise in conjunction with sale pursuant to the above.</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6.4    The payment of dividends to the Holders shall be made without any deduction of any costs, fees, or equivalents thereto which are related to the Company, SEB, the Sub-Custodian or any of their respective agents. However, deductions may be made in relation to any Irish or U.S. withholding tax referred to in Section 6.3, or in relation to Swedish preliminary income tax, withholding tax, or other taxes which are to be withheld pursuant to Swedish law or agreements with foreign tax authorities as well as for any taxes which may be imposed pursuant to Swedish, Irish, U.S. or applicable provisions of another country.</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6.5    In the event that the Company offers or causes to be offered to Holders, or holders of underlying Shares, any rights to subscribe for additional Share Entitlements or any rights of any other nature, SEB shall, to the extent reasonably possible, deliver to the Holders the number of Share Entitlements that each Holder is entitled to so that the Holders may participate in the offering. If a Holder has not designated a custodian or account able to hold the Share Entitlements or if no other agreement with SEB exists, or if transfer of the relevant Share Entitlements is not deemed reasonably possible by SEB, acting in its sole discretion, SEB is entitled, in its sole discretion following consultation with the Company, not earlier than five (5) Business Days and no later than two (2) Business Days prior to the record date of such new issue, the Issuer is entitled to sell the underlying Share Entitlements in accordance with the procedure set forth in Section 1.6, as applicable.</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6.6    If the Company resolves that any distribution other than cash, Share Entitlements or rights upon any deposited Share Entitlements, including a distribution whereby the Holders are offered the option of receiving either cash or securities, SEB shall cause such cash, securities or property to be distributed to the Holders entitled thereto, as promptly as practicable, in proportion to the number of SDRs representing such deposited Share Entitlements held by them respectively, provided, however, that, if in the reasonable opinion of SEB it cannot cause such cash, securities or property to be distributed or such distribution cannot be made proportionately among the Holders entitled thereto, or if for any other reason (including any requirement that Euroclear Sweden, the Sub-Custodian or SEB withhold an amount on account of taxes or other governmental charges in order to be distributed to Holders) SEB in its reasonable opinion deems such distribution not to be feasible, SEB may, following consultation with the Company, adopt such method, if any be available, that is practicably and economically possible for the purpose of effecting such distribution, including the public or private sale of the securities or </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thus received, or any part thereof, and the net proceeds of any such sale shall be distributed by SEB to the Holders entitled thereto as in the case of a distribution received in cash and any unsold balance of such securities or property shall be distributed by SEB to the Holders entitled thereto, if such distribution is feasible without withholding for or on account of any taxes or other governmental charges and any applicable laws in proportion to the number of SDRs representing such Share Entitlements held by them as aforesaid, or, if impracticable, in accordance with such method as SEB may deem appropriate. In the event that Euroclear Sweden, the Sub-Custodian or SEB shall be required to withhold, and do withhold, any taxes or governmental charges from any distribution in accordance with this Section 6.6, the amount distributed to the Holder shall be reduced accordingly.</w:t>
      </w:r>
    </w:p>
    <w:p>
      <w:pPr>
        <w:pStyle w:val="TextBody"/>
        <w:bidi w:val="0"/>
        <w:spacing w:lineRule="auto" w:line="288" w:before="0" w:after="180"/>
        <w:ind w:left="0" w:right="0" w:hanging="709"/>
        <w:jc w:val="both"/>
        <w:rPr/>
      </w:pPr>
      <w:r>
        <w:rPr>
          <w:rFonts w:ascii="Times New Roman;serif" w:hAnsi="Times New Roman;serif"/>
          <w:b w:val="false"/>
          <w:color w:val="000000"/>
          <w:sz w:val="20"/>
        </w:rPr>
        <w:t xml:space="preserve">6.7    SEB and the Company shall be deemed to have fulfilled their respective obligations notwithstanding that the person to whom a dividend is paid is not an authorised recipient. The aforementioned shall not, however, apply where SEB or the Company was aware that the dividend was paid to a person who was not authorised to receive the dividend or where SEB or the Company failed to exercise normal care which, in consideration of the circumstances, should have been exercised, or where payment cannot be claimed as a result of the recipient being a minor or due to the fact that a guardian had been appointed for the recipient pursuant to the Swedish Children and Parents Code (Sw. </w:t>
      </w:r>
      <w:r>
        <w:rPr>
          <w:rFonts w:ascii="Times New Roman;serif" w:hAnsi="Times New Roman;serif"/>
          <w:b w:val="false"/>
          <w:i/>
          <w:color w:val="000000"/>
          <w:sz w:val="20"/>
        </w:rPr>
        <w:t>Föräldrabalken (1949:381)</w:t>
      </w:r>
      <w:r>
        <w:rPr>
          <w:rFonts w:ascii="Times New Roman;serif" w:hAnsi="Times New Roman;serif"/>
          <w:b w:val="false"/>
          <w:color w:val="000000"/>
          <w:sz w:val="20"/>
        </w:rPr>
        <w:t>) and such guardianship included the receipt of dividends.</w:t>
      </w:r>
    </w:p>
    <w:p>
      <w:pPr>
        <w:pStyle w:val="TextBody"/>
        <w:bidi w:val="0"/>
        <w:spacing w:lineRule="auto" w:line="288" w:before="0" w:after="180"/>
        <w:ind w:left="0" w:right="0" w:hanging="709"/>
        <w:jc w:val="both"/>
        <w:rPr/>
      </w:pPr>
      <w:r>
        <w:rPr>
          <w:rFonts w:ascii="Times New Roman;serif" w:hAnsi="Times New Roman;serif"/>
          <w:b w:val="false"/>
          <w:color w:val="000000"/>
          <w:sz w:val="20"/>
        </w:rPr>
        <w:t>7.    </w:t>
      </w:r>
      <w:r>
        <w:rPr>
          <w:rFonts w:ascii="Times New Roman;serif" w:hAnsi="Times New Roman;serif"/>
          <w:b w:val="false"/>
          <w:color w:val="000000"/>
          <w:sz w:val="20"/>
          <w:u w:val="single"/>
        </w:rPr>
        <w:t>Bonus issues, splits, or reverse splits etc.</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7.1    If the Company resolves upon any corporate actions such as bonus issues, splits, or reverse splits, a redenomination, share redemption or share buy-backs, including any subsequent share cancellation, which would result in such effect of the Shares or terms of the Share Entitlements, SEB shall, as soon as practically possible, accept receipt of Share Entitlements through its registered Sub-Custodian in conjunction with bonus issues and issue a corresponding number of SDRs to Holders so entitled, and shall, following the receipt of the Share Entitlements through its registered Sub-Custodian, carry out any adjustments to the SDRs to reflect, pro rata, any splits or reverse splits of Shares by taking necessary registration measures on the securities accounts belonging to the Holders or right holders to ensure that they receive the benefit of all such entitlements.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7.2    Persons who, on the Record Date (as defined and set out in Section 5.1), are registered in the CSD Register as Holders or rights holders with respect to the measure in question shall be entitled to participate in the bonus issue, split, or reverse split, etc. Where such persons are not authorised recipients, the provisions set forth in Section 6.7 above shall apply in a corresponding manner.</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7.3    The payment of applicable taxes shall be addressed in the manner set forth in Section 6 above.</w:t>
      </w:r>
    </w:p>
    <w:p>
      <w:pPr>
        <w:pStyle w:val="TextBody"/>
        <w:bidi w:val="0"/>
        <w:spacing w:lineRule="auto" w:line="288" w:before="0" w:after="180"/>
        <w:ind w:left="0" w:right="0" w:hanging="709"/>
        <w:jc w:val="both"/>
        <w:rPr/>
      </w:pPr>
      <w:r>
        <w:rPr>
          <w:rFonts w:ascii="Times New Roman;serif" w:hAnsi="Times New Roman;serif"/>
          <w:b w:val="false"/>
          <w:color w:val="000000"/>
          <w:sz w:val="20"/>
        </w:rPr>
        <w:t>8.    </w:t>
      </w:r>
      <w:r>
        <w:rPr>
          <w:rFonts w:ascii="Times New Roman;serif" w:hAnsi="Times New Roman;serif"/>
          <w:b w:val="false"/>
          <w:color w:val="000000"/>
          <w:sz w:val="20"/>
          <w:u w:val="single"/>
        </w:rPr>
        <w:t>New issues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8.1    Where the Company resolves to issue new shares, convertibles, warrants or other rights to which the Company’s shareholders generally have pre-emptive rights, which would result in a corresponding right to holders of SDRs, the Company shall instruct SEB or any other agent to provide notice to the Holders in accordance with Section 12 of the material terms and conditions governing the new issue based on the information received from the Company. The aforementioned shall apply to other offers, which the Company directs to its shareholders. Application forms shall, if applicable, be appended to the information whereon each Holder can instruct SEB or any other agent to subscribe for Share Entitlements, convertibles, warrants or other rights, on behalf of such Holder. Where, in accordance with the instructions of the Holder, SEB subscribes for such Share Entitlements, convertibles, warrants or rights, SEB shall allocate such Share Entitlements, convertibles, warrants or other rights, to the respective Holders as soon as possible following the issue, to the extent reasonably possible. </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8.2    Where a Holder does not instruct SEB or any other agent within the stipulated time to exercise any of the rights set forth above and if it is practically and economically possible to sell such rights, SEB shall be entitled to sell such rights on behalf of the Holder and to pay the proceeds to such Holder after any applicable deductions for costs, fees and taxes.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709"/>
        <w:jc w:val="both"/>
        <w:rPr/>
      </w:pPr>
      <w:r>
        <w:rPr>
          <w:rFonts w:ascii="Times New Roman;serif" w:hAnsi="Times New Roman;serif"/>
          <w:b w:val="false"/>
          <w:color w:val="000000"/>
          <w:sz w:val="20"/>
        </w:rPr>
        <w:t>9.    </w:t>
      </w:r>
      <w:r>
        <w:rPr>
          <w:rFonts w:ascii="Times New Roman;serif" w:hAnsi="Times New Roman;serif"/>
          <w:b w:val="false"/>
          <w:color w:val="000000"/>
          <w:sz w:val="20"/>
          <w:u w:val="single"/>
        </w:rPr>
        <w:t>Fractional rights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9.1    Where, in accordance with Sections 6 through 8 above, a Holder is entitled to a fraction of a Share Entitlement or any other fractional rights which do not entitle the Holder to a whole number of Share Entitlements or other rights, SEB shall promptly sell such excess fractional Share Entitlements and shall, to the extent reasonably practicable, distribute the proceeds of such sale to the Holders entitled thereto as promptly as reasonably practicable after applicable deduction for costs, fees and taxes.</w:t>
      </w:r>
    </w:p>
    <w:p>
      <w:pPr>
        <w:pStyle w:val="TextBody"/>
        <w:bidi w:val="0"/>
        <w:spacing w:lineRule="auto" w:line="288" w:before="0" w:after="180"/>
        <w:ind w:left="0" w:right="0" w:hanging="709"/>
        <w:jc w:val="both"/>
        <w:rPr/>
      </w:pPr>
      <w:r>
        <w:rPr>
          <w:rFonts w:ascii="Times New Roman;serif" w:hAnsi="Times New Roman;serif"/>
          <w:b w:val="false"/>
          <w:color w:val="000000"/>
          <w:sz w:val="20"/>
        </w:rPr>
        <w:t>10.    </w:t>
      </w:r>
      <w:r>
        <w:rPr>
          <w:rFonts w:ascii="Times New Roman;serif" w:hAnsi="Times New Roman;serif"/>
          <w:b w:val="false"/>
          <w:color w:val="000000"/>
          <w:sz w:val="20"/>
          <w:u w:val="single"/>
        </w:rPr>
        <w:t>Participation at the shareholders’ meetings of the Company</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10.1    The Company has appointed Computershare Inc. as the U.S. transfer agent and its Irish affiliate Computershare Investor Services (Ireland) Limited to maintain the share register of the Company and act as the designated third-party. The Company shall bear the costs for such third parties.</w:t>
      </w:r>
    </w:p>
    <w:p>
      <w:pPr>
        <w:pStyle w:val="TextBody"/>
        <w:bidi w:val="0"/>
        <w:spacing w:lineRule="auto" w:line="288" w:before="0" w:after="180"/>
        <w:ind w:left="0" w:right="0" w:hanging="709"/>
        <w:jc w:val="both"/>
        <w:rPr/>
      </w:pPr>
      <w:r>
        <w:rPr>
          <w:rFonts w:ascii="Times New Roman;serif" w:hAnsi="Times New Roman;serif"/>
          <w:b w:val="false"/>
          <w:color w:val="000000"/>
          <w:sz w:val="20"/>
        </w:rPr>
        <w:t>10.2    The Holders may participate in the shareholders’ meeting in the Company by appointing one or more third parties designated by the Company to vote by proxy form (the “</w:t>
      </w:r>
      <w:r>
        <w:rPr>
          <w:rFonts w:ascii="Times New Roman;serif" w:hAnsi="Times New Roman;serif"/>
          <w:b/>
          <w:color w:val="000000"/>
          <w:sz w:val="20"/>
        </w:rPr>
        <w:t>Proxies</w:t>
      </w:r>
      <w:r>
        <w:rPr>
          <w:color w:val="000000"/>
        </w:rPr>
        <w:t>”</w:t>
      </w:r>
      <w:r>
        <w:rPr>
          <w:rFonts w:ascii="Times New Roman;serif" w:hAnsi="Times New Roman;serif"/>
          <w:b w:val="false"/>
          <w:color w:val="000000"/>
          <w:sz w:val="20"/>
        </w:rPr>
        <w:t>) in accordance with Section 10.3 - 10.5.</w:t>
      </w:r>
    </w:p>
    <w:p>
      <w:pPr>
        <w:pStyle w:val="TextBody"/>
        <w:bidi w:val="0"/>
        <w:spacing w:lineRule="auto" w:line="288" w:before="0" w:after="180"/>
        <w:ind w:left="0" w:right="0" w:hanging="709"/>
        <w:jc w:val="both"/>
        <w:rPr/>
      </w:pPr>
      <w:r>
        <w:rPr>
          <w:rFonts w:ascii="Times New Roman;serif" w:hAnsi="Times New Roman;serif"/>
          <w:b w:val="false"/>
          <w:color w:val="000000"/>
          <w:sz w:val="20"/>
        </w:rPr>
        <w:t>10.3    The Company shall as soon as practically possible and not later than two (2) weeks prior to the Company’s shareholders’ meeting, inform SEB of the upcoming shareholders’ meeting. The Company shall, or ensure that its service provider shall, on behalf of SEB, as soon as practically possible thereafter, notify the Holders of the shareholders’ meeting and procure that the relevant notice is provided to all Holders by post to the address listed in the CSD Register. The notification shall include (i) the Company’s name and registration number, (ii) the type of shareholders’ meeting to be held, (iii) the time and location of the shareholders’ meeting, (iv) information on how to find the convening notice in full, the agenda and other documentation of the shareholders’ meeting on the Company’s website, (v) the Record Date for the Holders determined in accordance with Section 5.1, and (vi) instructions regarding any measures to be taken by the Holder in order to be able to vote at the shareholders’ meeting by appointing a Proxy, and (vii) the date and time by which Holders are required to submit any vote at the shareholders’ meeting by appointing a Proxy (the “</w:t>
      </w:r>
      <w:r>
        <w:rPr>
          <w:rFonts w:ascii="Times New Roman;serif" w:hAnsi="Times New Roman;serif"/>
          <w:b/>
          <w:color w:val="000000"/>
          <w:sz w:val="20"/>
        </w:rPr>
        <w:t>SDR Proxy Voting Deadline</w:t>
      </w:r>
      <w:r>
        <w:rPr>
          <w:color w:val="000000"/>
        </w:rPr>
        <w:t>”</w:t>
      </w:r>
      <w:r>
        <w:rPr>
          <w:rFonts w:ascii="Times New Roman;serif" w:hAnsi="Times New Roman;serif"/>
          <w:b w:val="false"/>
          <w:color w:val="000000"/>
          <w:sz w:val="20"/>
        </w:rPr>
        <w:t>). The Company shall, or ensure that it service provider shall, use commercially reasonable efforts to, upon request from a Holder, send by post to such Holder the information and documentation provided on the Company’s website in relation to the shareholders’ meeting.</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10.4    Only Holders which are registered in the CSD Register on the Record Date, which shall be no later than eight (8) Business Days before the shareholders’ meeting, and who have, no later than the SDR Proxy Voting Deadline, notified the Company or its service provider that they wish to vote at the shareholders’ meeting by appointing a Proxy and validly submitted proxy voting instructions in the manner required with respect to such shareholders’ meeting, are entitled to vote by proxy form. SEB, as registered owner of the Share Entitlements on behalf of the Holders, shall appoint the Proxies to vote for all such Holders who have notified the Company, or its service provider, as applicable, of their intention in due time to vote by proxy form at the shareholders’ meeting. SEB shall present such proxies to the Company together with a list of the Holders for whom proxies have been issued no later than one (1) Business Day prior to the shareholders’ meeting.</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10.5    SEB and the Sub-Custodian undertake not to represent Share Entitlements for which the Holder has not notified its intention to participate at the shareholders’ meeting by proxy. Neither SEB nor the Sub-Custodian shall itself exercise any voting discretion over any Share Entitlements.</w:t>
      </w:r>
    </w:p>
    <w:p>
      <w:pPr>
        <w:pStyle w:val="TextBody"/>
        <w:bidi w:val="0"/>
        <w:spacing w:lineRule="auto" w:line="288" w:before="0" w:after="180"/>
        <w:ind w:left="0" w:right="0" w:hanging="709"/>
        <w:jc w:val="both"/>
        <w:rPr/>
      </w:pPr>
      <w:r>
        <w:rPr>
          <w:rFonts w:ascii="Times New Roman;serif" w:hAnsi="Times New Roman;serif"/>
          <w:b w:val="false"/>
          <w:color w:val="000000"/>
          <w:sz w:val="20"/>
        </w:rPr>
        <w:t>11.    </w:t>
      </w:r>
      <w:r>
        <w:rPr>
          <w:rFonts w:ascii="Times New Roman;serif" w:hAnsi="Times New Roman;serif"/>
          <w:b w:val="false"/>
          <w:color w:val="000000"/>
          <w:sz w:val="20"/>
          <w:u w:val="single"/>
        </w:rPr>
        <w:t>Company reports and other information</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11.1    SEB shall send to the Holders the information which SEB has obtained from the Company or a summary provided by the Company of the information if the Company deems it sufficient or appropriate in each individual case. As a general rule, the information shall be provided in English unless SEB determines that a translation of a document into Swedish is required in view of its content and/or purpose. The English version of the information document shall prevail. The Company shall procure that any information or notice on any meeting of holders of Shares or of any adjourned meeting of such holders, or of the taking of any action by such holders of Shares or holders of Share Entitlements other than at a meeting, or of the taking of any action in respect of any cash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 or offering of any rights in respect of the Share or the Share Entitlements shall be sent by post to all Holders to the address listed in the CSD Register. </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11.2    The Company shall, upon request from a Holder, send the Company’s annual report to such Holder. The Company shall also publish applicable stock market information in accordance with the requirements applicable for companies with SDRs listed on Nasdaq Stockholm.</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11.3    Information regarding the Company and its securities is available on the Company’s website, www.octave.com.</w:t>
      </w:r>
    </w:p>
    <w:p>
      <w:pPr>
        <w:pStyle w:val="TextBody"/>
        <w:bidi w:val="0"/>
        <w:spacing w:lineRule="auto" w:line="288" w:before="0" w:after="180"/>
        <w:ind w:left="0" w:right="0" w:hanging="709"/>
        <w:jc w:val="both"/>
        <w:rPr/>
      </w:pPr>
      <w:r>
        <w:rPr>
          <w:rFonts w:ascii="Times New Roman;serif" w:hAnsi="Times New Roman;serif"/>
          <w:b w:val="false"/>
          <w:color w:val="000000"/>
          <w:sz w:val="20"/>
        </w:rPr>
        <w:t>12.    </w:t>
      </w:r>
      <w:r>
        <w:rPr>
          <w:rFonts w:ascii="Times New Roman;serif" w:hAnsi="Times New Roman;serif"/>
          <w:b w:val="false"/>
          <w:color w:val="000000"/>
          <w:sz w:val="20"/>
          <w:u w:val="single"/>
        </w:rPr>
        <w:t>Notices</w:t>
      </w:r>
    </w:p>
    <w:p>
      <w:pPr>
        <w:pStyle w:val="TextBody"/>
        <w:bidi w:val="0"/>
        <w:spacing w:lineRule="auto" w:line="288" w:before="0" w:after="180"/>
        <w:ind w:left="0" w:right="0" w:hanging="709"/>
        <w:jc w:val="both"/>
        <w:rPr/>
      </w:pPr>
      <w:r>
        <w:rPr>
          <w:rFonts w:ascii="Times New Roman;serif" w:hAnsi="Times New Roman;serif"/>
          <w:b w:val="false"/>
          <w:color w:val="000000"/>
          <w:sz w:val="20"/>
        </w:rPr>
        <w:t xml:space="preserve">12.1    SEB shall ensure that notices to Holders pursuant to these General Terms and Conditions are provided to the Holders and other rights holders who are registered in the CSD Register as entitled to receive notices in accordance with the Swedish Central Securities Depositories and Financial Instruments Accounts Act (Sw. </w:t>
      </w:r>
      <w:r>
        <w:rPr>
          <w:rFonts w:ascii="Times New Roman;serif" w:hAnsi="Times New Roman;serif"/>
          <w:b w:val="false"/>
          <w:i/>
          <w:color w:val="000000"/>
          <w:sz w:val="20"/>
        </w:rPr>
        <w:t>lag (1998:1479) om värdepapperscentraler och kontoföring av finansiella instrument</w:t>
      </w:r>
      <w:r>
        <w:rPr>
          <w:rFonts w:ascii="Times New Roman;serif" w:hAnsi="Times New Roman;serif"/>
          <w:b w:val="false"/>
          <w:color w:val="000000"/>
          <w:sz w:val="20"/>
        </w:rPr>
        <w:t>).</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12.2    Written notices shall be sent by ordinary post in accordance with this Section 12 to the addresses listed in the CSD Register. SEB and the Company may, in lieu of sending by post a notice, publish it in at least one Swedish daily newspaper with nationwide coverage and through Octave’s website.</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12.3    Any notices sent by SEB, the Company or its service provider under these General Terms and Conditions shall be deemed as effective when it has been left at the relevant address listed in the CSD register or three (3) Business Days after being deposited in the post in a postage prepaid envelope addressed to the Holders at that address, or if notice is given by publication in a Swedish daily newspaper, the date of publication.</w:t>
      </w:r>
    </w:p>
    <w:p>
      <w:pPr>
        <w:pStyle w:val="TextBody"/>
        <w:bidi w:val="0"/>
        <w:spacing w:lineRule="auto" w:line="288" w:before="0" w:after="180"/>
        <w:ind w:left="0" w:right="0" w:hanging="709"/>
        <w:jc w:val="both"/>
        <w:rPr/>
      </w:pPr>
      <w:r>
        <w:rPr>
          <w:rFonts w:ascii="Times New Roman;serif" w:hAnsi="Times New Roman;serif"/>
          <w:b w:val="false"/>
          <w:color w:val="000000"/>
          <w:sz w:val="20"/>
        </w:rPr>
        <w:t>13.    </w:t>
      </w:r>
      <w:r>
        <w:rPr>
          <w:rFonts w:ascii="Times New Roman;serif" w:hAnsi="Times New Roman;serif"/>
          <w:b w:val="false"/>
          <w:color w:val="000000"/>
          <w:sz w:val="20"/>
          <w:u w:val="single"/>
        </w:rPr>
        <w:t>Fees and costs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13.1    All fees and costs in connection with the administration of the safe custody and the services rendered by Euroclear Sweden shall be borne by the Company unless otherwise set forth in these General Terms and Conditions.</w:t>
      </w:r>
    </w:p>
    <w:p>
      <w:pPr>
        <w:pStyle w:val="TextBody"/>
        <w:bidi w:val="0"/>
        <w:spacing w:lineRule="auto" w:line="288" w:before="0" w:after="180"/>
        <w:ind w:left="0" w:right="0" w:hanging="709"/>
        <w:jc w:val="both"/>
        <w:rPr/>
      </w:pPr>
      <w:r>
        <w:rPr>
          <w:rFonts w:ascii="Times New Roman;serif" w:hAnsi="Times New Roman;serif"/>
          <w:b w:val="false"/>
          <w:color w:val="000000"/>
          <w:sz w:val="20"/>
        </w:rPr>
        <w:t>14.    </w:t>
      </w:r>
      <w:r>
        <w:rPr>
          <w:rFonts w:ascii="Times New Roman;serif" w:hAnsi="Times New Roman;serif"/>
          <w:b w:val="false"/>
          <w:color w:val="000000"/>
          <w:sz w:val="20"/>
          <w:u w:val="single"/>
        </w:rPr>
        <w:t xml:space="preserve">Replacement of SEB as depositary and SDR issuer </w:t>
      </w:r>
    </w:p>
    <w:p>
      <w:pPr>
        <w:pStyle w:val="TextBody"/>
        <w:bidi w:val="0"/>
        <w:spacing w:lineRule="auto" w:line="288" w:before="0" w:after="180"/>
        <w:ind w:left="0" w:right="0" w:hanging="709"/>
        <w:jc w:val="both"/>
        <w:rPr/>
      </w:pPr>
      <w:r>
        <w:rPr>
          <w:rFonts w:ascii="Times New Roman;serif" w:hAnsi="Times New Roman;serif"/>
          <w:b w:val="false"/>
          <w:color w:val="000000"/>
          <w:sz w:val="20"/>
        </w:rPr>
        <w:t xml:space="preserve">14.1    In the event the Company decides to appoint another Swedish bank or securities institution as issuer of SDRs in replacement of SEB, SEB shall transfer all of SEB’s rights and obligations </w:t>
      </w:r>
      <w:r>
        <w:rPr>
          <w:rFonts w:ascii="Times New Roman;serif" w:hAnsi="Times New Roman;serif"/>
          <w:b w:val="false"/>
          <w:i/>
          <w:color w:val="000000"/>
          <w:sz w:val="20"/>
        </w:rPr>
        <w:t xml:space="preserve">vis-à-vis </w:t>
      </w:r>
      <w:r>
        <w:rPr>
          <w:rFonts w:ascii="Times New Roman;serif" w:hAnsi="Times New Roman;serif"/>
          <w:b w:val="false"/>
          <w:color w:val="000000"/>
          <w:sz w:val="20"/>
        </w:rPr>
        <w:t>the Holders pursuant to these General Terms and Conditions and deliver the Share Entitlements to the new issuer. The identity of any replacement issuer must be submitted by the Company to Euroclear Sweden for prior approval and such replacement shall be effective not earlier than three (3) weeks after the notification to the Holders regarding the replacement of SEB is sent or announced by publication in one Swedish daily newspaper with nationwide coverage in accordance with Section 12 above. If a change of issuer is carried out in the manner set forth in this Section 14, each Holder shall be deemed to have agreed to transfer of the rights and obligations between the Holders and SEB to the Holders and the new issuer.</w:t>
      </w:r>
    </w:p>
    <w:p>
      <w:pPr>
        <w:pStyle w:val="TextBody"/>
        <w:bidi w:val="0"/>
        <w:spacing w:lineRule="auto" w:line="288" w:before="0" w:after="180"/>
        <w:ind w:left="0" w:right="0" w:hanging="709"/>
        <w:jc w:val="both"/>
        <w:rPr/>
      </w:pPr>
      <w:r>
        <w:rPr>
          <w:rFonts w:ascii="Times New Roman;serif" w:hAnsi="Times New Roman;serif"/>
          <w:b w:val="false"/>
          <w:color w:val="000000"/>
          <w:sz w:val="20"/>
        </w:rPr>
        <w:t>15.    </w:t>
      </w:r>
      <w:r>
        <w:rPr>
          <w:rFonts w:ascii="Times New Roman;serif" w:hAnsi="Times New Roman;serif"/>
          <w:b w:val="false"/>
          <w:color w:val="000000"/>
          <w:sz w:val="20"/>
          <w:u w:val="single"/>
        </w:rPr>
        <w:t>Amendments to these General Terms and Conditions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15.1    SEB shall be entitled to amend these General Terms and Conditions where such amendment is necessary in order for these General Terms and Conditions to comply with Swedish, Irish, U.S. and/or other applicable laws, decisions by governmental authorities or courts, or amendments to Euroclear Sweden’s or any applicable marketplace’s rules and regulations. SEB and the Company are entitled to jointly agree to amend these General Terms and Conditions where, for other reasons, it is deemed appropriate or necessary, provided in all cases that the Holders’ rights are in no way materially prejudiced. SEB shall notify the Holders in the manner set forth in Section 12 of any such decision to amend the General Terms and Conditions.</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709"/>
        <w:jc w:val="both"/>
        <w:rPr/>
      </w:pPr>
      <w:r>
        <w:rPr>
          <w:rFonts w:ascii="Times New Roman;serif" w:hAnsi="Times New Roman;serif"/>
          <w:b w:val="false"/>
          <w:color w:val="000000"/>
          <w:sz w:val="20"/>
        </w:rPr>
        <w:t>16.    </w:t>
      </w:r>
      <w:r>
        <w:rPr>
          <w:rFonts w:ascii="Times New Roman;serif" w:hAnsi="Times New Roman;serif"/>
          <w:b w:val="false"/>
          <w:color w:val="000000"/>
          <w:sz w:val="20"/>
          <w:u w:val="single"/>
        </w:rPr>
        <w:t>Disclosure of information</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16.1    Initial Holders of SDRs and Holders who request conversion of SDRs into Share Entitlements or conversion of Share Entitlements into SDRs will submit personal data to SEB. Personal data that is submitted to SEB will be processed by SEB (who is the controller) for the administration and execution of the assignment. Personal data that is obtained from other sources than from the Holder may also be processed. Information regarding the process and treatment of personal data can be obtained from SEB’s office, which also accepts requests for changes to personal data. Personal data may also be processed in computer systems of SEB’s business partners. The address information may be obtained by SEB through an automatic procedure carried out by Euroclear Sweden.</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16.2    SEB retains the right to request information from Euroclear Sweden and Euroclear Sweden has the right to disclose information regarding the Holders and their holdings and to submit such information to SEB, the Company, any third party appointed by the Company, and to the Sub-Custodian.</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16.3    SEB is entitled to provide information regarding the Holders and their holdings to such parties who perform share registration duties or to governmental authorities, provided that the obligation to submit such information is prescribed by Swedish and/or foreign laws, statutes, regulatory decrees or agreement with governmental authorities. The Holders are obligated, following demand, to submit such information to SEB.</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16.4    SEB shall be entitled to provide information regarding the Holders and their holdings to governmental authorities in connection with repayment or refunding of paid taxes or when subject to any tax audit to the extent such is necessary.</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16.5    SEB is entitled to provide and publish information regarding the Holders to the extent required by Nasdaq New York, Nasdaq Stockholm or any applicable marketplace or to the extent required pursuant to applicable rules and regulations in Sweden or in any other country.</w:t>
      </w:r>
    </w:p>
    <w:p>
      <w:pPr>
        <w:pStyle w:val="TextBody"/>
        <w:bidi w:val="0"/>
        <w:spacing w:lineRule="auto" w:line="288" w:before="0" w:after="180"/>
        <w:ind w:left="0" w:right="0" w:hanging="709"/>
        <w:jc w:val="both"/>
        <w:rPr/>
      </w:pPr>
      <w:r>
        <w:rPr>
          <w:rFonts w:ascii="Times New Roman;serif" w:hAnsi="Times New Roman;serif"/>
          <w:b w:val="false"/>
          <w:color w:val="000000"/>
          <w:sz w:val="20"/>
        </w:rPr>
        <w:t>17.    </w:t>
      </w:r>
      <w:r>
        <w:rPr>
          <w:rFonts w:ascii="Times New Roman;serif" w:hAnsi="Times New Roman;serif"/>
          <w:b w:val="false"/>
          <w:color w:val="000000"/>
          <w:sz w:val="20"/>
          <w:u w:val="single"/>
        </w:rPr>
        <w:t>Limitation of liability</w:t>
      </w:r>
    </w:p>
    <w:p>
      <w:pPr>
        <w:pStyle w:val="TextBody"/>
        <w:bidi w:val="0"/>
        <w:spacing w:lineRule="auto" w:line="288" w:before="0" w:after="180"/>
        <w:ind w:left="0" w:right="0" w:hanging="709"/>
        <w:jc w:val="both"/>
        <w:rPr/>
      </w:pPr>
      <w:r>
        <w:rPr>
          <w:rFonts w:ascii="Times New Roman;serif" w:hAnsi="Times New Roman;serif"/>
          <w:b w:val="false"/>
          <w:color w:val="000000"/>
          <w:sz w:val="20"/>
        </w:rPr>
        <w:t>17.1    Neither SEB, the Sub-Custodian nor the Company shall incur any liability to any Holder, ultimate owner or other person if by reason of any present or future laws, legal decrees or regulation of Sweden, Ireland, U.S. or any other country, by any Swedish or foreign governmental or regulatory authority, or stock exchange or securities marketplace, by any provision, present or future, of the memorandum and articles of association of the Company, or of the Shares or of the Share Entitlements, or by any act of war, strikes, blockades, boycotts, lockouts or other similar circumstances, SEB, the Sub-Custodian or the Company shall be prevented, delayed or forbidden from or subjected to any civil or criminal penalty or restraint on account of, or delayed in doing or performing any act or thing which by the terms of the SDR issuer agreement entered into by SEB and the Company (the “</w:t>
      </w:r>
      <w:r>
        <w:rPr>
          <w:rFonts w:ascii="Times New Roman;serif" w:hAnsi="Times New Roman;serif"/>
          <w:b/>
          <w:color w:val="000000"/>
          <w:sz w:val="20"/>
        </w:rPr>
        <w:t>SDR Issuer Agreement</w:t>
      </w:r>
      <w:r>
        <w:rPr>
          <w:color w:val="000000"/>
        </w:rPr>
        <w:t>”</w:t>
      </w:r>
      <w:r>
        <w:rPr>
          <w:rFonts w:ascii="Times New Roman;serif" w:hAnsi="Times New Roman;serif"/>
          <w:b w:val="false"/>
          <w:color w:val="000000"/>
          <w:sz w:val="20"/>
        </w:rPr>
        <w:t>) it is provided shall be done or performed; nor shall SEB, the Sub-Custodian nor the Company incur any liability to any Holder, ultimate owner or other person by reason of any non-performance or delay, caused as aforesaid, in performance of any act or thing that by the terms of the SDR Issuer Agreement it is provided shall or may be done or performed, or by reason of any exercise of, or failure to exercise, any discretion provided for in the SDR Issuer Agreement. The above limitation on liability with respect to strikes, blockades, boycotts and lockouts shall apply even if SEB, the Sub-Custodian or the Company undertakes, or is the object of, such actions.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17.2    In other cases than as set forth in Section 17.1, SEB, the Sub-Custodian or the Company shall not be liable for any damage where SEB, the Sub-Custodian or the Company have acted with normal care. SEB, the Sub-Custodian or the Company shall not be liable for any indirect or consequential loss or damage. </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17.3    Where any of SEB or the Sub-Custodian is prevented from effecting payment or other measures due to circumstances as set forth Section 17.1, such measure may be postponed until the impediment ceases.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17.4    Neither SEB, the Sub-Custodian, the Company nor Euroclear Sweden is responsible for losses or damages incurred to the Holders by reason of that any dividend, right, delivery of notice or other that the shareholders of the Company and/or holders of Shares or Share Entitlements are entitled to, of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technical, legal or other reasons beyond Euroclear Sweden’s control cannot be distributed or transferred to the Holders registered in the CSD Register.</w:t>
      </w:r>
    </w:p>
    <w:p>
      <w:pPr>
        <w:pStyle w:val="TextBody"/>
        <w:bidi w:val="0"/>
        <w:spacing w:lineRule="auto" w:line="288" w:before="0" w:after="180"/>
        <w:ind w:left="0" w:right="0" w:hanging="709"/>
        <w:jc w:val="both"/>
        <w:rPr/>
      </w:pPr>
      <w:r>
        <w:rPr>
          <w:rFonts w:ascii="Times New Roman;serif" w:hAnsi="Times New Roman;serif"/>
          <w:b w:val="false"/>
          <w:color w:val="000000"/>
          <w:sz w:val="20"/>
        </w:rPr>
        <w:t xml:space="preserve">17.5    As regards responsibility for damages regulated by the Swedish Central Securities Depositories and Financial Instruments Act (Sw. </w:t>
      </w:r>
      <w:r>
        <w:rPr>
          <w:rFonts w:ascii="Times New Roman;serif" w:hAnsi="Times New Roman;serif"/>
          <w:b w:val="false"/>
          <w:i/>
          <w:color w:val="000000"/>
          <w:sz w:val="20"/>
        </w:rPr>
        <w:t>lag (1998:1479) om värdepapperscentraler och kontoföring av finansiella instrument</w:t>
      </w:r>
      <w:r>
        <w:rPr>
          <w:rFonts w:ascii="Times New Roman;serif" w:hAnsi="Times New Roman;serif"/>
          <w:b w:val="false"/>
          <w:color w:val="000000"/>
          <w:sz w:val="20"/>
        </w:rPr>
        <w:t xml:space="preserve">), SEB and the Sub-Custodian may only be held liable for damage in accordance with said law. </w:t>
      </w:r>
    </w:p>
    <w:p>
      <w:pPr>
        <w:pStyle w:val="TextBody"/>
        <w:bidi w:val="0"/>
        <w:spacing w:lineRule="auto" w:line="288" w:before="0" w:after="180"/>
        <w:ind w:left="0" w:right="0" w:hanging="709"/>
        <w:jc w:val="both"/>
        <w:rPr/>
      </w:pPr>
      <w:r>
        <w:rPr>
          <w:rFonts w:ascii="Times New Roman;serif" w:hAnsi="Times New Roman;serif"/>
          <w:b w:val="false"/>
          <w:color w:val="000000"/>
          <w:sz w:val="20"/>
        </w:rPr>
        <w:t>18.    </w:t>
      </w:r>
      <w:r>
        <w:rPr>
          <w:rFonts w:ascii="Times New Roman;serif" w:hAnsi="Times New Roman;serif"/>
          <w:b w:val="false"/>
          <w:color w:val="000000"/>
          <w:sz w:val="20"/>
          <w:u w:val="single"/>
        </w:rPr>
        <w:t>Termination</w:t>
      </w:r>
    </w:p>
    <w:p>
      <w:pPr>
        <w:pStyle w:val="TextBody"/>
        <w:bidi w:val="0"/>
        <w:spacing w:lineRule="auto" w:line="288" w:before="0" w:after="180"/>
        <w:ind w:left="0" w:right="0" w:hanging="709"/>
        <w:jc w:val="both"/>
        <w:rPr/>
      </w:pPr>
      <w:r>
        <w:rPr>
          <w:rFonts w:ascii="Times New Roman;serif" w:hAnsi="Times New Roman;serif"/>
          <w:b w:val="false"/>
          <w:color w:val="000000"/>
          <w:sz w:val="20"/>
        </w:rPr>
        <w:t>18.1    The SDR program may be terminated by SEB with effect at the end of each yearly quarter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31 March, 30 June, 30 September and 31 December), whereby the rights and obligations of SEB and the Company shall continue to apply for a period of six (6) months thereafter. In addition, SEB is entitled to terminate the SDR program by notice of termination at the date fixed in such notice to the Holders pursuant to Section 12 above, where: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the Company adopts a corporate resolution to the effect that the Share Entitlements may no longer be represented by SDRs governed by these General Terms and Conditions;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    Euroclear Sweden terminates the Euroclear Agreement regarding registration of the SDRs;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the Company applies for reorganisation, bankruptcy, liquidation, or other similar procedure, or where such a procedure commences upon application by third parties;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    the Company has failed to fulfil payment of expenses and fees as per Section 13 above for more than thirty (30) calendar days;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    the SDR Issuer Agreement between the Company and SEB is terminated and a new custodian has not been retained as provided in Section 14 within six (6) months after termination; or</w:t>
      </w:r>
    </w:p>
    <w:p>
      <w:pPr>
        <w:pStyle w:val="TextBody"/>
        <w:bidi w:val="0"/>
        <w:spacing w:lineRule="auto" w:line="288" w:before="0" w:after="180"/>
        <w:ind w:left="0" w:right="0" w:hanging="360"/>
        <w:jc w:val="both"/>
        <w:rPr/>
      </w:pPr>
      <w:r>
        <w:rPr>
          <w:rFonts w:ascii="Times New Roman;serif" w:hAnsi="Times New Roman;serif"/>
          <w:b w:val="false"/>
          <w:color w:val="000000"/>
          <w:sz w:val="20"/>
        </w:rPr>
        <w:t xml:space="preserve">vi)    the Company otherwise materially breaches its obligations </w:t>
      </w:r>
      <w:r>
        <w:rPr>
          <w:rFonts w:ascii="Times New Roman;serif" w:hAnsi="Times New Roman;serif"/>
          <w:b w:val="false"/>
          <w:i/>
          <w:color w:val="000000"/>
          <w:sz w:val="20"/>
        </w:rPr>
        <w:t>vis-à-vis</w:t>
      </w:r>
      <w:r>
        <w:rPr>
          <w:color w:val="000000"/>
        </w:rPr>
        <w:t xml:space="preserve"> </w:t>
      </w:r>
      <w:r>
        <w:rPr>
          <w:rFonts w:ascii="Times New Roman;serif" w:hAnsi="Times New Roman;serif"/>
          <w:b w:val="false"/>
          <w:color w:val="000000"/>
          <w:sz w:val="20"/>
        </w:rPr>
        <w:t>SEB or the Holders.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18.2    In the event that SEB terminates the SDR program in accordance with Section 18.1, these General Terms and Conditions shall continue to apply up to the date decided by SEB, in consultation with the Company, provided it is practically possible, and as communicated in the notice of termination, provided however that in case the Company (i) resolves that all of the Share Entitlements shall no longer be represented by SDRs governed by these General Terms and Conditions, or (ii) resolves that the SDRs shall no longer be listed on a Swedish regulated market or traded on any equivalent market in Sweden, the SDRs, in accordance with an undertaking by the Company, will be listed or traded as applicable, for a period of three (3) months after the day when the notice of termination was sent to the Holders, if the SDRs have not been delisted on an earlier date on initiative by the Swedish regulated market or removed from trading on any equivalent market in Sweden, as applicable. Such notice of termination shall be sent by post to the Holders entitled to receive notices in accordance with Section 12, to their addresses as listed in the CSD Register.</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18.3    In cases other than those set forth in Section 18.1, SEB is entitled to terminate the SDR program through notification to the Holders, which notice shall take effect on the date agreed between SEB and the Company and be communicated in the notice of termination.</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 xml:space="preserve">18.4    In the notice of termination, SEB shall set forth the record date upon which SEB shall deregister all the SDRs in the CSD Register and transfer the Share Entitlements to a securities account as instructed by the Holder or as otherwise agreed with the Holder. In the event that (i) the Holder has not provided a transfer instruction with a designated securities account, (ii) SEB determines, in its sole discretion, that it is not practically possible to transfer the Share Entitlements in accordance with the transfer instruction provided by the Holder or (iii) an agreement has otherwise not been reached, SEB is entitled to sell the underlying Share Entitlements in accordance with the procedure and regulation set forth in Section 1.6. The Holder shall be entitled to the proceeds of the sale following deduction for taxes. The amount shall be paid after its conversion by SEB into SEK in accordance with the exchange rates applied by SEB from time to time, which shall be set in accordance with public market rates, to the cash account linked to the respective securities account of the Holder concerned, or in the absence of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such cash account, in the form of a payment notice. No interest shall accrue on the amount. The Company shall bear any fees and properly incurred costs relating to such sale of Share Entitlements.</w:t>
      </w:r>
    </w:p>
    <w:p>
      <w:pPr>
        <w:pStyle w:val="TextBody"/>
        <w:bidi w:val="0"/>
        <w:spacing w:lineRule="auto" w:line="288" w:before="0" w:after="180"/>
        <w:ind w:left="0" w:right="0" w:hanging="709"/>
        <w:jc w:val="both"/>
        <w:rPr/>
      </w:pPr>
      <w:r>
        <w:rPr>
          <w:rFonts w:ascii="Times New Roman;serif" w:hAnsi="Times New Roman;serif"/>
          <w:b w:val="false"/>
          <w:color w:val="000000"/>
          <w:sz w:val="20"/>
        </w:rPr>
        <w:t>19.    </w:t>
      </w:r>
      <w:r>
        <w:rPr>
          <w:rFonts w:ascii="Times New Roman;serif" w:hAnsi="Times New Roman;serif"/>
          <w:b w:val="false"/>
          <w:color w:val="000000"/>
          <w:sz w:val="20"/>
          <w:u w:val="single"/>
        </w:rPr>
        <w:t>Governing law and disputes</w:t>
      </w:r>
    </w:p>
    <w:p>
      <w:pPr>
        <w:pStyle w:val="TextBody"/>
        <w:bidi w:val="0"/>
        <w:spacing w:lineRule="auto" w:line="288" w:before="0" w:after="180"/>
        <w:ind w:left="0" w:right="0" w:hanging="709"/>
        <w:jc w:val="both"/>
        <w:rPr>
          <w:rFonts w:ascii="Times New Roman;serif" w:hAnsi="Times New Roman;serif"/>
          <w:b w:val="false"/>
          <w:color w:val="000000"/>
          <w:sz w:val="20"/>
        </w:rPr>
      </w:pPr>
      <w:r>
        <w:rPr>
          <w:rFonts w:ascii="Times New Roman;serif" w:hAnsi="Times New Roman;serif"/>
          <w:b w:val="false"/>
          <w:color w:val="000000"/>
          <w:sz w:val="20"/>
        </w:rPr>
        <w:t>19.1    These General Terms and Conditions shall be governed by and interpreted in accordance with Swedish law.</w:t>
      </w:r>
    </w:p>
    <w:p>
      <w:pPr>
        <w:pStyle w:val="TextBody"/>
        <w:bidi w:val="0"/>
        <w:spacing w:lineRule="auto" w:line="288" w:before="0" w:after="180"/>
        <w:ind w:left="0" w:right="0" w:hanging="709"/>
        <w:jc w:val="both"/>
        <w:rPr/>
      </w:pPr>
      <w:r>
        <w:rPr>
          <w:rFonts w:ascii="Times New Roman;serif" w:hAnsi="Times New Roman;serif"/>
          <w:b w:val="false"/>
          <w:color w:val="000000"/>
          <w:sz w:val="20"/>
        </w:rPr>
        <w:t xml:space="preserve">19.2    The Stockholm District Court (Sw. </w:t>
      </w:r>
      <w:r>
        <w:rPr>
          <w:rFonts w:ascii="Times New Roman;serif" w:hAnsi="Times New Roman;serif"/>
          <w:b w:val="false"/>
          <w:i/>
          <w:color w:val="000000"/>
          <w:sz w:val="20"/>
        </w:rPr>
        <w:t>Stockholms tingsrätt</w:t>
      </w:r>
      <w:r>
        <w:rPr>
          <w:rFonts w:ascii="Times New Roman;serif" w:hAnsi="Times New Roman;serif"/>
          <w:b w:val="false"/>
          <w:color w:val="000000"/>
          <w:sz w:val="20"/>
        </w:rPr>
        <w:t>), Sweden shall have exclusive jurisdiction to settle any disputes arising out of or in connection with these General Terms and Conditions.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5000"/>
        <w:jc w:val="center"/>
        <w:rPr/>
      </w:pPr>
      <w:r>
        <w:rPr/>
      </w:r>
    </w:p>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EMPLOYEE MATTERS AGREEMENT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BY AND BETWEEN</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HEXAGON AB</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OCTAVE INTELLIGENCE PLC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7702" w:type="dxa"/>
        <w:jc w:val="left"/>
        <w:tblInd w:w="0" w:type="dxa"/>
        <w:tblLayout w:type="fixed"/>
        <w:tblCellMar>
          <w:top w:w="28" w:type="dxa"/>
          <w:left w:w="28" w:type="dxa"/>
          <w:bottom w:w="28" w:type="dxa"/>
          <w:right w:w="28" w:type="dxa"/>
        </w:tblCellMar>
      </w:tblPr>
      <w:tblGrid>
        <w:gridCol w:w="265"/>
        <w:gridCol w:w="233"/>
        <w:gridCol w:w="233"/>
        <w:gridCol w:w="339"/>
        <w:gridCol w:w="339"/>
        <w:gridCol w:w="341"/>
        <w:gridCol w:w="1830"/>
        <w:gridCol w:w="1830"/>
        <w:gridCol w:w="1920"/>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Article I 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1.1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Certain 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1.2</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References; Interpretation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Article II GENERAL PRINCIPLES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2.1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Nature of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2.2</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Transfers of Employees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2.3</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Assumption and Retention of Liabilities Generally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2.4</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Participation in Parent Benefit Arrangements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2.5</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Service Recognition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2.6</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Spinco Labor Agreements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2.7</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Labor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2.8</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WARN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Article III U.S. QUALIFIED DEFINED CONTRIBUTION PLANS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3.1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Parent 401(k) 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3.2</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Spinco 401(k) 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Article IV CERTAIN BENEFIT PLAN PROVISIONS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4.1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Health and Welfare Benefit Plans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4.2</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Non-U.S. Plans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4.3</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Chargeback of Certain Costs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Article V EQUITY INCENTIVE AWARDS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5.1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Treatment of Parent PSU Awards Held by Parent Group Employees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5.2</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Treatment of Parent PSU Awards Held by Spinco Group Employees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5.3</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Spinco Long-Term Incentive 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5.4</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Terms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Article VI ADDITIONAL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6.1</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Incentive Programs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6.2</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Individual Arrangements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6.3</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Transfers of Independent Contractors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6.4</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Severance Pay Plans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7868" w:type="dxa"/>
        <w:jc w:val="left"/>
        <w:tblInd w:w="0" w:type="dxa"/>
        <w:tblLayout w:type="fixed"/>
        <w:tblCellMar>
          <w:top w:w="28" w:type="dxa"/>
          <w:left w:w="28" w:type="dxa"/>
          <w:bottom w:w="28" w:type="dxa"/>
          <w:right w:w="28" w:type="dxa"/>
        </w:tblCellMar>
      </w:tblPr>
      <w:tblGrid>
        <w:gridCol w:w="124"/>
        <w:gridCol w:w="109"/>
        <w:gridCol w:w="109"/>
        <w:gridCol w:w="374"/>
        <w:gridCol w:w="374"/>
        <w:gridCol w:w="376"/>
        <w:gridCol w:w="2008"/>
        <w:gridCol w:w="2008"/>
        <w:gridCol w:w="20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6.5</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Time-Off Benefits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6.6</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Workers’ Compensation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6.7</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COBRA and HIPAA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6.8</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Code Section 409A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6.9</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Payroll Taxes and Reporting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6.10</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Certain Requirements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Article VII GENERAL AND ADMINISTRATIVE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7.1</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Employer Rights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7.2</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 on Employment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7.3</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Consent of Third Parties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7.4</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Access to Employees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7.5</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Beneficiary Designation/Release of Information/Right to Reimbursement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7.6</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 Third Party Beneficiaries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7.7</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 Acceleration of Benefits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7.8</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Employee Benefits Administration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Article VIII MISCELLANEOUS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Entire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8.2</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Counterparts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8.3</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Survival of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8.4</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Dispute Resolution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8.5</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Notices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8.6</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Waivers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8.7</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Assignment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8.8</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Successors and Assigns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8.9</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Specific Performance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8.10</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WAIVER OF JURY TRIAL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8.11</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Termination and Amendment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8.12</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Subsidiaries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8.13</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Headings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8.14</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Governing Law; Submission to Jurisdiction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8.15</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Severability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5003" w:type="dxa"/>
        <w:jc w:val="left"/>
        <w:tblInd w:w="0" w:type="dxa"/>
        <w:tblLayout w:type="fixed"/>
        <w:tblCellMar>
          <w:top w:w="28" w:type="dxa"/>
          <w:left w:w="28" w:type="dxa"/>
          <w:bottom w:w="28" w:type="dxa"/>
          <w:right w:w="28" w:type="dxa"/>
        </w:tblCellMar>
      </w:tblPr>
      <w:tblGrid>
        <w:gridCol w:w="124"/>
        <w:gridCol w:w="109"/>
        <w:gridCol w:w="109"/>
        <w:gridCol w:w="374"/>
        <w:gridCol w:w="374"/>
        <w:gridCol w:w="376"/>
        <w:gridCol w:w="1054"/>
        <w:gridCol w:w="1054"/>
        <w:gridCol w:w="10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8.16</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Interpretation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8.17</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 Duplication; No Double Recovery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8.18</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 Waiver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Section 8.19</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 Admission of Liability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EMPLOYEE MATTERS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This EMPLOYEE MATTERS AGREEMENT, dated as of [    ], 2026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by and between Hexagon AB, a Swedish corporation (“</w:t>
      </w:r>
      <w:r>
        <w:rPr>
          <w:rFonts w:ascii="Times New Roman;serif" w:hAnsi="Times New Roman;serif"/>
          <w:b w:val="false"/>
          <w:color w:val="000000"/>
          <w:sz w:val="20"/>
          <w:u w:val="single"/>
        </w:rPr>
        <w:t>Parent</w:t>
      </w:r>
      <w:r>
        <w:rPr>
          <w:color w:val="000000"/>
        </w:rPr>
        <w:t>”</w:t>
      </w:r>
      <w:r>
        <w:rPr>
          <w:rFonts w:ascii="Times New Roman;serif" w:hAnsi="Times New Roman;serif"/>
          <w:b w:val="false"/>
          <w:color w:val="000000"/>
          <w:sz w:val="20"/>
        </w:rPr>
        <w:t>) and Octave Intelligence plc, an Irish public limited company (“</w:t>
      </w:r>
      <w:r>
        <w:rPr>
          <w:rFonts w:ascii="Times New Roman;serif" w:hAnsi="Times New Roman;serif"/>
          <w:b w:val="false"/>
          <w:color w:val="000000"/>
          <w:sz w:val="20"/>
          <w:u w:val="single"/>
        </w:rPr>
        <w:t>Spinco</w:t>
      </w:r>
      <w:r>
        <w:rPr>
          <w:color w:val="000000"/>
        </w:rPr>
        <w:t>”</w:t>
      </w:r>
      <w:r>
        <w:rPr>
          <w:rFonts w:ascii="Times New Roman;serif" w:hAnsi="Times New Roman;serif"/>
          <w:b w:val="false"/>
          <w:color w:val="000000"/>
          <w:sz w:val="20"/>
        </w:rPr>
        <w:t>). Each of Parent and Spinco is sometimes referred to herein as a “</w:t>
      </w:r>
      <w:r>
        <w:rPr>
          <w:rFonts w:ascii="Times New Roman;serif" w:hAnsi="Times New Roman;serif"/>
          <w:b w:val="false"/>
          <w:color w:val="000000"/>
          <w:sz w:val="20"/>
          <w:u w:val="single"/>
        </w:rPr>
        <w:t>Party</w:t>
      </w:r>
      <w:r>
        <w:rPr>
          <w:color w:val="000000"/>
        </w:rPr>
        <w:t xml:space="preserve">” </w:t>
      </w:r>
      <w:r>
        <w:rPr>
          <w:rFonts w:ascii="Times New Roman;serif" w:hAnsi="Times New Roman;serif"/>
          <w:b w:val="false"/>
          <w:color w:val="000000"/>
          <w:sz w:val="20"/>
        </w:rPr>
        <w:t>and collectively, as the “</w:t>
      </w:r>
      <w:r>
        <w:rPr>
          <w:rFonts w:ascii="Times New Roman;serif" w:hAnsi="Times New Roman;serif"/>
          <w:b w:val="false"/>
          <w:color w:val="000000"/>
          <w:sz w:val="20"/>
          <w:u w:val="single"/>
        </w:rPr>
        <w:t>Parties</w:t>
      </w:r>
      <w:r>
        <w:rPr>
          <w:rFonts w:ascii="Times New Roman;serif" w:hAnsi="Times New Roman;serif"/>
          <w:b w:val="false"/>
          <w:color w:val="000000"/>
          <w:sz w:val="20"/>
        </w:rPr>
        <w:t>.” Capitalized terms that are used but not otherwise defined herein shall have the meaning set forth in the Distribution Agreement.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WITNESSETH: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Parent, acting through itself and its direct and indirect Subsidiaries, currently conducts the Spinco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Spinco is a wholly-owned, direct Subsidiary of Parent;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Parent intends to separate the Spinco Business from the Parent Business subject to the conditions set forth in the Distribution Agreement, dated as of the date hereof, by and between Parent and Spinco (the “</w:t>
      </w:r>
      <w:r>
        <w:rPr>
          <w:rFonts w:ascii="Times New Roman;serif" w:hAnsi="Times New Roman;serif"/>
          <w:b w:val="false"/>
          <w:color w:val="000000"/>
          <w:sz w:val="20"/>
          <w:u w:val="single"/>
        </w:rPr>
        <w:t>Distribution Agreement</w:t>
      </w:r>
      <w:r>
        <w:rPr>
          <w:color w:val="000000"/>
        </w:rPr>
        <w:t>”</w:t>
      </w:r>
      <w:r>
        <w:rPr>
          <w:rFonts w:ascii="Times New Roman;serif" w:hAnsi="Times New Roman;serif"/>
          <w:b w:val="false"/>
          <w:color w:val="000000"/>
          <w:sz w:val="20"/>
        </w:rPr>
        <w:t>) and the other documents related to the Distribution (as defined in the Distribution Agreement);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in connection with the Distribution, the Parties wish to enter into this Agreement in respect of certain employee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NOW, THEREFORE, in consideration of the mutual agreements, provisions and covenants contained herein, and for other good and valuable consideration, the receipt and sufficiency of which are hereby acknowledged, the Parties, intending to be legally bound hereby, agree as follows: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lineRule="auto" w:line="288" w:before="0" w:after="240"/>
        <w:ind w:left="0" w:right="0" w:firstLine="1440"/>
        <w:jc w:val="both"/>
        <w:rPr/>
      </w:pPr>
      <w:r>
        <w:rPr>
          <w:rFonts w:ascii="Times New Roman;serif" w:hAnsi="Times New Roman;serif"/>
          <w:b w:val="false"/>
          <w:color w:val="000000"/>
          <w:sz w:val="20"/>
        </w:rPr>
        <w:t>Section 1.1    </w:t>
      </w:r>
      <w:r>
        <w:rPr>
          <w:rFonts w:ascii="Times New Roman;serif" w:hAnsi="Times New Roman;serif"/>
          <w:b w:val="false"/>
          <w:color w:val="000000"/>
          <w:sz w:val="20"/>
          <w:u w:val="single"/>
        </w:rPr>
        <w:t>Certain Definitions</w:t>
      </w:r>
      <w:r>
        <w:rPr>
          <w:rFonts w:ascii="Times New Roman;serif" w:hAnsi="Times New Roman;serif"/>
          <w:b w:val="false"/>
          <w:color w:val="000000"/>
          <w:sz w:val="20"/>
        </w:rPr>
        <w:t>. For purposes of this Agreement, the following terms shall have the meanings specified in this Section 1.1:</w:t>
      </w:r>
    </w:p>
    <w:p>
      <w:pPr>
        <w:pStyle w:val="TextBody"/>
        <w:bidi w:val="0"/>
        <w:spacing w:lineRule="auto" w:line="288" w:before="0" w:after="240"/>
        <w:ind w:left="0" w:right="0" w:firstLine="1440"/>
        <w:jc w:val="left"/>
        <w:rPr/>
      </w:pPr>
      <w:r>
        <w:rPr>
          <w:rFonts w:ascii="Times New Roman;serif" w:hAnsi="Times New Roman;serif"/>
          <w:b w:val="false"/>
          <w:color w:val="000000"/>
          <w:sz w:val="20"/>
        </w:rPr>
        <w:t>(1)    “</w:t>
      </w:r>
      <w:r>
        <w:rPr>
          <w:rFonts w:ascii="Times New Roman;serif" w:hAnsi="Times New Roman;serif"/>
          <w:b w:val="false"/>
          <w:color w:val="000000"/>
          <w:sz w:val="20"/>
          <w:u w:val="single"/>
        </w:rPr>
        <w:t>Adjusted Parent PSU Award</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Section 5.1</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(2)    “</w:t>
      </w:r>
      <w:r>
        <w:rPr>
          <w:rFonts w:ascii="Times New Roman;serif" w:hAnsi="Times New Roman;serif"/>
          <w:b w:val="false"/>
          <w:color w:val="000000"/>
          <w:sz w:val="20"/>
          <w:u w:val="single"/>
        </w:rPr>
        <w:t>Adjusted Spinco PSU Award</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Section 5.2</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(3)    “</w:t>
      </w:r>
      <w:r>
        <w:rPr>
          <w:rFonts w:ascii="Times New Roman;serif" w:hAnsi="Times New Roman;serif"/>
          <w:b w:val="false"/>
          <w:color w:val="000000"/>
          <w:sz w:val="20"/>
          <w:u w:val="single"/>
        </w:rPr>
        <w:t>Agreement</w:t>
      </w:r>
      <w:r>
        <w:rPr>
          <w:color w:val="000000"/>
        </w:rPr>
        <w:t xml:space="preserve">” </w:t>
      </w:r>
      <w:r>
        <w:rPr>
          <w:rFonts w:ascii="Times New Roman;serif" w:hAnsi="Times New Roman;serif"/>
          <w:b w:val="false"/>
          <w:color w:val="000000"/>
          <w:sz w:val="20"/>
        </w:rPr>
        <w:t>has the meaning set forth in the Preamble.</w:t>
      </w:r>
    </w:p>
    <w:p>
      <w:pPr>
        <w:pStyle w:val="TextBody"/>
        <w:bidi w:val="0"/>
        <w:spacing w:lineRule="auto" w:line="288" w:before="0" w:after="240"/>
        <w:ind w:left="0" w:right="0" w:firstLine="1440"/>
        <w:jc w:val="left"/>
        <w:rPr/>
      </w:pPr>
      <w:r>
        <w:rPr>
          <w:rFonts w:ascii="Times New Roman;serif" w:hAnsi="Times New Roman;serif"/>
          <w:b w:val="false"/>
          <w:color w:val="000000"/>
          <w:sz w:val="20"/>
        </w:rPr>
        <w:t>(4)    “</w:t>
      </w:r>
      <w:r>
        <w:rPr>
          <w:rFonts w:ascii="Times New Roman;serif" w:hAnsi="Times New Roman;serif"/>
          <w:b w:val="false"/>
          <w:color w:val="000000"/>
          <w:sz w:val="20"/>
          <w:u w:val="single"/>
        </w:rPr>
        <w:t>Benefit Arrangement</w:t>
      </w:r>
      <w:r>
        <w:rPr>
          <w:color w:val="000000"/>
        </w:rPr>
        <w:t xml:space="preserve">” </w:t>
      </w:r>
      <w:r>
        <w:rPr>
          <w:rFonts w:ascii="Times New Roman;serif" w:hAnsi="Times New Roman;serif"/>
          <w:b w:val="false"/>
          <w:color w:val="000000"/>
          <w:sz w:val="20"/>
        </w:rPr>
        <w:t>means each Benefit Plan and Benefit Policy.</w:t>
      </w:r>
    </w:p>
    <w:p>
      <w:pPr>
        <w:pStyle w:val="TextBody"/>
        <w:bidi w:val="0"/>
        <w:spacing w:lineRule="auto" w:line="288" w:before="0" w:after="240"/>
        <w:ind w:left="0" w:right="0" w:firstLine="1440"/>
        <w:jc w:val="left"/>
        <w:rPr/>
      </w:pPr>
      <w:r>
        <w:rPr>
          <w:rFonts w:ascii="Times New Roman;serif" w:hAnsi="Times New Roman;serif"/>
          <w:b w:val="false"/>
          <w:color w:val="000000"/>
          <w:sz w:val="20"/>
        </w:rPr>
        <w:t>(5)    “</w:t>
      </w:r>
      <w:r>
        <w:rPr>
          <w:rFonts w:ascii="Times New Roman;serif" w:hAnsi="Times New Roman;serif"/>
          <w:b w:val="false"/>
          <w:color w:val="000000"/>
          <w:sz w:val="20"/>
          <w:u w:val="single"/>
        </w:rPr>
        <w:t>Benefit Plan</w:t>
      </w:r>
      <w:r>
        <w:rPr>
          <w:color w:val="000000"/>
        </w:rPr>
        <w:t xml:space="preserve">” </w:t>
      </w:r>
      <w:r>
        <w:rPr>
          <w:rFonts w:ascii="Times New Roman;serif" w:hAnsi="Times New Roman;serif"/>
          <w:b w:val="false"/>
          <w:color w:val="000000"/>
          <w:sz w:val="20"/>
        </w:rPr>
        <w:t>means, with respect to an entity, each compensation or employee benefit plan, program, policy, agreement or other arrangement, whether or not “employee benefit plans” (within the meaning of Section 3(3) of ERISA, whether or not subject to ERISA), including any benefit plan, program, policy, agreement or arrangement providing cash- or equity-based compensation or incentives, health, medical, dental, vision, disability, accident or life insurance benefits, severance, retention, change in control, termination, deferred compensation, individual employment or consulting, retirement, pension or savings benefits, supplemental income, retiree benefit or other fringe benefit (whether or not taxable), that are sponsored or maintained by such entity (or to which such entity contributes or is required to contribute or in which it participates), and excluding workers’ compensation plans, policies, programs and arrangements.</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0"/>
        </w:rPr>
        <w:t>(6)    “</w:t>
      </w:r>
      <w:r>
        <w:rPr>
          <w:rFonts w:ascii="Times New Roman;serif" w:hAnsi="Times New Roman;serif"/>
          <w:b w:val="false"/>
          <w:color w:val="000000"/>
          <w:sz w:val="20"/>
          <w:u w:val="single"/>
        </w:rPr>
        <w:t>Benefit Policy</w:t>
      </w:r>
      <w:r>
        <w:rPr>
          <w:color w:val="000000"/>
        </w:rPr>
        <w:t xml:space="preserve">” </w:t>
      </w:r>
      <w:r>
        <w:rPr>
          <w:rFonts w:ascii="Times New Roman;serif" w:hAnsi="Times New Roman;serif"/>
          <w:b w:val="false"/>
          <w:color w:val="000000"/>
          <w:sz w:val="20"/>
        </w:rPr>
        <w:t>means, with respect to an entity, each plan, program, arrangement, agreement or commitment that is a vacation pay or other paid or unpaid leave policy or practice sponsored or maintained by such entity (or to which such entity contributes or is required to contribute) or in which it participates.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(7)    “</w:t>
      </w:r>
      <w:r>
        <w:rPr>
          <w:rFonts w:ascii="Times New Roman;serif" w:hAnsi="Times New Roman;serif"/>
          <w:b w:val="false"/>
          <w:color w:val="000000"/>
          <w:sz w:val="20"/>
          <w:u w:val="single"/>
        </w:rPr>
        <w:t>COBRA</w:t>
      </w:r>
      <w:r>
        <w:rPr>
          <w:color w:val="000000"/>
        </w:rPr>
        <w:t xml:space="preserve">” </w:t>
      </w:r>
      <w:r>
        <w:rPr>
          <w:rFonts w:ascii="Times New Roman;serif" w:hAnsi="Times New Roman;serif"/>
          <w:b w:val="false"/>
          <w:color w:val="000000"/>
          <w:sz w:val="20"/>
        </w:rPr>
        <w:t>means the continuation coverage requirements for “group health plans” under Title X of the Consolidated Omnibus Budget Reconciliation Act of 1985, as amended, and as codified in Section 4980B of the Code and Sections 601 through 608 of ERISA.</w:t>
      </w:r>
    </w:p>
    <w:p>
      <w:pPr>
        <w:pStyle w:val="TextBody"/>
        <w:bidi w:val="0"/>
        <w:spacing w:lineRule="auto" w:line="288" w:before="0" w:after="240"/>
        <w:ind w:left="0" w:right="0" w:firstLine="1440"/>
        <w:jc w:val="left"/>
        <w:rPr/>
      </w:pPr>
      <w:r>
        <w:rPr>
          <w:rFonts w:ascii="Times New Roman;serif" w:hAnsi="Times New Roman;serif"/>
          <w:b w:val="false"/>
          <w:color w:val="000000"/>
          <w:sz w:val="20"/>
        </w:rPr>
        <w:t>(8)    “</w:t>
      </w:r>
      <w:r>
        <w:rPr>
          <w:rFonts w:ascii="Times New Roman;serif" w:hAnsi="Times New Roman;serif"/>
          <w:b w:val="false"/>
          <w:color w:val="000000"/>
          <w:sz w:val="20"/>
          <w:u w:val="single"/>
        </w:rPr>
        <w:t>Distribution Agreement</w:t>
      </w:r>
      <w:r>
        <w:rPr>
          <w:color w:val="000000"/>
        </w:rPr>
        <w:t xml:space="preserve">” </w:t>
      </w:r>
      <w:r>
        <w:rPr>
          <w:rFonts w:ascii="Times New Roman;serif" w:hAnsi="Times New Roman;serif"/>
          <w:b w:val="false"/>
          <w:color w:val="000000"/>
          <w:sz w:val="20"/>
        </w:rPr>
        <w:t>has the meaning set forth in the Recitals.</w:t>
      </w:r>
    </w:p>
    <w:p>
      <w:pPr>
        <w:pStyle w:val="TextBody"/>
        <w:bidi w:val="0"/>
        <w:spacing w:lineRule="auto" w:line="288" w:before="0" w:after="240"/>
        <w:ind w:left="0" w:right="0" w:firstLine="1440"/>
        <w:jc w:val="left"/>
        <w:rPr/>
      </w:pPr>
      <w:r>
        <w:rPr>
          <w:rFonts w:ascii="Times New Roman;serif" w:hAnsi="Times New Roman;serif"/>
          <w:b w:val="false"/>
          <w:color w:val="000000"/>
          <w:sz w:val="20"/>
        </w:rPr>
        <w:t>(9)    “</w:t>
      </w:r>
      <w:r>
        <w:rPr>
          <w:rFonts w:ascii="Times New Roman;serif" w:hAnsi="Times New Roman;serif"/>
          <w:b w:val="false"/>
          <w:color w:val="000000"/>
          <w:sz w:val="20"/>
          <w:u w:val="single"/>
        </w:rPr>
        <w:t>Employee Representative Body</w:t>
      </w:r>
      <w:r>
        <w:rPr>
          <w:color w:val="000000"/>
        </w:rPr>
        <w:t xml:space="preserve">” </w:t>
      </w:r>
      <w:r>
        <w:rPr>
          <w:rFonts w:ascii="Times New Roman;serif" w:hAnsi="Times New Roman;serif"/>
          <w:b w:val="false"/>
          <w:color w:val="000000"/>
          <w:sz w:val="20"/>
        </w:rPr>
        <w:t>means any works council, employee representative, labor union, trade union, labor or management organization, labor board, group of employees, or any similar representative or employee representative body certified or otherwise recognized for the purposes of bargaining collectively or established for the purposes of notification of or consultation on behalf of any employees.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(10)    “</w:t>
      </w:r>
      <w:r>
        <w:rPr>
          <w:rFonts w:ascii="Times New Roman;serif" w:hAnsi="Times New Roman;serif"/>
          <w:b w:val="false"/>
          <w:color w:val="000000"/>
          <w:sz w:val="20"/>
          <w:u w:val="single"/>
        </w:rPr>
        <w:t>ERISA</w:t>
      </w:r>
      <w:r>
        <w:rPr>
          <w:color w:val="000000"/>
        </w:rPr>
        <w:t xml:space="preserve">” </w:t>
      </w:r>
      <w:r>
        <w:rPr>
          <w:rFonts w:ascii="Times New Roman;serif" w:hAnsi="Times New Roman;serif"/>
          <w:b w:val="false"/>
          <w:color w:val="000000"/>
          <w:sz w:val="20"/>
        </w:rPr>
        <w:t>means the Employee Retirement Income Security Act of 1974, as amended.</w:t>
      </w:r>
    </w:p>
    <w:p>
      <w:pPr>
        <w:pStyle w:val="TextBody"/>
        <w:bidi w:val="0"/>
        <w:spacing w:lineRule="auto" w:line="288" w:before="0" w:after="240"/>
        <w:ind w:left="0" w:right="0" w:firstLine="1440"/>
        <w:jc w:val="left"/>
        <w:rPr/>
      </w:pPr>
      <w:r>
        <w:rPr>
          <w:rFonts w:ascii="Times New Roman;serif" w:hAnsi="Times New Roman;serif"/>
          <w:b w:val="false"/>
          <w:color w:val="000000"/>
          <w:sz w:val="20"/>
        </w:rPr>
        <w:t>(11)    “</w:t>
      </w:r>
      <w:r>
        <w:rPr>
          <w:rFonts w:ascii="Times New Roman;serif" w:hAnsi="Times New Roman;serif"/>
          <w:b w:val="false"/>
          <w:color w:val="000000"/>
          <w:sz w:val="20"/>
          <w:u w:val="single"/>
        </w:rPr>
        <w:t>Former Parent Service Provider</w:t>
      </w:r>
      <w:r>
        <w:rPr>
          <w:color w:val="000000"/>
        </w:rPr>
        <w:t xml:space="preserve">” </w:t>
      </w:r>
      <w:r>
        <w:rPr>
          <w:rFonts w:ascii="Times New Roman;serif" w:hAnsi="Times New Roman;serif"/>
          <w:b w:val="false"/>
          <w:color w:val="000000"/>
          <w:sz w:val="20"/>
        </w:rPr>
        <w:t>means any former employee, independent contractor or consultant of Parent or any of its Subsidiaries or Affiliates who is not a Former Spinco Service Provider.</w:t>
      </w:r>
    </w:p>
    <w:p>
      <w:pPr>
        <w:pStyle w:val="TextBody"/>
        <w:bidi w:val="0"/>
        <w:spacing w:lineRule="auto" w:line="288" w:before="0" w:after="240"/>
        <w:ind w:left="0" w:right="0" w:firstLine="1440"/>
        <w:jc w:val="left"/>
        <w:rPr/>
      </w:pPr>
      <w:r>
        <w:rPr>
          <w:rFonts w:ascii="Times New Roman;serif" w:hAnsi="Times New Roman;serif"/>
          <w:b w:val="false"/>
          <w:color w:val="000000"/>
          <w:sz w:val="20"/>
        </w:rPr>
        <w:t>(12)    “</w:t>
      </w:r>
      <w:r>
        <w:rPr>
          <w:rFonts w:ascii="Times New Roman;serif" w:hAnsi="Times New Roman;serif"/>
          <w:b w:val="false"/>
          <w:color w:val="000000"/>
          <w:sz w:val="20"/>
          <w:u w:val="single"/>
        </w:rPr>
        <w:t>Former Spinco Service Provider</w:t>
      </w:r>
      <w:r>
        <w:rPr>
          <w:color w:val="000000"/>
        </w:rPr>
        <w:t xml:space="preserve">” </w:t>
      </w:r>
      <w:r>
        <w:rPr>
          <w:rFonts w:ascii="Times New Roman;serif" w:hAnsi="Times New Roman;serif"/>
          <w:b w:val="false"/>
          <w:color w:val="000000"/>
          <w:sz w:val="20"/>
        </w:rPr>
        <w:t>means any individual who would qualify as a Spinco Group Employee, but whose employment or service with Parent or any of its Subsidiaries or Affiliates terminated for any reason prior to the Distribution Time.</w:t>
      </w:r>
    </w:p>
    <w:p>
      <w:pPr>
        <w:pStyle w:val="TextBody"/>
        <w:bidi w:val="0"/>
        <w:spacing w:lineRule="auto" w:line="288" w:before="0" w:after="240"/>
        <w:ind w:left="0" w:right="0" w:firstLine="1440"/>
        <w:jc w:val="left"/>
        <w:rPr/>
      </w:pPr>
      <w:r>
        <w:rPr>
          <w:rFonts w:ascii="Times New Roman;serif" w:hAnsi="Times New Roman;serif"/>
          <w:b w:val="false"/>
          <w:color w:val="000000"/>
          <w:sz w:val="20"/>
        </w:rPr>
        <w:t>(13)    “</w:t>
      </w:r>
      <w:r>
        <w:rPr>
          <w:rFonts w:ascii="Times New Roman;serif" w:hAnsi="Times New Roman;serif"/>
          <w:b w:val="false"/>
          <w:color w:val="000000"/>
          <w:sz w:val="20"/>
          <w:u w:val="single"/>
        </w:rPr>
        <w:t>HIPAA</w:t>
      </w:r>
      <w:r>
        <w:rPr>
          <w:color w:val="000000"/>
        </w:rPr>
        <w:t xml:space="preserve">” </w:t>
      </w:r>
      <w:r>
        <w:rPr>
          <w:rFonts w:ascii="Times New Roman;serif" w:hAnsi="Times New Roman;serif"/>
          <w:b w:val="false"/>
          <w:color w:val="000000"/>
          <w:sz w:val="20"/>
        </w:rPr>
        <w:t>means the Health Insurance Portability and Accountability Act of 1996, as amended.</w:t>
      </w:r>
    </w:p>
    <w:p>
      <w:pPr>
        <w:pStyle w:val="TextBody"/>
        <w:bidi w:val="0"/>
        <w:spacing w:lineRule="auto" w:line="288" w:before="0" w:after="240"/>
        <w:ind w:left="0" w:right="0" w:firstLine="1440"/>
        <w:jc w:val="left"/>
        <w:rPr/>
      </w:pPr>
      <w:r>
        <w:rPr>
          <w:rFonts w:ascii="Times New Roman;serif" w:hAnsi="Times New Roman;serif"/>
          <w:b w:val="false"/>
          <w:color w:val="000000"/>
          <w:sz w:val="20"/>
        </w:rPr>
        <w:t>(14)    “</w:t>
      </w:r>
      <w:r>
        <w:rPr>
          <w:rFonts w:ascii="Times New Roman;serif" w:hAnsi="Times New Roman;serif"/>
          <w:b w:val="false"/>
          <w:color w:val="000000"/>
          <w:sz w:val="20"/>
          <w:u w:val="single"/>
        </w:rPr>
        <w:t>Non-U.S. Plans</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Section 4.2</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(15)    “</w:t>
      </w:r>
      <w:r>
        <w:rPr>
          <w:rFonts w:ascii="Times New Roman;serif" w:hAnsi="Times New Roman;serif"/>
          <w:b w:val="false"/>
          <w:color w:val="000000"/>
          <w:sz w:val="20"/>
          <w:u w:val="single"/>
        </w:rPr>
        <w:t>Open Incentive Obligations</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Section 6.1</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(16)    “</w:t>
      </w:r>
      <w:r>
        <w:rPr>
          <w:rFonts w:ascii="Times New Roman;serif" w:hAnsi="Times New Roman;serif"/>
          <w:b w:val="false"/>
          <w:color w:val="000000"/>
          <w:sz w:val="20"/>
          <w:u w:val="single"/>
        </w:rPr>
        <w:t>Parent</w:t>
      </w:r>
      <w:r>
        <w:rPr>
          <w:color w:val="000000"/>
        </w:rPr>
        <w:t xml:space="preserve">” </w:t>
      </w:r>
      <w:r>
        <w:rPr>
          <w:rFonts w:ascii="Times New Roman;serif" w:hAnsi="Times New Roman;serif"/>
          <w:b w:val="false"/>
          <w:color w:val="000000"/>
          <w:sz w:val="20"/>
        </w:rPr>
        <w:t>has the meaning set forth in the Preamble.</w:t>
      </w:r>
    </w:p>
    <w:p>
      <w:pPr>
        <w:pStyle w:val="TextBody"/>
        <w:bidi w:val="0"/>
        <w:spacing w:lineRule="auto" w:line="288" w:before="0" w:after="240"/>
        <w:ind w:left="0" w:right="0" w:firstLine="1440"/>
        <w:jc w:val="left"/>
        <w:rPr/>
      </w:pPr>
      <w:r>
        <w:rPr>
          <w:rFonts w:ascii="Times New Roman;serif" w:hAnsi="Times New Roman;serif"/>
          <w:b w:val="false"/>
          <w:color w:val="000000"/>
          <w:sz w:val="20"/>
        </w:rPr>
        <w:t>(17)    “</w:t>
      </w:r>
      <w:r>
        <w:rPr>
          <w:rFonts w:ascii="Times New Roman;serif" w:hAnsi="Times New Roman;serif"/>
          <w:b w:val="false"/>
          <w:color w:val="000000"/>
          <w:sz w:val="20"/>
          <w:u w:val="single"/>
        </w:rPr>
        <w:t>Parent Benefit Arrangement</w:t>
      </w:r>
      <w:r>
        <w:rPr>
          <w:color w:val="000000"/>
        </w:rPr>
        <w:t xml:space="preserve">” </w:t>
      </w:r>
      <w:r>
        <w:rPr>
          <w:rFonts w:ascii="Times New Roman;serif" w:hAnsi="Times New Roman;serif"/>
          <w:b w:val="false"/>
          <w:color w:val="000000"/>
          <w:sz w:val="20"/>
        </w:rPr>
        <w:t>means any Benefit Arrangement sponsored, maintained or contributed to by any member of the Parent Group.</w:t>
      </w:r>
    </w:p>
    <w:p>
      <w:pPr>
        <w:pStyle w:val="TextBody"/>
        <w:bidi w:val="0"/>
        <w:spacing w:lineRule="auto" w:line="288" w:before="0" w:after="240"/>
        <w:ind w:left="0" w:right="0" w:firstLine="1440"/>
        <w:jc w:val="left"/>
        <w:rPr/>
      </w:pPr>
      <w:r>
        <w:rPr>
          <w:rFonts w:ascii="Times New Roman;serif" w:hAnsi="Times New Roman;serif"/>
          <w:b w:val="false"/>
          <w:color w:val="000000"/>
          <w:sz w:val="20"/>
        </w:rPr>
        <w:t>(18)    “</w:t>
      </w:r>
      <w:r>
        <w:rPr>
          <w:rFonts w:ascii="Times New Roman;serif" w:hAnsi="Times New Roman;serif"/>
          <w:b w:val="false"/>
          <w:color w:val="000000"/>
          <w:sz w:val="20"/>
          <w:u w:val="single"/>
        </w:rPr>
        <w:t>Parent Group</w:t>
      </w:r>
      <w:r>
        <w:rPr>
          <w:color w:val="000000"/>
        </w:rPr>
        <w:t xml:space="preserve">” </w:t>
      </w:r>
      <w:r>
        <w:rPr>
          <w:rFonts w:ascii="Times New Roman;serif" w:hAnsi="Times New Roman;serif"/>
          <w:b w:val="false"/>
          <w:color w:val="000000"/>
          <w:sz w:val="20"/>
        </w:rPr>
        <w:t>means Parent and each Person (other than any member of the Spinco Group) that is a direct or indirect Subsidiary of Parent immediately after the Distribution Time, and each Person that becomes a Subsidiary of Parent after the Distribution Time (including as a result of transactions that occur following the Distribution Time).</w:t>
      </w:r>
    </w:p>
    <w:p>
      <w:pPr>
        <w:pStyle w:val="TextBody"/>
        <w:bidi w:val="0"/>
        <w:spacing w:lineRule="auto" w:line="288" w:before="0" w:after="240"/>
        <w:ind w:left="0" w:right="0" w:firstLine="1440"/>
        <w:jc w:val="left"/>
        <w:rPr/>
      </w:pPr>
      <w:r>
        <w:rPr>
          <w:rFonts w:ascii="Times New Roman;serif" w:hAnsi="Times New Roman;serif"/>
          <w:b w:val="false"/>
          <w:color w:val="000000"/>
          <w:sz w:val="20"/>
        </w:rPr>
        <w:t>(19)    “</w:t>
      </w:r>
      <w:r>
        <w:rPr>
          <w:rFonts w:ascii="Times New Roman;serif" w:hAnsi="Times New Roman;serif"/>
          <w:b w:val="false"/>
          <w:color w:val="000000"/>
          <w:sz w:val="20"/>
          <w:u w:val="single"/>
        </w:rPr>
        <w:t>Parent Group Employee</w:t>
      </w:r>
      <w:r>
        <w:rPr>
          <w:color w:val="000000"/>
        </w:rPr>
        <w:t xml:space="preserve">” </w:t>
      </w:r>
      <w:r>
        <w:rPr>
          <w:rFonts w:ascii="Times New Roman;serif" w:hAnsi="Times New Roman;serif"/>
          <w:b w:val="false"/>
          <w:color w:val="000000"/>
          <w:sz w:val="20"/>
        </w:rPr>
        <w:t>means each employee of the Parent Group who does not qualify as a Spinco Group Employee.</w:t>
      </w:r>
    </w:p>
    <w:p>
      <w:pPr>
        <w:pStyle w:val="TextBody"/>
        <w:bidi w:val="0"/>
        <w:spacing w:lineRule="auto" w:line="288" w:before="0" w:after="240"/>
        <w:ind w:left="0" w:right="0" w:firstLine="1440"/>
        <w:jc w:val="left"/>
        <w:rPr/>
      </w:pPr>
      <w:r>
        <w:rPr>
          <w:rFonts w:ascii="Times New Roman;serif" w:hAnsi="Times New Roman;serif"/>
          <w:b w:val="false"/>
          <w:color w:val="000000"/>
          <w:sz w:val="20"/>
        </w:rPr>
        <w:t>(20)    “</w:t>
      </w:r>
      <w:r>
        <w:rPr>
          <w:rFonts w:ascii="Times New Roman;serif" w:hAnsi="Times New Roman;serif"/>
          <w:b w:val="false"/>
          <w:color w:val="000000"/>
          <w:sz w:val="20"/>
          <w:u w:val="single"/>
        </w:rPr>
        <w:t>Parent Independent Contractor</w:t>
      </w:r>
      <w:r>
        <w:rPr>
          <w:color w:val="000000"/>
        </w:rPr>
        <w:t xml:space="preserve">” </w:t>
      </w:r>
      <w:r>
        <w:rPr>
          <w:rFonts w:ascii="Times New Roman;serif" w:hAnsi="Times New Roman;serif"/>
          <w:b w:val="false"/>
          <w:color w:val="000000"/>
          <w:sz w:val="20"/>
        </w:rPr>
        <w:t>means each individual independent contractor or consultant of Parent or any of its Subsidiaries or Affiliates who does not qualify as a Spinco Independent Contractor.</w:t>
      </w:r>
    </w:p>
    <w:p>
      <w:pPr>
        <w:pStyle w:val="TextBody"/>
        <w:bidi w:val="0"/>
        <w:spacing w:lineRule="auto" w:line="288" w:before="0" w:after="240"/>
        <w:ind w:left="0" w:right="0" w:firstLine="1440"/>
        <w:jc w:val="left"/>
        <w:rPr/>
      </w:pPr>
      <w:r>
        <w:rPr>
          <w:rFonts w:ascii="Times New Roman;serif" w:hAnsi="Times New Roman;serif"/>
          <w:b w:val="false"/>
          <w:color w:val="000000"/>
          <w:sz w:val="20"/>
        </w:rPr>
        <w:t>(21)    “</w:t>
      </w:r>
      <w:r>
        <w:rPr>
          <w:rFonts w:ascii="Times New Roman;serif" w:hAnsi="Times New Roman;serif"/>
          <w:b w:val="false"/>
          <w:color w:val="000000"/>
          <w:sz w:val="20"/>
          <w:u w:val="single"/>
        </w:rPr>
        <w:t>Parent Participant</w:t>
      </w:r>
      <w:r>
        <w:rPr>
          <w:color w:val="000000"/>
        </w:rPr>
        <w:t xml:space="preserve">” </w:t>
      </w:r>
      <w:r>
        <w:rPr>
          <w:rFonts w:ascii="Times New Roman;serif" w:hAnsi="Times New Roman;serif"/>
          <w:b w:val="false"/>
          <w:color w:val="000000"/>
          <w:sz w:val="20"/>
        </w:rPr>
        <w:t>means any individual who, immediately following the Distribution Date, is a Parent Group Employee, a Former Parent Service Provider or a beneficiary, dependent or alternate payee of any of the foregoing.</w:t>
      </w:r>
    </w:p>
    <w:p>
      <w:pPr>
        <w:pStyle w:val="TextBody"/>
        <w:bidi w:val="0"/>
        <w:spacing w:lineRule="auto" w:line="288" w:before="0" w:after="240"/>
        <w:ind w:left="0" w:right="0" w:firstLine="1440"/>
        <w:jc w:val="left"/>
        <w:rPr/>
      </w:pPr>
      <w:r>
        <w:rPr>
          <w:rFonts w:ascii="Times New Roman;serif" w:hAnsi="Times New Roman;serif"/>
          <w:b w:val="false"/>
          <w:color w:val="000000"/>
          <w:sz w:val="20"/>
        </w:rPr>
        <w:t>(22)    “</w:t>
      </w:r>
      <w:r>
        <w:rPr>
          <w:rFonts w:ascii="Times New Roman;serif" w:hAnsi="Times New Roman;serif"/>
          <w:b w:val="false"/>
          <w:color w:val="000000"/>
          <w:sz w:val="20"/>
          <w:u w:val="single"/>
        </w:rPr>
        <w:t>Parent PSU Award</w:t>
      </w:r>
      <w:r>
        <w:rPr>
          <w:color w:val="000000"/>
        </w:rPr>
        <w:t xml:space="preserve">” </w:t>
      </w:r>
      <w:r>
        <w:rPr>
          <w:rFonts w:ascii="Times New Roman;serif" w:hAnsi="Times New Roman;serif"/>
          <w:b w:val="false"/>
          <w:color w:val="000000"/>
          <w:sz w:val="20"/>
        </w:rPr>
        <w:t>means an award granted by Parent pursuant to an equity compensation plan or program of Parent that is denominated as a performance award under the terms of such plan and the related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0"/>
        </w:rPr>
        <w:t>(23)    “</w:t>
      </w:r>
      <w:r>
        <w:rPr>
          <w:rFonts w:ascii="Times New Roman;serif" w:hAnsi="Times New Roman;serif"/>
          <w:b w:val="false"/>
          <w:color w:val="000000"/>
          <w:sz w:val="20"/>
          <w:u w:val="single"/>
        </w:rPr>
        <w:t>Parent Remuneration Committee</w:t>
      </w:r>
      <w:r>
        <w:rPr>
          <w:color w:val="000000"/>
        </w:rPr>
        <w:t xml:space="preserve">” </w:t>
      </w:r>
      <w:r>
        <w:rPr>
          <w:rFonts w:ascii="Times New Roman;serif" w:hAnsi="Times New Roman;serif"/>
          <w:b w:val="false"/>
          <w:color w:val="000000"/>
          <w:sz w:val="20"/>
        </w:rPr>
        <w:t>means the Remuneration Committee of the Board of Directors of Parent.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(24)    “</w:t>
      </w:r>
      <w:r>
        <w:rPr>
          <w:rFonts w:ascii="Times New Roman;serif" w:hAnsi="Times New Roman;serif"/>
          <w:b w:val="false"/>
          <w:color w:val="000000"/>
          <w:sz w:val="20"/>
          <w:u w:val="single"/>
        </w:rPr>
        <w:t>Parent Transferee</w:t>
      </w:r>
      <w:r>
        <w:rPr>
          <w:color w:val="000000"/>
        </w:rPr>
        <w:t xml:space="preserve">” </w:t>
      </w:r>
      <w:r>
        <w:rPr>
          <w:rFonts w:ascii="Times New Roman;serif" w:hAnsi="Times New Roman;serif"/>
          <w:b w:val="false"/>
          <w:color w:val="000000"/>
          <w:sz w:val="20"/>
        </w:rPr>
        <w:t>means each Spinco Group Employee who is employed by Parent or any of its Subsidiaries or Affiliates (other than Spinco and its Subsidiaries) as of the date on which such individual’s employment transfers to Spinco.</w:t>
      </w:r>
    </w:p>
    <w:p>
      <w:pPr>
        <w:pStyle w:val="TextBody"/>
        <w:bidi w:val="0"/>
        <w:spacing w:lineRule="auto" w:line="288" w:before="0" w:after="240"/>
        <w:ind w:left="0" w:right="0" w:firstLine="1440"/>
        <w:jc w:val="left"/>
        <w:rPr/>
      </w:pPr>
      <w:r>
        <w:rPr>
          <w:rFonts w:ascii="Times New Roman;serif" w:hAnsi="Times New Roman;serif"/>
          <w:b w:val="false"/>
          <w:color w:val="000000"/>
          <w:sz w:val="20"/>
        </w:rPr>
        <w:t>(25)    “</w:t>
      </w:r>
      <w:r>
        <w:rPr>
          <w:rFonts w:ascii="Times New Roman;serif" w:hAnsi="Times New Roman;serif"/>
          <w:b w:val="false"/>
          <w:color w:val="000000"/>
          <w:sz w:val="20"/>
          <w:u w:val="single"/>
        </w:rPr>
        <w:t>Parent Welfare Plans</w:t>
      </w:r>
      <w:r>
        <w:rPr>
          <w:color w:val="000000"/>
        </w:rPr>
        <w:t xml:space="preserve">” </w:t>
      </w:r>
      <w:r>
        <w:rPr>
          <w:rFonts w:ascii="Times New Roman;serif" w:hAnsi="Times New Roman;serif"/>
          <w:b w:val="false"/>
          <w:color w:val="000000"/>
          <w:sz w:val="20"/>
        </w:rPr>
        <w:t>means any Welfare Plan maintained by Parent or any member of the Parent Group.</w:t>
      </w:r>
    </w:p>
    <w:p>
      <w:pPr>
        <w:pStyle w:val="TextBody"/>
        <w:bidi w:val="0"/>
        <w:spacing w:lineRule="auto" w:line="288" w:before="0" w:after="240"/>
        <w:ind w:left="0" w:right="0" w:firstLine="1440"/>
        <w:jc w:val="left"/>
        <w:rPr/>
      </w:pPr>
      <w:r>
        <w:rPr>
          <w:rFonts w:ascii="Times New Roman;serif" w:hAnsi="Times New Roman;serif"/>
          <w:b w:val="false"/>
          <w:color w:val="000000"/>
          <w:sz w:val="20"/>
        </w:rPr>
        <w:t>(26)    “</w:t>
      </w:r>
      <w:r>
        <w:rPr>
          <w:rFonts w:ascii="Times New Roman;serif" w:hAnsi="Times New Roman;serif"/>
          <w:b w:val="false"/>
          <w:color w:val="000000"/>
          <w:sz w:val="20"/>
          <w:u w:val="single"/>
        </w:rPr>
        <w:t>Parent 401(k) Plan</w:t>
      </w:r>
      <w:r>
        <w:rPr>
          <w:color w:val="000000"/>
        </w:rPr>
        <w:t xml:space="preserve">” </w:t>
      </w:r>
      <w:r>
        <w:rPr>
          <w:rFonts w:ascii="Times New Roman;serif" w:hAnsi="Times New Roman;serif"/>
          <w:b w:val="false"/>
          <w:color w:val="000000"/>
          <w:sz w:val="20"/>
        </w:rPr>
        <w:t xml:space="preserve">means that certain defined contribution retirement plan covering eligible Parent Group Employees and in the United States. </w:t>
      </w:r>
    </w:p>
    <w:p>
      <w:pPr>
        <w:pStyle w:val="TextBody"/>
        <w:bidi w:val="0"/>
        <w:spacing w:lineRule="auto" w:line="288" w:before="0" w:after="240"/>
        <w:ind w:left="0" w:right="0" w:firstLine="1440"/>
        <w:jc w:val="left"/>
        <w:rPr/>
      </w:pPr>
      <w:r>
        <w:rPr>
          <w:rFonts w:ascii="Times New Roman;serif" w:hAnsi="Times New Roman;serif"/>
          <w:b w:val="false"/>
          <w:color w:val="000000"/>
          <w:sz w:val="20"/>
        </w:rPr>
        <w:t>(27)    “</w:t>
      </w:r>
      <w:r>
        <w:rPr>
          <w:rFonts w:ascii="Times New Roman;serif" w:hAnsi="Times New Roman;serif"/>
          <w:b w:val="false"/>
          <w:color w:val="000000"/>
          <w:sz w:val="20"/>
          <w:u w:val="single"/>
        </w:rPr>
        <w:t>Party</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Parties</w:t>
      </w:r>
      <w:r>
        <w:rPr>
          <w:color w:val="000000"/>
        </w:rPr>
        <w:t xml:space="preserve">” </w:t>
      </w:r>
      <w:r>
        <w:rPr>
          <w:rFonts w:ascii="Times New Roman;serif" w:hAnsi="Times New Roman;serif"/>
          <w:b w:val="false"/>
          <w:color w:val="000000"/>
          <w:sz w:val="20"/>
        </w:rPr>
        <w:t>have the meanings set forth in the Preamble.</w:t>
      </w:r>
    </w:p>
    <w:p>
      <w:pPr>
        <w:pStyle w:val="TextBody"/>
        <w:bidi w:val="0"/>
        <w:spacing w:lineRule="auto" w:line="288" w:before="0" w:after="240"/>
        <w:ind w:left="0" w:right="0" w:firstLine="1440"/>
        <w:jc w:val="left"/>
        <w:rPr/>
      </w:pPr>
      <w:r>
        <w:rPr>
          <w:rFonts w:ascii="Times New Roman;serif" w:hAnsi="Times New Roman;serif"/>
          <w:b w:val="false"/>
          <w:color w:val="000000"/>
          <w:sz w:val="20"/>
        </w:rPr>
        <w:t>(28)    “</w:t>
      </w:r>
      <w:r>
        <w:rPr>
          <w:rFonts w:ascii="Times New Roman;serif" w:hAnsi="Times New Roman;serif"/>
          <w:b w:val="false"/>
          <w:color w:val="000000"/>
          <w:sz w:val="20"/>
          <w:u w:val="single"/>
        </w:rPr>
        <w:t>Plan Transition Date</w:t>
      </w:r>
      <w:r>
        <w:rPr>
          <w:color w:val="000000"/>
        </w:rPr>
        <w:t xml:space="preserve">” </w:t>
      </w:r>
      <w:r>
        <w:rPr>
          <w:rFonts w:ascii="Times New Roman;serif" w:hAnsi="Times New Roman;serif"/>
          <w:b w:val="false"/>
          <w:color w:val="000000"/>
          <w:sz w:val="20"/>
        </w:rPr>
        <w:t>means the date that is the earlier to occur of (i) the Distribution Date or (ii) such earlier date as agreed between the Parties.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(29)    “</w:t>
      </w:r>
      <w:r>
        <w:rPr>
          <w:rFonts w:ascii="Times New Roman;serif" w:hAnsi="Times New Roman;serif"/>
          <w:b w:val="false"/>
          <w:color w:val="000000"/>
          <w:sz w:val="20"/>
          <w:u w:val="single"/>
        </w:rPr>
        <w:t>Spinco</w:t>
      </w:r>
      <w:r>
        <w:rPr>
          <w:color w:val="000000"/>
        </w:rPr>
        <w:t xml:space="preserve">” </w:t>
      </w:r>
      <w:r>
        <w:rPr>
          <w:rFonts w:ascii="Times New Roman;serif" w:hAnsi="Times New Roman;serif"/>
          <w:b w:val="false"/>
          <w:color w:val="000000"/>
          <w:sz w:val="20"/>
        </w:rPr>
        <w:t>has the meaning set forth in the Preamble.</w:t>
      </w:r>
    </w:p>
    <w:p>
      <w:pPr>
        <w:pStyle w:val="TextBody"/>
        <w:bidi w:val="0"/>
        <w:spacing w:lineRule="auto" w:line="288" w:before="0" w:after="240"/>
        <w:ind w:left="0" w:right="0" w:firstLine="1440"/>
        <w:jc w:val="left"/>
        <w:rPr/>
      </w:pPr>
      <w:r>
        <w:rPr>
          <w:rFonts w:ascii="Times New Roman;serif" w:hAnsi="Times New Roman;serif"/>
          <w:b w:val="false"/>
          <w:color w:val="000000"/>
          <w:sz w:val="20"/>
        </w:rPr>
        <w:t>(30)    “</w:t>
      </w:r>
      <w:r>
        <w:rPr>
          <w:rFonts w:ascii="Times New Roman;serif" w:hAnsi="Times New Roman;serif"/>
          <w:b w:val="false"/>
          <w:color w:val="000000"/>
          <w:sz w:val="20"/>
          <w:u w:val="single"/>
        </w:rPr>
        <w:t>Spinco Automatic Transfer Employees</w:t>
      </w:r>
      <w:r>
        <w:rPr>
          <w:color w:val="000000"/>
        </w:rPr>
        <w:t xml:space="preserve">” </w:t>
      </w:r>
      <w:r>
        <w:rPr>
          <w:rFonts w:ascii="Times New Roman;serif" w:hAnsi="Times New Roman;serif"/>
          <w:b w:val="false"/>
          <w:color w:val="000000"/>
          <w:sz w:val="20"/>
        </w:rPr>
        <w:t>means any Parent Transferee, where local employment Laws, including, but not limited to, the Transfer Regulations, provide for an automatic transfer of such employee to Spinco or any member of the Spinco Group by operation of Law upon the transfer of a business as a going concern and such business transfer occurs as a result of the transactions contemplated by the Distribution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(31)    “</w:t>
      </w:r>
      <w:r>
        <w:rPr>
          <w:rFonts w:ascii="Times New Roman;serif" w:hAnsi="Times New Roman;serif"/>
          <w:b w:val="false"/>
          <w:color w:val="000000"/>
          <w:sz w:val="20"/>
          <w:u w:val="single"/>
        </w:rPr>
        <w:t>Spinco Benefit Arrangement</w:t>
      </w:r>
      <w:r>
        <w:rPr>
          <w:color w:val="000000"/>
        </w:rPr>
        <w:t xml:space="preserve">” </w:t>
      </w:r>
      <w:r>
        <w:rPr>
          <w:rFonts w:ascii="Times New Roman;serif" w:hAnsi="Times New Roman;serif"/>
          <w:b w:val="false"/>
          <w:color w:val="000000"/>
          <w:sz w:val="20"/>
        </w:rPr>
        <w:t>means any Benefit Arrangement sponsored, maintained or contributed to exclusively by any member of the Spinco Group.</w:t>
      </w:r>
    </w:p>
    <w:p>
      <w:pPr>
        <w:pStyle w:val="TextBody"/>
        <w:bidi w:val="0"/>
        <w:spacing w:lineRule="auto" w:line="288" w:before="0" w:after="240"/>
        <w:ind w:left="0" w:right="0" w:firstLine="1440"/>
        <w:jc w:val="left"/>
        <w:rPr/>
      </w:pPr>
      <w:r>
        <w:rPr>
          <w:rFonts w:ascii="Times New Roman;serif" w:hAnsi="Times New Roman;serif"/>
          <w:b w:val="false"/>
          <w:color w:val="000000"/>
          <w:sz w:val="20"/>
        </w:rPr>
        <w:t>(32)    “</w:t>
      </w:r>
      <w:r>
        <w:rPr>
          <w:rFonts w:ascii="Times New Roman;serif" w:hAnsi="Times New Roman;serif"/>
          <w:b w:val="false"/>
          <w:color w:val="000000"/>
          <w:sz w:val="20"/>
          <w:u w:val="single"/>
        </w:rPr>
        <w:t>Spinco Compensation Committee</w:t>
      </w:r>
      <w:r>
        <w:rPr>
          <w:color w:val="000000"/>
        </w:rPr>
        <w:t xml:space="preserve">” </w:t>
      </w:r>
      <w:r>
        <w:rPr>
          <w:rFonts w:ascii="Times New Roman;serif" w:hAnsi="Times New Roman;serif"/>
          <w:b w:val="false"/>
          <w:color w:val="000000"/>
          <w:sz w:val="20"/>
        </w:rPr>
        <w:t>means the Compensation Committee of the Board of Directors of Spinco.</w:t>
      </w:r>
    </w:p>
    <w:p>
      <w:pPr>
        <w:pStyle w:val="TextBody"/>
        <w:bidi w:val="0"/>
        <w:spacing w:lineRule="auto" w:line="288" w:before="0" w:after="240"/>
        <w:ind w:left="0" w:right="0" w:firstLine="1440"/>
        <w:jc w:val="left"/>
        <w:rPr/>
      </w:pPr>
      <w:r>
        <w:rPr>
          <w:rFonts w:ascii="Times New Roman;serif" w:hAnsi="Times New Roman;serif"/>
          <w:b w:val="false"/>
          <w:color w:val="000000"/>
          <w:sz w:val="20"/>
        </w:rPr>
        <w:t>(33)    “</w:t>
      </w:r>
      <w:r>
        <w:rPr>
          <w:rFonts w:ascii="Times New Roman;serif" w:hAnsi="Times New Roman;serif"/>
          <w:b w:val="false"/>
          <w:color w:val="000000"/>
          <w:sz w:val="20"/>
          <w:u w:val="single"/>
        </w:rPr>
        <w:t>Spinco Group</w:t>
      </w:r>
      <w:r>
        <w:rPr>
          <w:color w:val="000000"/>
        </w:rPr>
        <w:t xml:space="preserve">” </w:t>
      </w:r>
      <w:r>
        <w:rPr>
          <w:rFonts w:ascii="Times New Roman;serif" w:hAnsi="Times New Roman;serif"/>
          <w:b w:val="false"/>
          <w:color w:val="000000"/>
          <w:sz w:val="20"/>
        </w:rPr>
        <w:t>means Spinco, the other Spinco Entities, each Subsidiary of Spinco immediately after the Distribution Time and each other Person that becomes a Subsidiary of Spinco after the Distribution Time (including as a result of any transactions that occur following the Distribution Time in accordance with the Separation Step Plan).</w:t>
      </w:r>
    </w:p>
    <w:p>
      <w:pPr>
        <w:pStyle w:val="TextBody"/>
        <w:bidi w:val="0"/>
        <w:spacing w:lineRule="auto" w:line="288" w:before="0" w:after="240"/>
        <w:ind w:left="0" w:right="0" w:firstLine="1440"/>
        <w:jc w:val="left"/>
        <w:rPr/>
      </w:pPr>
      <w:r>
        <w:rPr>
          <w:rFonts w:ascii="Times New Roman;serif" w:hAnsi="Times New Roman;serif"/>
          <w:b w:val="false"/>
          <w:color w:val="000000"/>
          <w:sz w:val="20"/>
        </w:rPr>
        <w:t>(34)    “</w:t>
      </w:r>
      <w:r>
        <w:rPr>
          <w:rFonts w:ascii="Times New Roman;serif" w:hAnsi="Times New Roman;serif"/>
          <w:b w:val="false"/>
          <w:color w:val="000000"/>
          <w:sz w:val="20"/>
          <w:u w:val="single"/>
        </w:rPr>
        <w:t>Spinco Group Employee</w:t>
      </w:r>
      <w:r>
        <w:rPr>
          <w:color w:val="000000"/>
        </w:rPr>
        <w:t xml:space="preserve">” </w:t>
      </w:r>
      <w:r>
        <w:rPr>
          <w:rFonts w:ascii="Times New Roman;serif" w:hAnsi="Times New Roman;serif"/>
          <w:b w:val="false"/>
          <w:color w:val="000000"/>
          <w:sz w:val="20"/>
        </w:rPr>
        <w:t>means each individual who is (a) employed by Parent or any of its Subsidiaries or Affiliates as of the date on which Parent determines to transfer the employment of the applicable individual to a member of the Spinco Group or (b) employed by the Spinco Group as of the Distribution Time and who, in each case, Parent and Spinco jointly determine as of such date is either (i) exclusively or primarily engaged in the Spinco Business or (ii) reasonably required for the ongoing operation of the Spinco Business following the Distribution Time, in each case regardless of whether any such employee is actively at work or is not actively at work as a result of disability or illness, an approved leave of absence (including military leave with reemployment rights under federal Law and leave under the Family and Medical Leave Act of 1993), vacation, personal day or similar short- or long-term absence, but in each case excluding any individual who Parent subsequently determines was inappropriately identified as a Spinco Group Employee.</w:t>
      </w:r>
    </w:p>
    <w:p>
      <w:pPr>
        <w:pStyle w:val="TextBody"/>
        <w:bidi w:val="0"/>
        <w:spacing w:lineRule="auto" w:line="288" w:before="0" w:after="240"/>
        <w:ind w:left="0" w:right="0" w:firstLine="1440"/>
        <w:jc w:val="left"/>
        <w:rPr/>
      </w:pPr>
      <w:r>
        <w:rPr>
          <w:rFonts w:ascii="Times New Roman;serif" w:hAnsi="Times New Roman;serif"/>
          <w:b w:val="false"/>
          <w:color w:val="000000"/>
          <w:sz w:val="20"/>
        </w:rPr>
        <w:t>(35)    “</w:t>
      </w:r>
      <w:r>
        <w:rPr>
          <w:rFonts w:ascii="Times New Roman;serif" w:hAnsi="Times New Roman;serif"/>
          <w:b w:val="false"/>
          <w:color w:val="000000"/>
          <w:sz w:val="20"/>
          <w:u w:val="single"/>
        </w:rPr>
        <w:t>Spinco Independent Contractor</w:t>
      </w:r>
      <w:r>
        <w:rPr>
          <w:color w:val="000000"/>
        </w:rPr>
        <w:t xml:space="preserve">” </w:t>
      </w:r>
      <w:r>
        <w:rPr>
          <w:rFonts w:ascii="Times New Roman;serif" w:hAnsi="Times New Roman;serif"/>
          <w:b w:val="false"/>
          <w:color w:val="000000"/>
          <w:sz w:val="20"/>
        </w:rPr>
        <w:t xml:space="preserve">means each individual who, as of the date on which Parent determines to transfer the contracts of service of the applicable individual to a member of the Spinco Group, is engaged as an independent contractor or consultant by Parent or any of its Subsidiaries or Affiliates or who is party to any agreement with Parent or any of its Subsidiaries or Affiliates contemplating future service, and in each case who Parent and Spinco jointly determine as of such date is (or who, pursuant to such agreement contemplating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future service, would be) either (i) exclusively or primarily engaged in the Spinco Business or (ii) reasonably required for the ongoing operation of the Spinco Business following the Distribution Time.</w:t>
      </w:r>
    </w:p>
    <w:p>
      <w:pPr>
        <w:pStyle w:val="TextBody"/>
        <w:bidi w:val="0"/>
        <w:spacing w:lineRule="auto" w:line="288" w:before="0" w:after="240"/>
        <w:ind w:left="0" w:right="0" w:firstLine="1440"/>
        <w:jc w:val="left"/>
        <w:rPr/>
      </w:pPr>
      <w:r>
        <w:rPr>
          <w:rFonts w:ascii="Times New Roman;serif" w:hAnsi="Times New Roman;serif"/>
          <w:b w:val="false"/>
          <w:color w:val="000000"/>
          <w:sz w:val="20"/>
        </w:rPr>
        <w:t>(36)    “</w:t>
      </w:r>
      <w:r>
        <w:rPr>
          <w:rFonts w:ascii="Times New Roman;serif" w:hAnsi="Times New Roman;serif"/>
          <w:b w:val="false"/>
          <w:color w:val="000000"/>
          <w:sz w:val="20"/>
          <w:u w:val="single"/>
        </w:rPr>
        <w:t>Spinco Labor Agreement</w:t>
      </w:r>
      <w:r>
        <w:rPr>
          <w:color w:val="000000"/>
        </w:rPr>
        <w:t xml:space="preserve">” </w:t>
      </w:r>
      <w:r>
        <w:rPr>
          <w:rFonts w:ascii="Times New Roman;serif" w:hAnsi="Times New Roman;serif"/>
          <w:b w:val="false"/>
          <w:color w:val="000000"/>
          <w:sz w:val="20"/>
        </w:rPr>
        <w:t>means any agreement with any Employee Representative Body to which Parent or a member of the Parent Group, or Spinco or a member of the Spinco Group, is a party or bound that pertains to any Spinco Group Employees.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(37)    “</w:t>
      </w:r>
      <w:r>
        <w:rPr>
          <w:rFonts w:ascii="Times New Roman;serif" w:hAnsi="Times New Roman;serif"/>
          <w:b w:val="false"/>
          <w:color w:val="000000"/>
          <w:sz w:val="20"/>
          <w:u w:val="single"/>
        </w:rPr>
        <w:t>Spinco Participant</w:t>
      </w:r>
      <w:r>
        <w:rPr>
          <w:color w:val="000000"/>
        </w:rPr>
        <w:t xml:space="preserve">” </w:t>
      </w:r>
      <w:r>
        <w:rPr>
          <w:rFonts w:ascii="Times New Roman;serif" w:hAnsi="Times New Roman;serif"/>
          <w:b w:val="false"/>
          <w:color w:val="000000"/>
          <w:sz w:val="20"/>
        </w:rPr>
        <w:t>means any individual who, immediately following the Distribution Date, is an Spinco Group Employee, a Former Spinco Service Provider or a beneficiary, dependent or alternate payee of any of the foregoing.</w:t>
      </w:r>
    </w:p>
    <w:p>
      <w:pPr>
        <w:pStyle w:val="TextBody"/>
        <w:bidi w:val="0"/>
        <w:spacing w:lineRule="auto" w:line="288" w:before="0" w:after="240"/>
        <w:ind w:left="0" w:right="0" w:firstLine="1440"/>
        <w:jc w:val="left"/>
        <w:rPr/>
      </w:pPr>
      <w:r>
        <w:rPr>
          <w:rFonts w:ascii="Times New Roman;serif" w:hAnsi="Times New Roman;serif"/>
          <w:b w:val="false"/>
          <w:color w:val="000000"/>
          <w:sz w:val="20"/>
        </w:rPr>
        <w:t>(38)    “</w:t>
      </w:r>
      <w:r>
        <w:rPr>
          <w:rFonts w:ascii="Times New Roman;serif" w:hAnsi="Times New Roman;serif"/>
          <w:b w:val="false"/>
          <w:color w:val="000000"/>
          <w:sz w:val="20"/>
          <w:u w:val="single"/>
        </w:rPr>
        <w:t>Spinco PSU Award</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Section 5.2</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(39)    “</w:t>
      </w:r>
      <w:r>
        <w:rPr>
          <w:rFonts w:ascii="Times New Roman;serif" w:hAnsi="Times New Roman;serif"/>
          <w:b w:val="false"/>
          <w:color w:val="000000"/>
          <w:sz w:val="20"/>
          <w:u w:val="single"/>
        </w:rPr>
        <w:t>Spinco Stock Plan</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Section 5.3</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(40)    “</w:t>
      </w:r>
      <w:r>
        <w:rPr>
          <w:rFonts w:ascii="Times New Roman;serif" w:hAnsi="Times New Roman;serif"/>
          <w:b w:val="false"/>
          <w:color w:val="000000"/>
          <w:sz w:val="20"/>
          <w:u w:val="single"/>
        </w:rPr>
        <w:t>Spinco Transferee</w:t>
      </w:r>
      <w:r>
        <w:rPr>
          <w:color w:val="000000"/>
        </w:rPr>
        <w:t xml:space="preserve">” </w:t>
      </w:r>
      <w:r>
        <w:rPr>
          <w:rFonts w:ascii="Times New Roman;serif" w:hAnsi="Times New Roman;serif"/>
          <w:b w:val="false"/>
          <w:color w:val="000000"/>
          <w:sz w:val="20"/>
        </w:rPr>
        <w:t>means each Spinco Group Employee who is employed by Spinco or any of its Subsidiaries or Affiliates (other than Parent and its Subsidiaries) as of the date on which such individual’s employment transfers to Parent.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(41)    “</w:t>
      </w:r>
      <w:r>
        <w:rPr>
          <w:rFonts w:ascii="Times New Roman;serif" w:hAnsi="Times New Roman;serif"/>
          <w:b w:val="false"/>
          <w:color w:val="000000"/>
          <w:sz w:val="20"/>
          <w:u w:val="single"/>
        </w:rPr>
        <w:t>Spinco Welfare Plans</w:t>
      </w:r>
      <w:r>
        <w:rPr>
          <w:color w:val="000000"/>
        </w:rPr>
        <w:t xml:space="preserve">” </w:t>
      </w:r>
      <w:r>
        <w:rPr>
          <w:rFonts w:ascii="Times New Roman;serif" w:hAnsi="Times New Roman;serif"/>
          <w:b w:val="false"/>
          <w:color w:val="000000"/>
          <w:sz w:val="20"/>
        </w:rPr>
        <w:t>has any Welfare Plan maintained by Spinco or any member of the Spinco Group.</w:t>
      </w:r>
    </w:p>
    <w:p>
      <w:pPr>
        <w:pStyle w:val="TextBody"/>
        <w:bidi w:val="0"/>
        <w:spacing w:lineRule="auto" w:line="288" w:before="0" w:after="240"/>
        <w:ind w:left="0" w:right="0" w:firstLine="1440"/>
        <w:jc w:val="left"/>
        <w:rPr/>
      </w:pPr>
      <w:r>
        <w:rPr>
          <w:rFonts w:ascii="Times New Roman;serif" w:hAnsi="Times New Roman;serif"/>
          <w:b w:val="false"/>
          <w:color w:val="000000"/>
          <w:sz w:val="20"/>
        </w:rPr>
        <w:t>(42)    “</w:t>
      </w:r>
      <w:r>
        <w:rPr>
          <w:rFonts w:ascii="Times New Roman;serif" w:hAnsi="Times New Roman;serif"/>
          <w:b w:val="false"/>
          <w:color w:val="000000"/>
          <w:sz w:val="20"/>
          <w:u w:val="single"/>
        </w:rPr>
        <w:t>Spinco 401(k) Plan</w:t>
      </w:r>
      <w:r>
        <w:rPr>
          <w:color w:val="000000"/>
        </w:rPr>
        <w:t xml:space="preserve">” </w:t>
      </w:r>
      <w:r>
        <w:rPr>
          <w:rFonts w:ascii="Times New Roman;serif" w:hAnsi="Times New Roman;serif"/>
          <w:b w:val="false"/>
          <w:color w:val="000000"/>
          <w:sz w:val="20"/>
        </w:rPr>
        <w:t>means that certain defined contribution retirement plan covering eligible Spinco Group Employees and in the United States.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(43)    “</w:t>
      </w:r>
      <w:r>
        <w:rPr>
          <w:rFonts w:ascii="Times New Roman;serif" w:hAnsi="Times New Roman;serif"/>
          <w:b w:val="false"/>
          <w:color w:val="000000"/>
          <w:sz w:val="20"/>
          <w:u w:val="single"/>
        </w:rPr>
        <w:t>Transfer Regulations</w:t>
      </w:r>
      <w:r>
        <w:rPr>
          <w:color w:val="000000"/>
        </w:rPr>
        <w:t xml:space="preserve">” </w:t>
      </w:r>
      <w:r>
        <w:rPr>
          <w:rFonts w:ascii="Times New Roman;serif" w:hAnsi="Times New Roman;serif"/>
          <w:b w:val="false"/>
          <w:color w:val="000000"/>
          <w:sz w:val="20"/>
        </w:rPr>
        <w:t>means all applicable Laws in any jurisdiction providing for an automatic transfer, by operation of Law, of employment in the event of a transfer of business, including all Laws of any EU Member State implementing the EU Council Directive 2001/23/EC of 12 March 2001 on the approximation of the Laws of the Member States relating to the safeguarding of employees’ rights in the event of transfers of undertakings, businesses or parts of undertakings or businesses (the “</w:t>
      </w:r>
      <w:r>
        <w:rPr>
          <w:rFonts w:ascii="Times New Roman;serif" w:hAnsi="Times New Roman;serif"/>
          <w:b w:val="false"/>
          <w:color w:val="000000"/>
          <w:sz w:val="20"/>
          <w:u w:val="single"/>
        </w:rPr>
        <w:t>Acquired Rights Directive</w:t>
      </w:r>
      <w:r>
        <w:rPr>
          <w:color w:val="000000"/>
        </w:rPr>
        <w:t>”</w:t>
      </w:r>
      <w:r>
        <w:rPr>
          <w:rFonts w:ascii="Times New Roman;serif" w:hAnsi="Times New Roman;serif"/>
          <w:b w:val="false"/>
          <w:color w:val="000000"/>
          <w:sz w:val="20"/>
        </w:rPr>
        <w:t>) and legislation and regulations of any EU Member State implementing such Acquired Rights Directive.</w:t>
      </w:r>
    </w:p>
    <w:p>
      <w:pPr>
        <w:pStyle w:val="TextBody"/>
        <w:bidi w:val="0"/>
        <w:spacing w:lineRule="auto" w:line="288" w:before="0" w:after="240"/>
        <w:ind w:left="0" w:right="0" w:firstLine="1440"/>
        <w:jc w:val="left"/>
        <w:rPr/>
      </w:pPr>
      <w:r>
        <w:rPr>
          <w:rFonts w:ascii="Times New Roman;serif" w:hAnsi="Times New Roman;serif"/>
          <w:b w:val="false"/>
          <w:color w:val="000000"/>
          <w:sz w:val="20"/>
        </w:rPr>
        <w:t>(44)    “</w:t>
      </w:r>
      <w:r>
        <w:rPr>
          <w:rFonts w:ascii="Times New Roman;serif" w:hAnsi="Times New Roman;serif"/>
          <w:b w:val="false"/>
          <w:color w:val="000000"/>
          <w:sz w:val="20"/>
          <w:u w:val="single"/>
        </w:rPr>
        <w:t>WARN Act</w:t>
      </w:r>
      <w:r>
        <w:rPr>
          <w:color w:val="000000"/>
        </w:rPr>
        <w:t xml:space="preserve">” </w:t>
      </w:r>
      <w:r>
        <w:rPr>
          <w:rFonts w:ascii="Times New Roman;serif" w:hAnsi="Times New Roman;serif"/>
          <w:b w:val="false"/>
          <w:color w:val="000000"/>
          <w:sz w:val="20"/>
        </w:rPr>
        <w:t>means the federal Worker Adjustment and Retraining Notification (WARN) Act of 1988, as amended, or any similar federal, state, or local Law requiring notice to employees with respect to plant or facility closings, mass layoffs, or other mass employment separations.</w:t>
      </w:r>
    </w:p>
    <w:p>
      <w:pPr>
        <w:pStyle w:val="TextBody"/>
        <w:bidi w:val="0"/>
        <w:spacing w:lineRule="auto" w:line="288" w:before="0" w:after="240"/>
        <w:ind w:left="0" w:right="0" w:firstLine="1440"/>
        <w:jc w:val="left"/>
        <w:rPr/>
      </w:pPr>
      <w:r>
        <w:rPr>
          <w:rFonts w:ascii="Times New Roman;serif" w:hAnsi="Times New Roman;serif"/>
          <w:b w:val="false"/>
          <w:color w:val="000000"/>
          <w:sz w:val="20"/>
        </w:rPr>
        <w:t>(45)    “</w:t>
      </w:r>
      <w:r>
        <w:rPr>
          <w:rFonts w:ascii="Times New Roman;serif" w:hAnsi="Times New Roman;serif"/>
          <w:b w:val="false"/>
          <w:color w:val="000000"/>
          <w:sz w:val="20"/>
          <w:u w:val="single"/>
        </w:rPr>
        <w:t>Welfare Plan</w:t>
      </w:r>
      <w:r>
        <w:rPr>
          <w:color w:val="000000"/>
        </w:rPr>
        <w:t xml:space="preserve">” </w:t>
      </w:r>
      <w:r>
        <w:rPr>
          <w:rFonts w:ascii="Times New Roman;serif" w:hAnsi="Times New Roman;serif"/>
          <w:b w:val="false"/>
          <w:color w:val="000000"/>
          <w:sz w:val="20"/>
        </w:rPr>
        <w:t>means, where applicable, a “welfare plan” (as defined in Section 3(1) of ERISA and in 29 C.F.R. §2510.3-1) or a “cafeteria plan” under Section 125 of the Code, and any benefits offered thereunder, and any other plan offering health benefits (including medical, prescription drug, dental, vision and mental health and substance use disorder), disability benefits, or life, accidental death and disability, pre-tax premium conversion benefits, dependent care assistance programs, employee assistance programs, contribution funding toward a health savings account, flexible spending accounts, tuition reimbursement or adoption assistance programs or cashable credits.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1.2    </w:t>
      </w:r>
      <w:r>
        <w:rPr>
          <w:rFonts w:ascii="Times New Roman;serif" w:hAnsi="Times New Roman;serif"/>
          <w:b w:val="false"/>
          <w:color w:val="000000"/>
          <w:sz w:val="20"/>
          <w:u w:val="single"/>
        </w:rPr>
        <w:t>References; Interpretation</w:t>
      </w:r>
      <w:r>
        <w:rPr>
          <w:rFonts w:ascii="Times New Roman;serif" w:hAnsi="Times New Roman;serif"/>
          <w:b w:val="false"/>
          <w:color w:val="000000"/>
          <w:sz w:val="20"/>
        </w:rPr>
        <w:t xml:space="preserve">.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words “written request” when used in this Agreement shall include email. Reference in this Agreement to any time shall be to New York City, New York time unless otherwise expressly provided herein. Unless the context requires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otherwise, references in this Agreement to “</w:t>
      </w:r>
      <w:r>
        <w:rPr>
          <w:rFonts w:ascii="Times New Roman;serif" w:hAnsi="Times New Roman;serif"/>
          <w:b w:val="false"/>
          <w:color w:val="000000"/>
          <w:sz w:val="20"/>
          <w:u w:val="single"/>
        </w:rPr>
        <w:t>Parent</w:t>
      </w:r>
      <w:r>
        <w:rPr>
          <w:color w:val="000000"/>
        </w:rPr>
        <w:t xml:space="preserve">” </w:t>
      </w:r>
      <w:r>
        <w:rPr>
          <w:rFonts w:ascii="Times New Roman;serif" w:hAnsi="Times New Roman;serif"/>
          <w:b w:val="false"/>
          <w:color w:val="000000"/>
          <w:sz w:val="20"/>
        </w:rPr>
        <w:t>shall also be deemed to refer to the applicable member of the Parent Group, references to “</w:t>
      </w:r>
      <w:r>
        <w:rPr>
          <w:rFonts w:ascii="Times New Roman;serif" w:hAnsi="Times New Roman;serif"/>
          <w:b w:val="false"/>
          <w:color w:val="000000"/>
          <w:sz w:val="20"/>
          <w:u w:val="single"/>
        </w:rPr>
        <w:t>Spinco</w:t>
      </w:r>
      <w:r>
        <w:rPr>
          <w:color w:val="000000"/>
        </w:rPr>
        <w:t xml:space="preserve">” </w:t>
      </w:r>
      <w:r>
        <w:rPr>
          <w:rFonts w:ascii="Times New Roman;serif" w:hAnsi="Times New Roman;serif"/>
          <w:b w:val="false"/>
          <w:color w:val="000000"/>
          <w:sz w:val="20"/>
        </w:rPr>
        <w:t xml:space="preserve">shall also be deemed to refer to the applicable member of the Spinco Group and, in connection therewith, any references to actions or omissions to be taken, or refrained from being taken, as the case may be, by Parent or Spinco shall be deemed to require Parent or Spinco, as the case may be, to cause the applicable members of the Parent Group or the Spinco Group, respectively, to take, or refrain from taking, any such action. In the event of any inconsistency or conflict which may arise in the application or interpretation of any of the definitions set forth in </w:t>
      </w:r>
      <w:r>
        <w:rPr>
          <w:rFonts w:ascii="Times New Roman;serif" w:hAnsi="Times New Roman;serif"/>
          <w:b w:val="false"/>
          <w:color w:val="000000"/>
          <w:sz w:val="20"/>
          <w:u w:val="single"/>
        </w:rPr>
        <w:t>Section 1.1</w:t>
      </w:r>
      <w:r>
        <w:rPr>
          <w:rFonts w:ascii="Times New Roman;serif" w:hAnsi="Times New Roman;serif"/>
          <w:b w:val="false"/>
          <w:color w:val="000000"/>
          <w:sz w:val="20"/>
        </w:rPr>
        <w:t>, for the purpose of determining what is and is not included in such definitions, any item explicitly included on a Schedule referred to in any such definition shall take priority over any provision of the text thereof.</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PRINCIPLES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2.1    </w:t>
      </w:r>
      <w:r>
        <w:rPr>
          <w:rFonts w:ascii="Times New Roman;serif" w:hAnsi="Times New Roman;serif"/>
          <w:b w:val="false"/>
          <w:color w:val="000000"/>
          <w:sz w:val="20"/>
          <w:u w:val="single"/>
        </w:rPr>
        <w:t>Nature of Liabilities</w:t>
      </w:r>
      <w:r>
        <w:rPr>
          <w:rFonts w:ascii="Times New Roman;serif" w:hAnsi="Times New Roman;serif"/>
          <w:b w:val="false"/>
          <w:color w:val="000000"/>
          <w:sz w:val="20"/>
        </w:rPr>
        <w:t>. All Liabilities assumed or retained by a member of the Parent Group under this Agreement shall be Excluded Liabilities for purposes of the Distribution Agreement. All Liabilities assumed or retained by a member of the Spinco Group under this Agreement shall be Spinco Liabilities for purposes of the Distribution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2.2    </w:t>
      </w:r>
      <w:r>
        <w:rPr>
          <w:rFonts w:ascii="Times New Roman;serif" w:hAnsi="Times New Roman;serif"/>
          <w:b w:val="false"/>
          <w:color w:val="000000"/>
          <w:sz w:val="20"/>
          <w:u w:val="single"/>
        </w:rPr>
        <w:t>Transfers of Employees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The Parties intend that there shall be continuity of employment with respect to the Parent Group Employees and Spinco Group Employees following the Distribution Time and each Parent Group Employee shall continue to be employed by the Parent Group on and after the Distribution Date, and each Spinco Group Employee shall continue to be employed by the Spinco Group on and after the Distribution Date.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Subject to the requirements of applicable Law, through and until immediately before the Distribution Time, Parent shall use its reasonable best efforts to (i) cause the employment of any Spinco Group Employee to be transferred (or retained by, as applicable) a member of the Spinco Group and (ii) cause the employment of any Parent Group Employee to be transferred to (or retained by, as applicable) a member of the Parent Group.</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Parent shall use its reasonable best efforts to cause each Spinco Automatic Transfer Employee to be employed by a member of the Spinco Group no later than the Distribution Time in accordance with applicable Law, and Spinco agrees to take all actions reasonably necessary to cause the Spinco Automatic Transfer Employees to be so employed. If a Spinco Automatic Transfer Employee objects to the transfer of employment to a member of the Spinco Group as permitted under applicable law and, if this consequence is foreseen in the respective applicable law, consequently does not become an employee of the Spinco Group and is terminated by Parent as a result, then Parent and Spinco will be jointly responsible for any severance or termination costs incurred by Parent in connection with such termination of employment.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(d)    The Parent Group and Spinco Group agree to execute, and to seek to have the applicable Spinco Group Employees or Parent Group Employees execute, such documentation, if any, as may be necessary to reflect the transfer of employment described in this </w:t>
      </w:r>
      <w:r>
        <w:rPr>
          <w:rFonts w:ascii="Times New Roman;serif" w:hAnsi="Times New Roman;serif"/>
          <w:b w:val="false"/>
          <w:color w:val="000000"/>
          <w:sz w:val="20"/>
          <w:u w:val="single"/>
        </w:rPr>
        <w:t>Section 2.2</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2.3    </w:t>
      </w:r>
      <w:r>
        <w:rPr>
          <w:rFonts w:ascii="Times New Roman;serif" w:hAnsi="Times New Roman;serif"/>
          <w:b w:val="false"/>
          <w:color w:val="000000"/>
          <w:sz w:val="20"/>
          <w:u w:val="single"/>
        </w:rPr>
        <w:t>Assumption and Retention of Liabilities Generally</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    Except as otherwise specifically provided in this Agreement, from and after the Distribution Time, Parent shall, or shall cause one or more members of the Parent Group to, accept, assume (or, as applicable, retain) and perform, discharge and fulfill (i) all Liabilities under all Parent Benefit Arrangements, whenever incurred; (ii) all Liabilities with respect to the employment, service, retirement, termination of employment or termination of service of all Parent Group Employees, Former Parent Service Providers and Parent Independent Contractors and their respective dependents and beneficiaries (and any alternate payees in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thereof), whenever incurred and (iii) all other Liabilities or obligations expressly assigned to or assumed by a member of the Parent Group under this Agreement.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Except as otherwise specifically provided in this Agreement, from and after the Distribution Time, Spinco shall, or shall cause one or more members of the Spinco Group to, accept, assume (or, as applicable, retain) and perform, discharge and fulfill (i) all Liabilities under all Spinco Benefit Arrangements, whenever incurred; (ii) all Liabilities with respect to the employment, service, retirement, termination of employment or termination of service of all Spinco Group Employees, Former Spinco Service Providers and Spinco Independent Contractors and their respective dependents and beneficiaries (and any alternate payees in respect thereof), whenever incurred and (iii) all other Liabilities or obligations expressly assigned to or assumed by a member of the Spinco Group under this Agreement.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The Parties shall promptly reimburse one another, upon reasonable request of the Party requesting reimbursement and the presentation by such Party of such substantiating documentation as the other Party shall reasonably request, for the cost of any obligations or Liabilities satisfied or assumed by the Party requesting reimbursement or its Affiliates that are, or that have been made pursuant to this Agreement, the responsibility of the other Party or any of its Affiliates.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2.4    </w:t>
      </w:r>
      <w:r>
        <w:rPr>
          <w:rFonts w:ascii="Times New Roman;serif" w:hAnsi="Times New Roman;serif"/>
          <w:b w:val="false"/>
          <w:color w:val="000000"/>
          <w:sz w:val="20"/>
          <w:u w:val="single"/>
        </w:rPr>
        <w:t>Participation in Parent Benefit Arrangements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Except as pursuant to this Agreement, effective no later than the Plan Transition Date, each Spinco Group Participant shall cease to actively participate in, be covered by, accrue benefits under, be eligible to contribute to or have any rights under any Parent Benefit Arrangement (except to the extent of previously accrued obligations that remain a Liability of any member of the Parent Group pursuant to this Agreement).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Except as pursuant to this Agreement, effective no later than the Plan Transition Date, each Parent Group Participant shall cease to actively participate in, be covered by, accrue benefits under, be eligible to contribute to or have any rights under any Spinco Benefit Arrangement (except to the extent of previously accrued obligations that remain a Liability of any member of the Spinco Group pursuant to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2.5    </w:t>
      </w:r>
      <w:r>
        <w:rPr>
          <w:rFonts w:ascii="Times New Roman;serif" w:hAnsi="Times New Roman;serif"/>
          <w:b w:val="false"/>
          <w:color w:val="000000"/>
          <w:sz w:val="20"/>
          <w:u w:val="single"/>
        </w:rPr>
        <w:t>Service Recognition</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(a)    From and after the Distribution Time, and in addition to any applicable obligations under the Transfer Regulations or other applicable Law, (i) Spinco shall, and shall cause each member of the Spinco Group to, give each Spinco Group Employee full credit for purposes of eligibility, vesting, and determination of level of benefits under any Spinco Benefit Arrangement for such Spinco Group Employee’s prior service with any member of the Parent Group or Spinco Group or any predecessor thereto, to the same extent such service was recognized by the applicable Parent Benefit Arrangement and (ii) Parent shall, and shall cause each member of the Parent Group to, give each Parent Group Employee full credit for purposes of eligibility, vesting, and determination of level of benefits under any Parent Benefit Arrangement for such Parent Group Employee’s prior service with any member of the Parent Group or Spinco Group or any predecessor thereto, to the same extent such service was recognized by the applicable Spinco Benefit Arrangement; </w:t>
      </w:r>
      <w:r>
        <w:rPr>
          <w:rFonts w:ascii="Times New Roman;serif" w:hAnsi="Times New Roman;serif"/>
          <w:b w:val="false"/>
          <w:color w:val="000000"/>
          <w:sz w:val="20"/>
          <w:u w:val="single"/>
        </w:rPr>
        <w:t>provided</w:t>
      </w:r>
      <w:r>
        <w:rPr>
          <w:rFonts w:ascii="Times New Roman;serif" w:hAnsi="Times New Roman;serif"/>
          <w:b w:val="false"/>
          <w:color w:val="000000"/>
          <w:sz w:val="20"/>
        </w:rPr>
        <w:t>, that in each case such service shall not be recognized to the extent it would result in the duplication of benefits.</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(b)    Except to the extent prohibited by applicable Law or regulations, as soon as administratively practicable on or after the Plan Transition Date: (i) Spinco shall waive or cause to be waived all limitations as to preexisting conditions or waiting periods with respect to participation and coverage requirements applicable to each Spinco Group Employee under any Spinco Welfare Plan in which Spinco Group Employees participate (or are eligible to participate) to the same extent that such conditions and waiting periods were satisfied or waived under an analogous Parent Welfare Plan, (ii) Spinco shall provide or cause each Spinco Group Employee to be provided with credit for any co-payments, deductibles or other out-of-pocket amounts paid during the plan year in which the Spinco Group Employees become eligible to participate in the Spinco Welfare Plans in satisfying any applicable co-payments, deductibles or other out-of-pocket requirements under any such plans for such plan year, (iii) Parent shall waive or cause to be waived all limitations as to preexisting conditions or waiting periods with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respect to participation and coverage requirements applicable to each Parent Group Employee under any Parent Welfare Plan in which Parent Group Employees participate (or are eligible to participate) to the same extent that such conditions and waiting periods were satisfied or waived under an analogous Spinco Welfare Plan and (iv) Parent shall provide or cause each Parent Group Employee to be provided with credit for any co-payments, deductibles or other out-of-pocket amounts paid during the plan year in which the Parent Group Employees become eligible to participate in the Parent Welfare Plans in satisfying any applicable co-payments, deductibles or other out-of-pocket requirements under any such plans for such plan year.</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2.6    </w:t>
      </w:r>
      <w:r>
        <w:rPr>
          <w:rFonts w:ascii="Times New Roman;serif" w:hAnsi="Times New Roman;serif"/>
          <w:b w:val="false"/>
          <w:color w:val="000000"/>
          <w:sz w:val="20"/>
          <w:u w:val="single"/>
        </w:rPr>
        <w:t>Spinco Labor Agreements</w:t>
      </w:r>
      <w:r>
        <w:rPr>
          <w:rFonts w:ascii="Times New Roman;serif" w:hAnsi="Times New Roman;serif"/>
          <w:b w:val="false"/>
          <w:color w:val="000000"/>
          <w:sz w:val="20"/>
        </w:rPr>
        <w:t>. Spinco shall, or shall cause the applicable member of the Spinco Group, to provide compensation and benefits to each Spinco Group Employee or former Spinco Group Employee covered by a Spinco Labor Agreement in accordance with the applicable Spinco Labor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2.7    </w:t>
      </w:r>
      <w:r>
        <w:rPr>
          <w:rFonts w:ascii="Times New Roman;serif" w:hAnsi="Times New Roman;serif"/>
          <w:b w:val="false"/>
          <w:color w:val="000000"/>
          <w:sz w:val="20"/>
          <w:u w:val="single"/>
        </w:rPr>
        <w:t>Labor Matters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 xml:space="preserve">(a)    Notwithstanding anything to the contrary in the Agreement, as of the Distribution Date, Spinco shall, or shall cause the applicable members of the Spinco Group to, assume, in accordance with their terms, each of the Spinco Labor Agreements covering Spinco Group Employees as of immediately prior to the Distribution Date. For the avoidance of doubt, nothing in this </w:t>
      </w:r>
      <w:r>
        <w:rPr>
          <w:rFonts w:ascii="Times New Roman;serif" w:hAnsi="Times New Roman;serif"/>
          <w:b w:val="false"/>
          <w:color w:val="000000"/>
          <w:sz w:val="20"/>
          <w:u w:val="single"/>
        </w:rPr>
        <w:t>Section 2.7</w:t>
      </w:r>
      <w:r>
        <w:rPr>
          <w:color w:val="000000"/>
        </w:rPr>
        <w:t xml:space="preserve"> </w:t>
      </w:r>
      <w:r>
        <w:rPr>
          <w:rFonts w:ascii="Times New Roman;serif" w:hAnsi="Times New Roman;serif"/>
          <w:b w:val="false"/>
          <w:color w:val="000000"/>
          <w:sz w:val="20"/>
        </w:rPr>
        <w:t>shall prohibit Spinco or the applicable members of the Spinco Group from amending, modifying or terminating a Spinco Labor Agreement in accordance with its terms and applicable Law.</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Prior to the Distribution Date, the Parties shall, and shall cause the other members of the Parent Group and/or Spinco Group (as applicable) to, comply with all requirements and obligations to inform, consult or otherwise notify any Spinco Group Employees, any Parent Group Employees, and/or Employee Representative Bodies in relation to the Distribution or other transactions contemplated by this Agreement and the Distribution Agreement, whether required pursuant to a Spinco Labor Agreement, the Transfer Regulations or other applicable Law.</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2.8    </w:t>
      </w:r>
      <w:r>
        <w:rPr>
          <w:rFonts w:ascii="Times New Roman;serif" w:hAnsi="Times New Roman;serif"/>
          <w:b w:val="false"/>
          <w:color w:val="000000"/>
          <w:sz w:val="20"/>
          <w:u w:val="single"/>
        </w:rPr>
        <w:t>WARN</w:t>
      </w:r>
      <w:r>
        <w:rPr>
          <w:rFonts w:ascii="Times New Roman;serif" w:hAnsi="Times New Roman;serif"/>
          <w:b w:val="false"/>
          <w:color w:val="000000"/>
          <w:sz w:val="20"/>
        </w:rPr>
        <w:t>. Notwithstanding anything set forth in this Agreement to the contrary, none of the transactions contemplated by or undertaken by this Agreement is intended to and none of the transactions contemplated by or undertaken by this Agreement shall constitute or give rise to an “employment loss” or employment separation within the meaning of the WARN Act or any other federal, state, or local Law or legal requirement addressing or requiring notice with respect to plant or facility closings, mass layoffs, or other mass employment separations. The Parties further agree to, and agree to cause the other members of the Parent Group or Spinco Group (as applicable) to, cooperate and use reasonable efforts to comply with preparing and delivering any notices required or potentially required pursuant to the WARN Act and any similar state, local or foreign Law in connection with the Distribution or other transactions contemplated by this Agreement.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U.S. QUALIFIED DEFINED CONTRIBUTION PLANS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3.1    </w:t>
      </w:r>
      <w:r>
        <w:rPr>
          <w:rFonts w:ascii="Times New Roman;serif" w:hAnsi="Times New Roman;serif"/>
          <w:b w:val="false"/>
          <w:color w:val="000000"/>
          <w:sz w:val="20"/>
          <w:u w:val="single"/>
        </w:rPr>
        <w:t>Parent 401(k) Plan</w:t>
      </w:r>
      <w:r>
        <w:rPr>
          <w:rFonts w:ascii="Times New Roman;serif" w:hAnsi="Times New Roman;serif"/>
          <w:b w:val="false"/>
          <w:color w:val="000000"/>
          <w:sz w:val="20"/>
        </w:rPr>
        <w:t>. As of the Distribution Date, Parent or a member of the Parent Group shall retain sponsorship of and responsibility for the Parent 401(k) Plan, including Liabilities associated with the accounts of each Parent Participant under the Parent 401(k) Plan. Each Parent Participant who immediately prior to the Distribution Date was a participant in, or entitled to future benefits under, the Parent 401(k) Plan shall continue to have such rights, privileges and obligations under the Parent 401(k) Plan as is provided thereunder following the Distribution Date.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3.2    </w:t>
      </w:r>
      <w:r>
        <w:rPr>
          <w:rFonts w:ascii="Times New Roman;serif" w:hAnsi="Times New Roman;serif"/>
          <w:b w:val="false"/>
          <w:color w:val="000000"/>
          <w:sz w:val="20"/>
          <w:u w:val="single"/>
        </w:rPr>
        <w:t>Spinco 401(k) Plan</w:t>
      </w:r>
      <w:r>
        <w:rPr>
          <w:rFonts w:ascii="Times New Roman;serif" w:hAnsi="Times New Roman;serif"/>
          <w:b w:val="false"/>
          <w:color w:val="000000"/>
          <w:sz w:val="20"/>
        </w:rPr>
        <w:t xml:space="preserve">. As of the Distribution Date, Spinco or a member of the Spinco Group shall retain sponsorship of and responsibility for the Spinco 401(k) Plan, including Liabilities associated with the accounts of each Spinco Participant under the Spinco 401(k) Plan. Each Spinco Participant who immediately prior to the Distribution Date was a participant in, or entitled to future benefits under, the Spinco 401(k)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Plan shall continue to have such rights, privileges and obligations under the Spinco 401(k) Plan as is provided thereunder following the Distribution Date.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IV</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BENEFIT PLAN PROVISIONS</w:t>
      </w:r>
    </w:p>
    <w:p>
      <w:pPr>
        <w:pStyle w:val="TextBody"/>
        <w:bidi w:val="0"/>
        <w:spacing w:lineRule="auto" w:line="288" w:before="0" w:after="240"/>
        <w:ind w:left="0" w:right="0" w:firstLine="1440"/>
        <w:jc w:val="both"/>
        <w:rPr/>
      </w:pPr>
      <w:r>
        <w:rPr>
          <w:rFonts w:ascii="Times New Roman;serif" w:hAnsi="Times New Roman;serif"/>
          <w:b w:val="false"/>
          <w:color w:val="000000"/>
          <w:sz w:val="20"/>
        </w:rPr>
        <w:t>Section 4.1    </w:t>
      </w:r>
      <w:r>
        <w:rPr>
          <w:rFonts w:ascii="Times New Roman;serif" w:hAnsi="Times New Roman;serif"/>
          <w:b w:val="false"/>
          <w:color w:val="000000"/>
          <w:sz w:val="20"/>
          <w:u w:val="single"/>
        </w:rPr>
        <w:t>Health and Welfare Benefit Plans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(i) Effective as of the Plan Transition Date, the participation of each Spinco Group Employee (including each Parent Transferee) in a Parent Welfare Plan shall automatically cease and (ii) Spinco shall or shall cause a member of the Spinco Group to have in effect, no later than the earlier of the date of cessation described in subsection (i) above or the business day immediately prior to the Plan Transition Date, Spinco Welfare Plans providing health and welfare benefits for the benefit of each Spinco Group Employee with terms that are substantially similar to those provided to the applicable Spinco Group Employee immediately prior to the Plan Transition Date.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(i) Effective as of the Plan Transition Date, the participation of each Parent Group Employee in a Spinco Welfare Plan shall automatically cease and (ii) Parent shall or shall cause a member of the Parent Group to have in effect, no later than the earlier of the date of cessation described in subsection (i) above or the business day immediately prior to the Plan Transition Date, Parent Welfare Plans providing health and welfare benefits for the benefit of each Parent Group Employee with terms that are substantially similar to those provided to the applicable Parent Group Employee immediately prior to the Plan Transition Date.</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The applicable member of the Spinco Group shall reimburse the applicable Parent Welfare Plan for any claims related to Parent Transferees or Former Spinco Service Providers paid by a Parent Welfare Plan (whether prior to or after the Distribution Time) and not charged back to the appropriate and applicable member of the Spinco Group prior to the Plan Transition Date. The applicable member of the Parent Group shall reimburse the applicable Spinco Welfare Plan for any claims related to Spinco Transferees or Former Parent Service Providers paid by a Spinco Welfare Plan (whether prior to or after the Distribution Time) and not charged back to the appropriate and applicable member of the Parent Group prior to the Plan Transition Date.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4.2    </w:t>
      </w:r>
      <w:r>
        <w:rPr>
          <w:rFonts w:ascii="Times New Roman;serif" w:hAnsi="Times New Roman;serif"/>
          <w:b w:val="false"/>
          <w:color w:val="000000"/>
          <w:sz w:val="20"/>
          <w:u w:val="single"/>
        </w:rPr>
        <w:t>Non-U.S. Plans</w:t>
      </w:r>
      <w:r>
        <w:rPr>
          <w:rFonts w:ascii="Times New Roman;serif" w:hAnsi="Times New Roman;serif"/>
          <w:b w:val="false"/>
          <w:color w:val="000000"/>
          <w:sz w:val="20"/>
        </w:rPr>
        <w:t>. With respect to each Parent Benefit Arrangement and Spinco Benefit Arrangement that is maintained primarily in respect of individuals who are located outside of the United States (together, the “</w:t>
      </w:r>
      <w:r>
        <w:rPr>
          <w:rFonts w:ascii="Times New Roman;serif" w:hAnsi="Times New Roman;serif"/>
          <w:b w:val="false"/>
          <w:color w:val="000000"/>
          <w:sz w:val="20"/>
          <w:u w:val="single"/>
        </w:rPr>
        <w:t>Non-U.S. Plans</w:t>
      </w:r>
      <w:r>
        <w:rPr>
          <w:color w:val="000000"/>
        </w:rPr>
        <w:t>”</w:t>
      </w:r>
      <w:r>
        <w:rPr>
          <w:rFonts w:ascii="Times New Roman;serif" w:hAnsi="Times New Roman;serif"/>
          <w:b w:val="false"/>
          <w:color w:val="000000"/>
          <w:sz w:val="20"/>
        </w:rPr>
        <w:t>), unless otherwise agreed by the Parties, (i) Parent shall fully perform, pay and discharge all obligations of the Non-U.S. Plans relating to Parent Group Employees, whenever incurred, (ii) Spinco shall fully perform, pay and discharge all obligations of the Non-U.S. Plans relating to Spinco Group Employees, whenever incurred and (iii) the Parties shall agree on the extent to which any Assets held in respect of such Non-U.S. Plans shall be retained by or transferred to the Parties.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4.3    </w:t>
      </w:r>
      <w:r>
        <w:rPr>
          <w:rFonts w:ascii="Times New Roman;serif" w:hAnsi="Times New Roman;serif"/>
          <w:b w:val="false"/>
          <w:color w:val="000000"/>
          <w:sz w:val="20"/>
          <w:u w:val="single"/>
        </w:rPr>
        <w:t>Chargeback of Certain Costs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(a)    Nothing contained in this Agreement shall limit Parent’s ability to charge back any Liabilities that it incurs in respect of any Parent Benefit Arrangement to any of its operating companies in the ordinary course of business consistent with its past practices pursuant to charge back arrangements in effect as of the Distribution Time. Subject, and in addition, to the foregoing, Parent shall allocate and charge back to Spinco or a member of the Spinco Group all Liabilities that Parent would otherwise have recognized by reason of the continued participation of Spinco Group Employees, Spinco Independent Contractors and Former Spinco Service Providers in Parent Benefit Arrangements prior to the Plan Transition Date (which Liabilities shall, for the avoidance of doubt, be subject to reimbursement under </w:t>
      </w:r>
      <w:r>
        <w:rPr>
          <w:rFonts w:ascii="Times New Roman;serif" w:hAnsi="Times New Roman;serif"/>
          <w:b w:val="false"/>
          <w:color w:val="000000"/>
          <w:sz w:val="20"/>
          <w:u w:val="single"/>
        </w:rPr>
        <w:t>Section 2.3(c)</w:t>
      </w:r>
      <w:r>
        <w:rPr>
          <w:color w:val="000000"/>
        </w:rPr>
        <w:t xml:space="preserve"> </w:t>
      </w:r>
      <w:r>
        <w:rPr>
          <w:rFonts w:ascii="Times New Roman;serif" w:hAnsi="Times New Roman;serif"/>
          <w:b w:val="false"/>
          <w:color w:val="000000"/>
          <w:sz w:val="20"/>
        </w:rPr>
        <w:t>of this Agreement).</w:t>
      </w:r>
    </w:p>
    <w:p>
      <w:pPr>
        <w:pStyle w:val="TextBody"/>
        <w:bidi w:val="0"/>
        <w:spacing w:lineRule="auto" w:line="288"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(b)    Nothing contained in this Agreement shall limit Spinco’s ability to charge back any Liabilities that it incurs in respect of any Spinco Benefit Arrangement to any of its operating companies in the ordinary course of business consistent with its past practices pursuant to charge back arrangements in effect as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Distribution Time. Subject, and in addition, to the foregoing, Spinco shall allocate and charge back to Parent or a member of the Parent Group all Liabilities that Spinco would otherwise have recognized by reason of the continued participation of Parent Group Employees, Parent Independent Contractors and Former Parent Service Providers in Spinco Benefit Arrangements prior to the Plan Transition Date (which Liabilities shall, for the avoidance of doubt, be subject to reimbursement under </w:t>
      </w:r>
      <w:r>
        <w:rPr>
          <w:rFonts w:ascii="Times New Roman;serif" w:hAnsi="Times New Roman;serif"/>
          <w:b w:val="false"/>
          <w:color w:val="000000"/>
          <w:sz w:val="20"/>
          <w:u w:val="single"/>
        </w:rPr>
        <w:t>Section 2.3(c)</w:t>
      </w:r>
      <w:r>
        <w:rPr>
          <w:color w:val="000000"/>
        </w:rPr>
        <w:t xml:space="preserve"> </w:t>
      </w:r>
      <w:r>
        <w:rPr>
          <w:rFonts w:ascii="Times New Roman;serif" w:hAnsi="Times New Roman;serif"/>
          <w:b w:val="false"/>
          <w:color w:val="000000"/>
          <w:sz w:val="20"/>
        </w:rPr>
        <w:t>of this Agreement).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V</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EQUITY INCENTIVE AWARDS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5.1    </w:t>
      </w:r>
      <w:r>
        <w:rPr>
          <w:rFonts w:ascii="Times New Roman;serif" w:hAnsi="Times New Roman;serif"/>
          <w:b w:val="false"/>
          <w:color w:val="000000"/>
          <w:sz w:val="20"/>
          <w:u w:val="single"/>
        </w:rPr>
        <w:t>Treatment of Parent PSU Awards Held by Parent Group Employees</w:t>
      </w:r>
      <w:r>
        <w:rPr>
          <w:rFonts w:ascii="Times New Roman;serif" w:hAnsi="Times New Roman;serif"/>
          <w:b w:val="false"/>
          <w:color w:val="000000"/>
          <w:sz w:val="20"/>
        </w:rPr>
        <w:t>. Upon or following the Distribution Time, each Parent PSU Award held by a Parent Group Employee that is outstanding as of the Distribution Time shall remain an award denominated in Parent common stock and shall be equitably adjusted as determined by the Board of Directors of Parent, who may be instructed by Parent’s shareholders, to reflect the Distribution (each adjusted award, an “</w:t>
      </w:r>
      <w:r>
        <w:rPr>
          <w:rFonts w:ascii="Times New Roman;serif" w:hAnsi="Times New Roman;serif"/>
          <w:b w:val="false"/>
          <w:color w:val="000000"/>
          <w:sz w:val="20"/>
          <w:u w:val="single"/>
        </w:rPr>
        <w:t>Adjusted Parent PSU Award</w:t>
      </w:r>
      <w:r>
        <w:rPr>
          <w:color w:val="000000"/>
        </w:rPr>
        <w:t>”</w:t>
      </w:r>
      <w:r>
        <w:rPr>
          <w:rFonts w:ascii="Times New Roman;serif" w:hAnsi="Times New Roman;serif"/>
          <w:b w:val="false"/>
          <w:color w:val="000000"/>
          <w:sz w:val="20"/>
        </w:rPr>
        <w:t>), which shall include an adjustment to the number of shares of Parent common stock to which the Adjusted Parent PSU Award relates and may include an adjustment to the performance objectives applicable to the original Parent PSU Award, and the Adjusted Parent PSU Award shall otherwise be subject to the substantially similar terms and conditions as the terms and conditions applicable to the corresponding Parent PSU Award immediately prior to the Distribution Time.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5.2    </w:t>
      </w:r>
      <w:r>
        <w:rPr>
          <w:rFonts w:ascii="Times New Roman;serif" w:hAnsi="Times New Roman;serif"/>
          <w:b w:val="false"/>
          <w:color w:val="000000"/>
          <w:sz w:val="20"/>
          <w:u w:val="single"/>
        </w:rPr>
        <w:t>Treatment of Parent PSU Awards Held by Spinco Group Employees</w:t>
      </w:r>
      <w:r>
        <w:rPr>
          <w:rFonts w:ascii="Times New Roman;serif" w:hAnsi="Times New Roman;serif"/>
          <w:b w:val="false"/>
          <w:color w:val="000000"/>
          <w:sz w:val="20"/>
        </w:rPr>
        <w:t>. Upon or following the Distribution Time, each Parent PSU Award held by a Spinco Group Employee that is outstanding as of the Distribution Time shall be cancelled and reissued into an award denominated in Spinco shares (a “</w:t>
      </w:r>
      <w:r>
        <w:rPr>
          <w:rFonts w:ascii="Times New Roman;serif" w:hAnsi="Times New Roman;serif"/>
          <w:b w:val="false"/>
          <w:color w:val="000000"/>
          <w:sz w:val="20"/>
          <w:u w:val="single"/>
        </w:rPr>
        <w:t>Spinco PSU Award</w:t>
      </w:r>
      <w:r>
        <w:rPr>
          <w:color w:val="000000"/>
        </w:rPr>
        <w:t>”</w:t>
      </w:r>
      <w:r>
        <w:rPr>
          <w:rFonts w:ascii="Times New Roman;serif" w:hAnsi="Times New Roman;serif"/>
          <w:b w:val="false"/>
          <w:color w:val="000000"/>
          <w:sz w:val="20"/>
        </w:rPr>
        <w:t>) and shall be subject to the substantially similar terms and conditions as the terms and conditions applicable to the corresponding Parent PSU Award immediately prior to the Distribution Time, provided, however, that (i) the number of Spinco shares to which such Spinco PSU Award relates shall be equal to the product, rounded up to the nearest whole number of shares, obtained by multiplying (x) the number of shares of Parent common stock to which the corresponding Parent PSU Award related immediately prior to the Distribution Date by (y) the equity award adjustment ratio and (ii) the performance metrics applicable to such Parent PSU Award shall be adjusted from growth of Parent’s earnings per share to growth of Spinco’s Non-GAAP Adjusted Income from Operations, excluding the impacts of capitalization of software development costs.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5.3    </w:t>
      </w:r>
      <w:r>
        <w:rPr>
          <w:rFonts w:ascii="Times New Roman;serif" w:hAnsi="Times New Roman;serif"/>
          <w:b w:val="false"/>
          <w:color w:val="000000"/>
          <w:sz w:val="20"/>
          <w:u w:val="single"/>
        </w:rPr>
        <w:t>Spinco Long-Term Incentive Plan</w:t>
      </w:r>
      <w:r>
        <w:rPr>
          <w:rFonts w:ascii="Times New Roman;serif" w:hAnsi="Times New Roman;serif"/>
          <w:b w:val="false"/>
          <w:color w:val="000000"/>
          <w:sz w:val="20"/>
        </w:rPr>
        <w:t xml:space="preserve">. Effective as of the Distribution Time, Spinco shall have adopted the Spinco Long-Term Incentive Plan, which shall permit the grant and issuance of equity incentive awards denominated in Spinco Shares as described in this </w:t>
      </w:r>
      <w:r>
        <w:rPr>
          <w:rFonts w:ascii="Times New Roman;serif" w:hAnsi="Times New Roman;serif"/>
          <w:b w:val="false"/>
          <w:color w:val="000000"/>
          <w:sz w:val="20"/>
          <w:u w:val="single"/>
        </w:rPr>
        <w:t>Article V</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5.4    </w:t>
      </w:r>
      <w:r>
        <w:rPr>
          <w:rFonts w:ascii="Times New Roman;serif" w:hAnsi="Times New Roman;serif"/>
          <w:b w:val="false"/>
          <w:color w:val="000000"/>
          <w:sz w:val="20"/>
          <w:u w:val="single"/>
        </w:rPr>
        <w:t>General Terms</w:t>
      </w:r>
      <w:r>
        <w:rPr>
          <w:rFonts w:ascii="Times New Roman;serif" w:hAnsi="Times New Roman;serif"/>
          <w:b w:val="false"/>
          <w:color w:val="000000"/>
          <w:sz w:val="20"/>
        </w:rPr>
        <w:t>.</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(a)    All of the adjustments described in this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 xml:space="preserve">shall be effectuated in accordance with Section 409A of the Code, in each case to the extent applicable. Notwithstanding the foregoing, if the treatment set forth in this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would cause adverse tax consequences to any Spinco Group Employees located outside of the United States, the Parties shall use their reasonable best efforts to cause the treatment to be conformed in a manner that does not give rise to such adverse Tax consequences.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(b)    The Parties shall use their reasonable best efforts to maintain effective registration statements with the Securities Exchange Commission with respect to the awards described in this </w:t>
      </w:r>
      <w:r>
        <w:rPr>
          <w:rFonts w:ascii="Times New Roman;serif" w:hAnsi="Times New Roman;serif"/>
          <w:b w:val="false"/>
          <w:color w:val="000000"/>
          <w:sz w:val="20"/>
          <w:u w:val="single"/>
        </w:rPr>
        <w:t>Article V</w:t>
      </w:r>
      <w:r>
        <w:rPr>
          <w:rFonts w:ascii="Times New Roman;serif" w:hAnsi="Times New Roman;serif"/>
          <w:b w:val="false"/>
          <w:color w:val="000000"/>
          <w:sz w:val="20"/>
        </w:rPr>
        <w:t>, to the extent any such registration statement is required by applicable Law.</w:t>
      </w:r>
    </w:p>
    <w:p>
      <w:pPr>
        <w:pStyle w:val="TextBody"/>
        <w:bidi w:val="0"/>
        <w:spacing w:lineRule="auto" w:line="288" w:before="0" w:after="240"/>
        <w:ind w:left="0" w:right="0" w:firstLine="1440"/>
        <w:jc w:val="left"/>
        <w:rPr/>
      </w:pPr>
      <w:r>
        <w:rPr>
          <w:rFonts w:ascii="Times New Roman;serif" w:hAnsi="Times New Roman;serif"/>
          <w:b w:val="false"/>
          <w:color w:val="000000"/>
          <w:sz w:val="20"/>
        </w:rPr>
        <w:t xml:space="preserve">(c)    The Parties hereby acknowledge that the provisions of this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are intended to achieve certain tax, legal and accounting objectives and, in the event such objectives are not achieved, the Parties agree to negotiate in good faith regarding such other actions that may be necessary or appropriate to achieve such objectives.</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VI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ADDITIONAL MATTERS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6.1    </w:t>
      </w:r>
      <w:r>
        <w:rPr>
          <w:rFonts w:ascii="Times New Roman;serif" w:hAnsi="Times New Roman;serif"/>
          <w:b w:val="false"/>
          <w:color w:val="000000"/>
          <w:sz w:val="20"/>
          <w:u w:val="single"/>
        </w:rPr>
        <w:t>Cash Incentive Programs</w:t>
      </w:r>
      <w:r>
        <w:rPr>
          <w:rFonts w:ascii="Times New Roman;serif" w:hAnsi="Times New Roman;serif"/>
          <w:b w:val="false"/>
          <w:color w:val="000000"/>
          <w:sz w:val="20"/>
        </w:rPr>
        <w:t>. For any Parent or Spinco cash incentive or sales commission performance period that has not concluded as of the Distribution (the “</w:t>
      </w:r>
      <w:r>
        <w:rPr>
          <w:rFonts w:ascii="Times New Roman;serif" w:hAnsi="Times New Roman;serif"/>
          <w:b w:val="false"/>
          <w:color w:val="000000"/>
          <w:sz w:val="20"/>
          <w:u w:val="single"/>
        </w:rPr>
        <w:t>Open Incentive Obligations</w:t>
      </w:r>
      <w:r>
        <w:rPr>
          <w:color w:val="000000"/>
        </w:rPr>
        <w:t>”</w:t>
      </w:r>
      <w:r>
        <w:rPr>
          <w:rFonts w:ascii="Times New Roman;serif" w:hAnsi="Times New Roman;serif"/>
          <w:b w:val="false"/>
          <w:color w:val="000000"/>
          <w:sz w:val="20"/>
        </w:rPr>
        <w:t>), Spinco and Parent shall provide that each applicable Spinco Group Employee and Parent Group Employee, as applicable, shall continue to be eligible to receive a cash incentive bonus or sales commission payment in accordance with the same terms and conditions as applied to such Spinco Group Employee or Parent Group Employee under the corresponding Parent or Spinco cash incentive or sales commission program as in effect immediately prior to the date of such transfer, as equitably adjusted (if applicable) by the Spinco Compensation Committee or Parent Remuneration Committee, as applicable, to the extent necessary to reflect the transactions contemplated by the Distribution Agreement. Notwithstanding any provision of this Agreement or the Distribution Agreement to the contrary, neither Parent nor Spinco shall be obligated to transfer assets in respect of the Open Incentive Obligations. Parent acknowledges and agrees that, except as otherwise provided herein, it shall have full responsibility with respect to any Liabilities and the payment or performance of any obligations arising out of or relating to any incentive, commission or other similar compensatory arrangement previously provided by any member of the Parent Group or Spinco Group to any Parent Group Employee. Spinco acknowledges and agrees that, except as otherwise provided herein, it shall have full responsibility with respect to any Liabilities and the payment or performance of any obligations arising out of or relating to any incentive, commission or other similar compensatory arrangement previously provided by any member of the Parent Group or Spinco Group to any Spinco Group Employee.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6.2    </w:t>
      </w:r>
      <w:r>
        <w:rPr>
          <w:rFonts w:ascii="Times New Roman;serif" w:hAnsi="Times New Roman;serif"/>
          <w:b w:val="false"/>
          <w:color w:val="000000"/>
          <w:sz w:val="20"/>
          <w:u w:val="single"/>
        </w:rPr>
        <w:t>Individual Arrangements</w:t>
      </w:r>
      <w:r>
        <w:rPr>
          <w:rFonts w:ascii="Times New Roman;serif" w:hAnsi="Times New Roman;serif"/>
          <w:b w:val="false"/>
          <w:color w:val="000000"/>
          <w:sz w:val="20"/>
        </w:rPr>
        <w:t>. Parent acknowledges and agrees that, except as otherwise provided herein, it shall have full responsibility with respect to any Liabilities and the payment or performance of any obligations arising out of or relating to any employment, separation, severance, consulting, non-competition, retention or other compensatory arrangement previously provided by any member of the Parent Group or Spinco Group to any Parent Group Employee. Spinco acknowledges and agrees that, except as otherwise provided herein, it shall have full responsibility with respect to any Liabilities and the payment or performance of any obligations arising out of or relating to any employment, separation, severance, consulting, non-competition, retention or other compensatory arrangement previously provided by any member of the Parent Group or Spinco Group to any Spinco Group Employee.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6.3    </w:t>
      </w:r>
      <w:r>
        <w:rPr>
          <w:rFonts w:ascii="Times New Roman;serif" w:hAnsi="Times New Roman;serif"/>
          <w:b w:val="false"/>
          <w:color w:val="000000"/>
          <w:sz w:val="20"/>
          <w:u w:val="single"/>
        </w:rPr>
        <w:t>Transfers of Independent Contractors</w:t>
      </w:r>
      <w:r>
        <w:rPr>
          <w:rFonts w:ascii="Times New Roman;serif" w:hAnsi="Times New Roman;serif"/>
          <w:b w:val="false"/>
          <w:color w:val="000000"/>
          <w:sz w:val="20"/>
        </w:rPr>
        <w:t>. Subject to the requirements of applicable Law, through and until immediately before the Distribution Time, Parent shall use its reasonable best efforts to (i) cause the contract of services of any Spinco Independent Contractor to be transferred to (or retained by, as applicable) a member of the Spinco Group and (ii) cause the contract of services between any Parent Independent Contractor to be transferred to (or retained by, as applicable) a member of the Parent Group.</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6.4    </w:t>
      </w:r>
      <w:r>
        <w:rPr>
          <w:rFonts w:ascii="Times New Roman;serif" w:hAnsi="Times New Roman;serif"/>
          <w:b w:val="false"/>
          <w:color w:val="000000"/>
          <w:sz w:val="20"/>
          <w:u w:val="single"/>
        </w:rPr>
        <w:t>Severance Pay Plans</w:t>
      </w:r>
      <w:r>
        <w:rPr>
          <w:rFonts w:ascii="Times New Roman;serif" w:hAnsi="Times New Roman;serif"/>
          <w:b w:val="false"/>
          <w:color w:val="000000"/>
          <w:sz w:val="20"/>
        </w:rPr>
        <w:t>. The Parties acknowledge and agree that the transactions contemplated by the Distribution Agreement will not constitute a termination of employment of any Parent Group Employee or Spinco Group Employee for purposes of any policy, plan, program or agreement of Parent or Spinco or any member of the Parent Group or Spinco Group that provides for the payment of severance, separation pay, salary continuation or similar benefits in the event of a termination of employment.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6.5    </w:t>
      </w:r>
      <w:r>
        <w:rPr>
          <w:rFonts w:ascii="Times New Roman;serif" w:hAnsi="Times New Roman;serif"/>
          <w:b w:val="false"/>
          <w:color w:val="000000"/>
          <w:sz w:val="20"/>
          <w:u w:val="single"/>
        </w:rPr>
        <w:t>Time-Off Benefits</w:t>
      </w:r>
      <w:r>
        <w:rPr>
          <w:rFonts w:ascii="Times New Roman;serif" w:hAnsi="Times New Roman;serif"/>
          <w:b w:val="false"/>
          <w:color w:val="000000"/>
          <w:sz w:val="20"/>
        </w:rPr>
        <w:t>. Spinco and Parent shall credit each Spinco Group Employee and Parent Group Employee, respectively, with the amount of accrued but unused vacation time, sick time and other time-off benefits as such Spinco Participant or Parent Participant had with the Parent Group or the Spinco Group, as applicable, as of the Distribution Date.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6.6    </w:t>
      </w:r>
      <w:r>
        <w:rPr>
          <w:rFonts w:ascii="Times New Roman;serif" w:hAnsi="Times New Roman;serif"/>
          <w:b w:val="false"/>
          <w:color w:val="000000"/>
          <w:sz w:val="20"/>
          <w:u w:val="single"/>
        </w:rPr>
        <w:t>Workers’ Compensation Liabilities</w:t>
      </w:r>
      <w:r>
        <w:rPr>
          <w:rFonts w:ascii="Times New Roman;serif" w:hAnsi="Times New Roman;serif"/>
          <w:b w:val="false"/>
          <w:color w:val="000000"/>
          <w:sz w:val="20"/>
        </w:rPr>
        <w:t xml:space="preserve">. Effective no later than the Distribution Time, Spinco shall assume all Liabilities for Spinco Group Employees and Former Spinco Service Providers related to any and all workers’ compensation injuries, incidents, conditions, claims or coverage, whenever incurred (including claims incurred prior to the Distribution Time but not reported until after the Distribution Time), and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Spinco shall be fully responsible for the administration, management and payment of all such claims and satisfaction of all such Liabilities. Notwithstanding the foregoing, if Spinco is unable to assume any such Liability or the administration, management or payment of any such claim solely because of the operation of applicable Law, Parent shall retain such Liabilities and Spinco shall reimburse and otherwise fully indemnify Parent for all such Liabilities, including the costs of administering the plans, programs or arrangements under which any such Liabilities have accrued or otherwise arisen.</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6.7    </w:t>
      </w:r>
      <w:r>
        <w:rPr>
          <w:rFonts w:ascii="Times New Roman;serif" w:hAnsi="Times New Roman;serif"/>
          <w:b w:val="false"/>
          <w:color w:val="000000"/>
          <w:sz w:val="20"/>
          <w:u w:val="single"/>
        </w:rPr>
        <w:t>COBRA and HIPAA</w:t>
      </w:r>
      <w:r>
        <w:rPr>
          <w:rFonts w:ascii="Times New Roman;serif" w:hAnsi="Times New Roman;serif"/>
          <w:b w:val="false"/>
          <w:color w:val="000000"/>
          <w:sz w:val="20"/>
        </w:rPr>
        <w:t>. Spinco shall assume responsibility for compliance with the health care continuation requirements of COBRA, the certificate of creditable coverage requirements of HIPAA, and the corresponding provisions of the Spinco Welfare Plans, with respect to any participating Spinco Group Employee who incurs a qualifying event or loss of coverage under the Spinco Welfare Plans on or after the Distribution Date. Parent shall retain responsibility for compliance with the health care continuation coverage requirements of COBRA with respect to participating Spinco Group Employees who, as of the day prior to the Distribution Date, were covered under a Parent Welfare Plan pursuant to COBRA or who had incurred a COBRA “qualifying event” and were eligible to elect COBRA under a Parent Welfare Plan. The Parties hereto agree that neither the Distribution nor any transfers of employment directly from the Spinco Group to the Parent Group or directly from the Parent Group to the Spinco Group that occur before the Distribution Date shall constitute a COBRA “qualifying event” for purposes of COBRA.</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6.8    </w:t>
      </w:r>
      <w:r>
        <w:rPr>
          <w:rFonts w:ascii="Times New Roman;serif" w:hAnsi="Times New Roman;serif"/>
          <w:b w:val="false"/>
          <w:color w:val="000000"/>
          <w:sz w:val="20"/>
          <w:u w:val="single"/>
        </w:rPr>
        <w:t>Code Section 409A</w:t>
      </w:r>
      <w:r>
        <w:rPr>
          <w:rFonts w:ascii="Times New Roman;serif" w:hAnsi="Times New Roman;serif"/>
          <w:b w:val="false"/>
          <w:color w:val="000000"/>
          <w:sz w:val="20"/>
        </w:rPr>
        <w:t>. Notwithstanding anything in this Agreement to the contrary, the Parties shall negotiate in good faith regarding the need for any treatment different from that otherwise provided herein with respect to the payment of compensation to ensure that the treatment of such compensation does not cause the imposition of a Tax under Section 409A of the Code. In no event, however, shall any Party be liable to another in respect of any Taxes imposed under, or any other costs or Liabilities relating to, Section 409A of the Code.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6.9    </w:t>
      </w:r>
      <w:r>
        <w:rPr>
          <w:rFonts w:ascii="Times New Roman;serif" w:hAnsi="Times New Roman;serif"/>
          <w:b w:val="false"/>
          <w:color w:val="000000"/>
          <w:sz w:val="20"/>
          <w:u w:val="single"/>
        </w:rPr>
        <w:t>Payroll Taxes and Reporting</w:t>
      </w:r>
      <w:r>
        <w:rPr>
          <w:rFonts w:ascii="Times New Roman;serif" w:hAnsi="Times New Roman;serif"/>
          <w:b w:val="false"/>
          <w:color w:val="000000"/>
          <w:sz w:val="20"/>
        </w:rPr>
        <w:t>. The Parties shall, to the extent practicable, (i) treat Spinco or a member of the Spinco Group as a “successor employer” and Parent (or the appropriate member of the Parent Group) as a “predecessor,” within the meaning of Sections 3121(a)(1) and 3306(b)(1) of the Code, with respect to Parent Transferees for purposes of Taxes imposed under the United States Federal Unemployment Tax Act or the United States Federal Insurance Contributions Act, and (ii) cooperate with each other to avoid, to the extent possible, the filing of more than one IRS Form W-2 with respect to each Parent Transferee for the calendar year in which the Distribution Date occurs.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6.10    </w:t>
      </w:r>
      <w:r>
        <w:rPr>
          <w:rFonts w:ascii="Times New Roman;serif" w:hAnsi="Times New Roman;serif"/>
          <w:b w:val="false"/>
          <w:color w:val="000000"/>
          <w:sz w:val="20"/>
          <w:u w:val="single"/>
        </w:rPr>
        <w:t>Certain Requirements</w:t>
      </w:r>
      <w:r>
        <w:rPr>
          <w:rFonts w:ascii="Times New Roman;serif" w:hAnsi="Times New Roman;serif"/>
          <w:b w:val="false"/>
          <w:color w:val="000000"/>
          <w:sz w:val="20"/>
        </w:rPr>
        <w:t>. Notwithstanding anything in this Agreement to the contrary, if the Transfer Regulations, the terms of a Spinco Labor Agreement or applicable Law require that any assets or Liabilities be retained by the Parent Group or transferred to or assumed by the Spinco Group in a manner that is different from that set forth in this Agreement, such retention, transfer or assumption shall be made in accordance with the terms of such Spinco Labor Agreement or applicable Law and shall not be made as otherwise set forth in this Agreement.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VII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7.1    </w:t>
      </w:r>
      <w:r>
        <w:rPr>
          <w:rFonts w:ascii="Times New Roman;serif" w:hAnsi="Times New Roman;serif"/>
          <w:b w:val="false"/>
          <w:color w:val="000000"/>
          <w:sz w:val="20"/>
          <w:u w:val="single"/>
        </w:rPr>
        <w:t>Employer Rights</w:t>
      </w:r>
      <w:r>
        <w:rPr>
          <w:rFonts w:ascii="Times New Roman;serif" w:hAnsi="Times New Roman;serif"/>
          <w:b w:val="false"/>
          <w:color w:val="000000"/>
          <w:sz w:val="20"/>
        </w:rPr>
        <w:t>. Nothing in this Agreement shall be deemed to be an amendment to any Parent Benefit Arrangement or Spinco Benefit Arrangement or to prohibit any member of the Parent Group or Spinco Group, as the case may be, from amending, modifying or terminating any Parent Benefit Arrangement or Spinco Benefit Arrangement at any time in its sole discretion.</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7.2    </w:t>
      </w:r>
      <w:r>
        <w:rPr>
          <w:rFonts w:ascii="Times New Roman;serif" w:hAnsi="Times New Roman;serif"/>
          <w:b w:val="false"/>
          <w:color w:val="000000"/>
          <w:sz w:val="20"/>
          <w:u w:val="single"/>
        </w:rPr>
        <w:t>Effect on Employment</w:t>
      </w:r>
      <w:r>
        <w:rPr>
          <w:rFonts w:ascii="Times New Roman;serif" w:hAnsi="Times New Roman;serif"/>
          <w:b w:val="false"/>
          <w:color w:val="000000"/>
          <w:sz w:val="20"/>
        </w:rPr>
        <w:t>. Nothing in this Agreement is intended to or shall confer upon any Parent Group Employee, Spinco Group Employee, Former Parent Service Provider or Former Spinco Service Provider any right to continued employment, or any recall or similar rights to any such individual on layoff or any type of approved leave.</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7.3    </w:t>
      </w:r>
      <w:r>
        <w:rPr>
          <w:rFonts w:ascii="Times New Roman;serif" w:hAnsi="Times New Roman;serif"/>
          <w:b w:val="false"/>
          <w:color w:val="000000"/>
          <w:sz w:val="20"/>
          <w:u w:val="single"/>
        </w:rPr>
        <w:t>Consent of Third Parties</w:t>
      </w:r>
      <w:r>
        <w:rPr>
          <w:rFonts w:ascii="Times New Roman;serif" w:hAnsi="Times New Roman;serif"/>
          <w:b w:val="false"/>
          <w:color w:val="000000"/>
          <w:sz w:val="20"/>
        </w:rPr>
        <w:t>. If any provision of this Agreement is dependent on the consent of any third party and such consent is withheld, the Parties shall use their reasonable best efforts to implement the applicable provisions of this Agreement to the fullest extent practicable. If any provision of this Agreement cannot be implemented due to the failure of such third party to consent, the Parties hereto shall negotiate in good faith to implement the provision (as applicable) in a mutually satisfactory manner.</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7.4    </w:t>
      </w:r>
      <w:r>
        <w:rPr>
          <w:rFonts w:ascii="Times New Roman;serif" w:hAnsi="Times New Roman;serif"/>
          <w:b w:val="false"/>
          <w:color w:val="000000"/>
          <w:sz w:val="20"/>
          <w:u w:val="single"/>
        </w:rPr>
        <w:t>Access to Employees</w:t>
      </w:r>
      <w:r>
        <w:rPr>
          <w:rFonts w:ascii="Times New Roman;serif" w:hAnsi="Times New Roman;serif"/>
          <w:b w:val="false"/>
          <w:color w:val="000000"/>
          <w:sz w:val="20"/>
        </w:rPr>
        <w:t xml:space="preserve">. On and after the Distribution Time, Parent and Spinco shall, or shall cause each of their respective Affiliates to, make available to each other those of their employees who may reasonably be needed in order to defend or prosecute any legal or administrative action (other than a legal action between Parent and Spinco) to which any employee or director of the Parent Group or the Spinco Group or any Parent Benefit Arrangement or Spinco Benefit Arrangement is a party and which relates to a Parent Benefit Arrangement or Spinco Benefit Arrangement. The Party to whom an employee is made available in accordance with this </w:t>
      </w:r>
      <w:r>
        <w:rPr>
          <w:rFonts w:ascii="Times New Roman;serif" w:hAnsi="Times New Roman;serif"/>
          <w:b w:val="false"/>
          <w:color w:val="000000"/>
          <w:sz w:val="20"/>
          <w:u w:val="single"/>
        </w:rPr>
        <w:t>Section 7.4</w:t>
      </w:r>
      <w:r>
        <w:rPr>
          <w:color w:val="000000"/>
        </w:rPr>
        <w:t xml:space="preserve"> </w:t>
      </w:r>
      <w:r>
        <w:rPr>
          <w:rFonts w:ascii="Times New Roman;serif" w:hAnsi="Times New Roman;serif"/>
          <w:b w:val="false"/>
          <w:color w:val="000000"/>
          <w:sz w:val="20"/>
        </w:rPr>
        <w:t>shall pay or reimburse the other Party for all reasonable expenses which may be incurred by such employee in connection therewith, including all reasonable travel, lodging, and meal expenses, but excluding any amount for such employee’s time spent in connection herewith.</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7.5    </w:t>
      </w:r>
      <w:r>
        <w:rPr>
          <w:rFonts w:ascii="Times New Roman;serif" w:hAnsi="Times New Roman;serif"/>
          <w:b w:val="false"/>
          <w:color w:val="000000"/>
          <w:sz w:val="20"/>
          <w:u w:val="single"/>
        </w:rPr>
        <w:t>Beneficiary Designation/Release of Information/Right to Reimbursement</w:t>
      </w:r>
      <w:r>
        <w:rPr>
          <w:rFonts w:ascii="Times New Roman;serif" w:hAnsi="Times New Roman;serif"/>
          <w:b w:val="false"/>
          <w:color w:val="000000"/>
          <w:sz w:val="20"/>
        </w:rPr>
        <w:t>. To the extent permitted by applicable Law and except as otherwise provided for in this Agreement, all beneficiary designations, authorizations for the release of information and rights to reimbursement made by or relating to Spinco Group Employees under Parent Benefit Arrangements, or to Parent Group Employees under Spinco Benefit Arrangements, shall be transferred to and be in full force and effect under the corresponding Spinco Benefit Arrangements or Parent Benefit Arrangements, respectively, until such beneficiary designations, authorizations or rights are replaced or revoked by, or no longer apply, to the relevant Spinco Group Employee or Parent Group Employee.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7.6    </w:t>
      </w:r>
      <w:r>
        <w:rPr>
          <w:rFonts w:ascii="Times New Roman;serif" w:hAnsi="Times New Roman;serif"/>
          <w:b w:val="false"/>
          <w:color w:val="000000"/>
          <w:sz w:val="20"/>
          <w:u w:val="single"/>
        </w:rPr>
        <w:t>No Third Party Beneficiaries</w:t>
      </w:r>
      <w:r>
        <w:rPr>
          <w:rFonts w:ascii="Times New Roman;serif" w:hAnsi="Times New Roman;serif"/>
          <w:b w:val="false"/>
          <w:color w:val="000000"/>
          <w:sz w:val="20"/>
        </w:rPr>
        <w:t>. This Agreement is solely for the benefit of the Parties and, except to the extent otherwise expressly provided herein, nothing in this Agreement, express or implied, is intended to confer any rights, benefits, obligations or Liabilities under this Agreement upon any Person, other than the Parties and their respective successors and assigns.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7.7    </w:t>
      </w:r>
      <w:r>
        <w:rPr>
          <w:rFonts w:ascii="Times New Roman;serif" w:hAnsi="Times New Roman;serif"/>
          <w:b w:val="false"/>
          <w:color w:val="000000"/>
          <w:sz w:val="20"/>
          <w:u w:val="single"/>
        </w:rPr>
        <w:t>No Acceleration of Benefits</w:t>
      </w:r>
      <w:r>
        <w:rPr>
          <w:rFonts w:ascii="Times New Roman;serif" w:hAnsi="Times New Roman;serif"/>
          <w:b w:val="false"/>
          <w:color w:val="000000"/>
          <w:sz w:val="20"/>
        </w:rPr>
        <w:t>. Except as otherwise provided in this Agreement, no provision of this Agreement shall be construed to create any right, or accelerate vesting or entitlement, to any compensation or benefit whatsoever on the part of any Spinco Group Employee, Parent Group Employee or other former, current or future employee of the Parent Group or Spinco Group under any Benefit Arrangement of the Parent Group or Spinco Group.</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7.8    </w:t>
      </w:r>
      <w:r>
        <w:rPr>
          <w:rFonts w:ascii="Times New Roman;serif" w:hAnsi="Times New Roman;serif"/>
          <w:b w:val="false"/>
          <w:color w:val="000000"/>
          <w:sz w:val="20"/>
          <w:u w:val="single"/>
        </w:rPr>
        <w:t>Employee Benefits Administration</w:t>
      </w:r>
      <w:r>
        <w:rPr>
          <w:rFonts w:ascii="Times New Roman;serif" w:hAnsi="Times New Roman;serif"/>
          <w:b w:val="false"/>
          <w:color w:val="000000"/>
          <w:sz w:val="20"/>
        </w:rPr>
        <w:t>. At all times following the date hereof, the Parties will cooperate in good faith as necessary to facilitate the administration of employee benefits and the resolution of related employee benefit claims with respect to employees and other service providers of Spinco and Parent, including with respect to the provision of employee level information necessary for the other Party to manage, administer, finance and file required reports with respect to such administration.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VIII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88" w:before="0" w:after="240"/>
        <w:ind w:left="0" w:right="0" w:firstLine="1440"/>
        <w:jc w:val="both"/>
        <w:rPr/>
      </w:pPr>
      <w:r>
        <w:rPr>
          <w:rFonts w:ascii="Times New Roman;serif" w:hAnsi="Times New Roman;serif"/>
          <w:b w:val="false"/>
          <w:color w:val="000000"/>
          <w:sz w:val="20"/>
        </w:rPr>
        <w:t>Section 8.1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This Agreement (including the Exhibits and Schedules) and the Distribution Agreement (including the Exhibits and Schedules) constitute the entire agreement between the Parties with respect to the subject matter hereof and supersede all prior agreements and understandings between the parties with respect to such subject matter. In the event of any conflict between this Agreement and the Distribution Agreement, the terms of this Agreement shall prevail.</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8.2    </w:t>
      </w:r>
      <w:r>
        <w:rPr>
          <w:rFonts w:ascii="Times New Roman;serif" w:hAnsi="Times New Roman;serif"/>
          <w:b w:val="false"/>
          <w:color w:val="000000"/>
          <w:sz w:val="20"/>
          <w:u w:val="single"/>
        </w:rPr>
        <w:t>Counterparts</w:t>
      </w:r>
      <w:r>
        <w:rPr>
          <w:rFonts w:ascii="Times New Roman;serif" w:hAnsi="Times New Roman;serif"/>
          <w:b w:val="false"/>
          <w:color w:val="000000"/>
          <w:sz w:val="20"/>
        </w:rPr>
        <w:t xml:space="preserve">. This Agreement may be executed in two or more counterparts (including by electronic or .pdf transmission), each of which shall be deemed an original, but all of which together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shall constitute one and the same instrument. Delivery of any signature page by facsimile, electronic or .pdf transmission shall be binding to the same extent as an original signature page.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8.3    </w:t>
      </w:r>
      <w:r>
        <w:rPr>
          <w:rFonts w:ascii="Times New Roman;serif" w:hAnsi="Times New Roman;serif"/>
          <w:b w:val="false"/>
          <w:color w:val="000000"/>
          <w:sz w:val="20"/>
          <w:u w:val="single"/>
        </w:rPr>
        <w:t>Survival of Covenants</w:t>
      </w:r>
      <w:r>
        <w:rPr>
          <w:rFonts w:ascii="Times New Roman;serif" w:hAnsi="Times New Roman;serif"/>
          <w:b w:val="false"/>
          <w:color w:val="000000"/>
          <w:sz w:val="20"/>
        </w:rPr>
        <w:t>. Except as expressly set forth in this Agreement, the covenants and other agreements contained in this Agreement, and liability for the breach of any covenants and other agreements contained herein, shall survive each of the Reorganization and the Distribution and shall remain in full force and effect.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8.4    </w:t>
      </w:r>
      <w:r>
        <w:rPr>
          <w:rFonts w:ascii="Times New Roman;serif" w:hAnsi="Times New Roman;serif"/>
          <w:b w:val="false"/>
          <w:color w:val="000000"/>
          <w:sz w:val="20"/>
          <w:u w:val="single"/>
        </w:rPr>
        <w:t>Dispute Resolution</w:t>
      </w:r>
      <w:r>
        <w:rPr>
          <w:rFonts w:ascii="Times New Roman;serif" w:hAnsi="Times New Roman;serif"/>
          <w:b w:val="false"/>
          <w:color w:val="000000"/>
          <w:sz w:val="20"/>
        </w:rPr>
        <w:t xml:space="preserve">. The Parties acknowledge and agree that Article VIII of the Distribution Agreement is hereby incorporated into this Agreement, and the procedures set forth therein shall apply, </w:t>
      </w:r>
      <w:r>
        <w:rPr>
          <w:rFonts w:ascii="Times New Roman;serif" w:hAnsi="Times New Roman;serif"/>
          <w:b w:val="false"/>
          <w:i/>
          <w:color w:val="000000"/>
          <w:sz w:val="20"/>
        </w:rPr>
        <w:t>mutatis mutandis</w:t>
      </w:r>
      <w:r>
        <w:rPr>
          <w:rFonts w:ascii="Times New Roman;serif" w:hAnsi="Times New Roman;serif"/>
          <w:b w:val="false"/>
          <w:color w:val="000000"/>
          <w:sz w:val="20"/>
        </w:rPr>
        <w:t>, to any dispute, controversy, or claim arising out of or relating to this Agreement, including the breach, termination, or validity thereof, and any question of the arbitrators’ jurisdiction, the arbitrability of any claim, or the existence, scope or validity of this arbitration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8.5    </w:t>
      </w:r>
      <w:r>
        <w:rPr>
          <w:rFonts w:ascii="Times New Roman;serif" w:hAnsi="Times New Roman;serif"/>
          <w:b w:val="false"/>
          <w:color w:val="000000"/>
          <w:sz w:val="20"/>
          <w:u w:val="single"/>
        </w:rPr>
        <w:t>Notices</w:t>
      </w:r>
      <w:r>
        <w:rPr>
          <w:rFonts w:ascii="Times New Roman;serif" w:hAnsi="Times New Roman;serif"/>
          <w:b w:val="false"/>
          <w:color w:val="000000"/>
          <w:sz w:val="20"/>
        </w:rPr>
        <w:t>. All notices and other communications among the Parties under this Agreement shall be in writing and shall be deemed to have been duly given (w) when delivered in person, (x) when delivered after posting in the national mail having been sent registered or certified mail return receipt requested, postage prepaid, (y) when delivered by FedEx or other internationally recognized overnight delivery service or (z) when delivered by facsimile (solely if receipt is confirmed) or email (so long as the sender of such email does not receive an automatic reply from the recipient’s email server indicating that the recipient did not receive such email), addressed as follows:</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    If to Parent or, on or prior to the Distribution Date, to Spinco, then to:</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Hexagon AB</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 Box 3692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SE-103 59 Stockholm, Sweden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Street address: Lilla Bantorget 15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SE-111 23 Stockholm, Sweden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Attention:    Anthony P. Zana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a copy (which shall not constitute notice) to:</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Sullivan &amp; Cromwell LLP</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125 Broad Street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York, NY 10004-2498</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Sullivan &amp; Cromwell LLP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New Fetter Lane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London, EC4A 1AN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United Kingdom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Attention:    Evan S. Simpson</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Alan J. Fishman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(b)    if, following the Distribution Date, to Spinco, then to:</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Octave Intelligence plc</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305 Intergraph Way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Madison, Alabama 35758</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Attention:    Anthony P. Zana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a copy (which shall not constitute notice) to:</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Sullivan &amp; Cromwell LLP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125 Broad Street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York, NY 10004-2498</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Sullivan &amp; Cromwell LLP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New Fetter Lane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London, EC4A 1AN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United Kingdom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Attention:    Evan S. Simpson</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Alan J. Fishman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or to such other address or addresses as the Parties may from time to time designate in writing by like notice.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8.6    </w:t>
      </w:r>
      <w:r>
        <w:rPr>
          <w:rFonts w:ascii="Times New Roman;serif" w:hAnsi="Times New Roman;serif"/>
          <w:b w:val="false"/>
          <w:color w:val="000000"/>
          <w:sz w:val="20"/>
          <w:u w:val="single"/>
        </w:rPr>
        <w:t>Waivers</w:t>
      </w:r>
      <w:r>
        <w:rPr>
          <w:rFonts w:ascii="Times New Roman;serif" w:hAnsi="Times New Roman;serif"/>
          <w:b w:val="false"/>
          <w:color w:val="000000"/>
          <w:sz w:val="20"/>
        </w:rPr>
        <w:t>. Any consent required or permitted to be given by any Party to the other Party under this Agreement shall be in writing and signed by the Party giving such consent and shall be effective only against such Party.</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8.7    </w:t>
      </w:r>
      <w:r>
        <w:rPr>
          <w:rFonts w:ascii="Times New Roman;serif" w:hAnsi="Times New Roman;serif"/>
          <w:b w:val="false"/>
          <w:color w:val="000000"/>
          <w:sz w:val="20"/>
          <w:u w:val="single"/>
        </w:rPr>
        <w:t>Assignment</w:t>
      </w:r>
      <w:r>
        <w:rPr>
          <w:rFonts w:ascii="Times New Roman;serif" w:hAnsi="Times New Roman;serif"/>
          <w:b w:val="false"/>
          <w:color w:val="000000"/>
          <w:sz w:val="20"/>
        </w:rPr>
        <w:t xml:space="preserve">. This Agreement shall not be assigned by any Party without the prior written consent of Spinco and Parent, except that a Party may assign any or all of its rights and obligations under this Agreement in connection with a sale or disposition of any assets or entities or lines of business of such Party or in connection with a merger transaction in which such Party is not the surviving entity;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in each case, no such assignment shall release such Party from any liability or obligation under this Agreement. The provisions of this Agreement and the obligations and rights under this Agreement shall be binding upon, inure to the benefit of and be enforceable by (and against) the Parties and their respective successors and permitted transferees and assigns.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8.8    </w:t>
      </w:r>
      <w:r>
        <w:rPr>
          <w:rFonts w:ascii="Times New Roman;serif" w:hAnsi="Times New Roman;serif"/>
          <w:b w:val="false"/>
          <w:color w:val="000000"/>
          <w:sz w:val="20"/>
          <w:u w:val="single"/>
        </w:rPr>
        <w:t>Specific Performance</w:t>
      </w:r>
      <w:r>
        <w:rPr>
          <w:rFonts w:ascii="Times New Roman;serif" w:hAnsi="Times New Roman;serif"/>
          <w:b w:val="false"/>
          <w:color w:val="000000"/>
          <w:sz w:val="20"/>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their rights under this Agreement. The Parties agree that the remedies at law for any breach or threatened breach, including monetary damages, may be inadequate compensation for any loss and that any defense in any action for specific performance that a remedy at law would be adequate is waived. Any requirements for the securing or posting of any bond with such remedy are waived by each of the Parties. Nothing in this section is intended to limit or waive the aggrieved Party’s ability to pursue any other remedy to which it is entitled.</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8.9    </w:t>
      </w:r>
      <w:r>
        <w:rPr>
          <w:rFonts w:ascii="Times New Roman;serif" w:hAnsi="Times New Roman;serif"/>
          <w:b w:val="false"/>
          <w:color w:val="000000"/>
          <w:sz w:val="20"/>
          <w:u w:val="single"/>
        </w:rPr>
        <w:t>WAIVER OF JURY TRIAL</w:t>
      </w:r>
      <w:r>
        <w:rPr>
          <w:rFonts w:ascii="Times New Roman;serif" w:hAnsi="Times New Roman;serif"/>
          <w:b w:val="false"/>
          <w:color w:val="000000"/>
          <w:sz w:val="20"/>
        </w:rPr>
        <w:t xml:space="preserve">. THE PARTIES HEREBY UNCONDITIONALLY AND IRREVOCABLY WANE THEIR RIGHT TO TRIAL BY JURY IN ANY JUDICIAL PROCEEDING IN ANY COURT RELATING TO ANY DISPUTE, CONTROVERSY OR CLAIM ARISING OUT OF, RELATING TO OR IN CONNECTION WITH THIS AGREEMENT OR ANY TRANSACTION DOCUMENT (INCLUDING ANY SCHEDULE OR EXHIBIT HERETO AND THERETO) OR THE BREACH, TERMINATION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SECTION 8.10. NO PARTY HAS IN ANY WAY AGREED WITH OR REPRESENTED TO ANY OTHER PARTY THAT THE PROVISIONS OF THIS SECTION 8.10 WILL NOT BE FULLY ENFORCED IN ALL INSTANCES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8.10    </w:t>
      </w:r>
      <w:r>
        <w:rPr>
          <w:rFonts w:ascii="Times New Roman;serif" w:hAnsi="Times New Roman;serif"/>
          <w:b w:val="false"/>
          <w:color w:val="000000"/>
          <w:sz w:val="20"/>
          <w:u w:val="single"/>
        </w:rPr>
        <w:t>Termination and Amendment</w:t>
      </w:r>
      <w:r>
        <w:rPr>
          <w:rFonts w:ascii="Times New Roman;serif" w:hAnsi="Times New Roman;serif"/>
          <w:b w:val="false"/>
          <w:color w:val="000000"/>
          <w:sz w:val="20"/>
        </w:rPr>
        <w:t>. This Agreement may be terminated, modified or amended at any time prior to the Distribution Date by and in the sole discretion of Parent without the approval of Spinco or the stockholders of Parent. In the event of such termination, no Party shall have any liability of any kind to the other Party or any other Person. After the Distribution Date, this Agreement may not be terminated, modified or amended except by an agreement in writing signed by Parent and Spinco.</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8.11    </w:t>
      </w:r>
      <w:r>
        <w:rPr>
          <w:rFonts w:ascii="Times New Roman;serif" w:hAnsi="Times New Roman;serif"/>
          <w:b w:val="false"/>
          <w:color w:val="000000"/>
          <w:sz w:val="20"/>
          <w:u w:val="single"/>
        </w:rPr>
        <w:t>Subsidiaries</w:t>
      </w:r>
      <w:r>
        <w:rPr>
          <w:rFonts w:ascii="Times New Roman;serif" w:hAnsi="Times New Roman;serif"/>
          <w:b w:val="false"/>
          <w:color w:val="000000"/>
          <w:sz w:val="20"/>
        </w:rPr>
        <w:t>. Each of the Parties shall cause to be performed, and hereby guarantees the performance of, all actions, agreements and obligations set forth herein to be performed by any Subsidiary of such Party or by any entity that becomes a Subsidiary of such Party at and after the Distribution Time, to the extent such Subsidiary remains a Subsidiary of the applicable Party.</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8.12    </w:t>
      </w:r>
      <w:r>
        <w:rPr>
          <w:rFonts w:ascii="Times New Roman;serif" w:hAnsi="Times New Roman;serif"/>
          <w:b w:val="false"/>
          <w:color w:val="000000"/>
          <w:sz w:val="20"/>
          <w:u w:val="single"/>
        </w:rPr>
        <w:t>Headings</w:t>
      </w:r>
      <w:r>
        <w:rPr>
          <w:rFonts w:ascii="Times New Roman;serif" w:hAnsi="Times New Roman;serif"/>
          <w:b w:val="false"/>
          <w:color w:val="000000"/>
          <w:sz w:val="20"/>
        </w:rPr>
        <w:t>. The headings contained in this Agreement are inserted for convenience only and shall not be considered in interpreting or construing any of the provisions contained in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8.13    </w:t>
      </w:r>
      <w:r>
        <w:rPr>
          <w:rFonts w:ascii="Times New Roman;serif" w:hAnsi="Times New Roman;serif"/>
          <w:b w:val="false"/>
          <w:color w:val="000000"/>
          <w:sz w:val="20"/>
          <w:u w:val="single"/>
        </w:rPr>
        <w:t>Governing Law; Submission to Jurisdiction</w:t>
      </w:r>
      <w:r>
        <w:rPr>
          <w:rFonts w:ascii="Times New Roman;serif" w:hAnsi="Times New Roman;serif"/>
          <w:b w:val="false"/>
          <w:color w:val="000000"/>
          <w:sz w:val="20"/>
        </w:rPr>
        <w:t>. The Parties acknowledge and agree that Section 9.2 of the Distribution Agreement is hereby incorporated into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8.14    </w:t>
      </w:r>
      <w:r>
        <w:rPr>
          <w:rFonts w:ascii="Times New Roman;serif" w:hAnsi="Times New Roman;serif"/>
          <w:b w:val="false"/>
          <w:color w:val="000000"/>
          <w:sz w:val="20"/>
          <w:u w:val="single"/>
        </w:rPr>
        <w:t>Severability</w:t>
      </w:r>
      <w:r>
        <w:rPr>
          <w:rFonts w:ascii="Times New Roman;serif" w:hAnsi="Times New Roman;serif"/>
          <w:b w:val="false"/>
          <w:color w:val="000000"/>
          <w:sz w:val="20"/>
        </w:rPr>
        <w:t>. If any provision of this Agreement, or the application of any such provision to any Person or circumstance, shall be held invalid, illegal or unenforceable in any respect by a court of competent jurisdiction, then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8.15    </w:t>
      </w:r>
      <w:r>
        <w:rPr>
          <w:rFonts w:ascii="Times New Roman;serif" w:hAnsi="Times New Roman;serif"/>
          <w:b w:val="false"/>
          <w:color w:val="000000"/>
          <w:sz w:val="20"/>
          <w:u w:val="single"/>
        </w:rPr>
        <w:t>Interpretation</w:t>
      </w:r>
      <w:r>
        <w:rPr>
          <w:rFonts w:ascii="Times New Roman;serif" w:hAnsi="Times New Roman;serif"/>
          <w:b w:val="false"/>
          <w:color w:val="000000"/>
          <w:sz w:val="20"/>
        </w:rPr>
        <w:t>. This Agreement shall be construed without regard to any presumption or rule requiring construction or interpretation against the Party drafting or causing any instrument to be drafted.</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8.16    </w:t>
      </w:r>
      <w:r>
        <w:rPr>
          <w:rFonts w:ascii="Times New Roman;serif" w:hAnsi="Times New Roman;serif"/>
          <w:b w:val="false"/>
          <w:color w:val="000000"/>
          <w:sz w:val="20"/>
          <w:u w:val="single"/>
        </w:rPr>
        <w:t>No Duplication; No Double Recovery</w:t>
      </w:r>
      <w:r>
        <w:rPr>
          <w:rFonts w:ascii="Times New Roman;serif" w:hAnsi="Times New Roman;serif"/>
          <w:b w:val="false"/>
          <w:color w:val="000000"/>
          <w:sz w:val="20"/>
        </w:rPr>
        <w:t>. Nothing in this Agreement is intended to confer to or impose upon any Party a duplicative right, entitlement, obligation or recovery with respect to any matter arising out of the same facts and circumstances.</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8.17    </w:t>
      </w:r>
      <w:r>
        <w:rPr>
          <w:rFonts w:ascii="Times New Roman;serif" w:hAnsi="Times New Roman;serif"/>
          <w:b w:val="false"/>
          <w:color w:val="000000"/>
          <w:sz w:val="20"/>
          <w:u w:val="single"/>
        </w:rPr>
        <w:t>No Waiver</w:t>
      </w:r>
      <w:r>
        <w:rPr>
          <w:rFonts w:ascii="Times New Roman;serif" w:hAnsi="Times New Roman;serif"/>
          <w:b w:val="false"/>
          <w:color w:val="000000"/>
          <w:sz w:val="20"/>
        </w:rPr>
        <w:t>.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w:t>
      </w:r>
    </w:p>
    <w:p>
      <w:pPr>
        <w:pStyle w:val="TextBody"/>
        <w:bidi w:val="0"/>
        <w:spacing w:lineRule="auto" w:line="288" w:before="0" w:after="240"/>
        <w:ind w:left="0" w:right="0" w:firstLine="1440"/>
        <w:jc w:val="left"/>
        <w:rPr/>
      </w:pPr>
      <w:r>
        <w:rPr>
          <w:rFonts w:ascii="Times New Roman;serif" w:hAnsi="Times New Roman;serif"/>
          <w:b w:val="false"/>
          <w:color w:val="000000"/>
          <w:sz w:val="20"/>
        </w:rPr>
        <w:t>Section 8.18    </w:t>
      </w:r>
      <w:r>
        <w:rPr>
          <w:rFonts w:ascii="Times New Roman;serif" w:hAnsi="Times New Roman;serif"/>
          <w:b w:val="false"/>
          <w:color w:val="000000"/>
          <w:sz w:val="20"/>
          <w:u w:val="single"/>
        </w:rPr>
        <w:t>No Admission of Liability</w:t>
      </w:r>
      <w:r>
        <w:rPr>
          <w:rFonts w:ascii="Times New Roman;serif" w:hAnsi="Times New Roman;serif"/>
          <w:b w:val="false"/>
          <w:color w:val="000000"/>
          <w:sz w:val="20"/>
        </w:rPr>
        <w:t xml:space="preserve">. The allocation of Assets and Liabilities herein is solely for the purpose of allocating such Assets and Liabilities between Parent and Spinco and is not intended as an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admission of liability or responsibility for any alleged Liabilities vis-à-vis any third party, including with respect to the Liabilities of any non-wholly owned Subsidiary of Parent or Spinco.</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have caused this Agreement to be executed on the date first written above by their respective duly authorized officers.</w:t>
      </w:r>
    </w:p>
    <w:tbl>
      <w:tblPr>
        <w:tblW w:w="1961" w:type="dxa"/>
        <w:jc w:val="left"/>
        <w:tblInd w:w="0" w:type="dxa"/>
        <w:tblLayout w:type="fixed"/>
        <w:tblCellMar>
          <w:top w:w="28" w:type="dxa"/>
          <w:left w:w="28" w:type="dxa"/>
          <w:bottom w:w="28" w:type="dxa"/>
          <w:right w:w="28" w:type="dxa"/>
        </w:tblCellMar>
      </w:tblPr>
      <w:tblGrid>
        <w:gridCol w:w="124"/>
        <w:gridCol w:w="109"/>
        <w:gridCol w:w="109"/>
        <w:gridCol w:w="154"/>
        <w:gridCol w:w="154"/>
        <w:gridCol w:w="154"/>
        <w:gridCol w:w="209"/>
        <w:gridCol w:w="209"/>
        <w:gridCol w:w="211"/>
        <w:gridCol w:w="154"/>
        <w:gridCol w:w="154"/>
        <w:gridCol w:w="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HEXAGON AB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24"/>
        <w:gridCol w:w="109"/>
        <w:gridCol w:w="109"/>
        <w:gridCol w:w="313"/>
        <w:gridCol w:w="313"/>
        <w:gridCol w:w="313"/>
        <w:gridCol w:w="313"/>
        <w:gridCol w:w="313"/>
        <w:gridCol w:w="313"/>
        <w:gridCol w:w="313"/>
        <w:gridCol w:w="313"/>
        <w:gridCol w:w="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OCTAVE INTELLIGENCE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Employee Matters Agreement</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Employee Matters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2"/>
        </w:rPr>
        <w:t>MASTER TRANSITION</w:t>
      </w:r>
      <w:r>
        <w:rPr>
          <w:color w:val="000000"/>
        </w:rPr>
        <w:t xml:space="preserve"> </w:t>
      </w:r>
      <w:r>
        <w:rPr>
          <w:rFonts w:ascii="Times New Roman;serif" w:hAnsi="Times New Roman;serif"/>
          <w:b/>
          <w:color w:val="000000"/>
          <w:sz w:val="22"/>
        </w:rPr>
        <w:t>SERVICES</w:t>
      </w:r>
      <w:r>
        <w:rPr>
          <w:color w:val="000000"/>
        </w:rPr>
        <w:t xml:space="preserve"> </w:t>
      </w:r>
      <w:r>
        <w:rPr>
          <w:rFonts w:ascii="Times New Roman;serif" w:hAnsi="Times New Roman;serif"/>
          <w:b/>
          <w:color w:val="000000"/>
          <w:sz w:val="22"/>
        </w:rPr>
        <w:t>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NO. OCTV-26-03-7805</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Transition Services Agreement (this “Agreement”), dated as of [•], 2026 (“Effective Date”), is</w:t>
      </w:r>
      <w:r>
        <w:rPr>
          <w:color w:val="000000"/>
        </w:rPr>
        <w:t xml:space="preserve"> </w:t>
      </w:r>
      <w:r>
        <w:rPr>
          <w:rFonts w:ascii="Times New Roman;serif" w:hAnsi="Times New Roman;serif"/>
          <w:b w:val="false"/>
          <w:color w:val="000000"/>
          <w:sz w:val="22"/>
        </w:rPr>
        <w:t>made by and between Hexagon AB, a Swedish public company, on behalf of itself and the other Parent Group Companies (“Parent”), and</w:t>
      </w:r>
      <w:r>
        <w:rPr>
          <w:color w:val="000000"/>
        </w:rPr>
        <w:t xml:space="preserve"> </w:t>
      </w:r>
      <w:r>
        <w:rPr>
          <w:rFonts w:ascii="Times New Roman;serif" w:hAnsi="Times New Roman;serif"/>
          <w:b w:val="false"/>
          <w:color w:val="000000"/>
          <w:sz w:val="22"/>
        </w:rPr>
        <w:t>Octave Intelligence plc, an Irish company, on behalf of itself and the other Spinco Group Companies (“Spinco”).</w:t>
      </w:r>
      <w:r>
        <w:rPr>
          <w:color w:val="000000"/>
        </w:rPr>
        <w:t xml:space="preserve"> </w:t>
      </w:r>
      <w:r>
        <w:rPr>
          <w:rFonts w:ascii="Times New Roman;serif" w:hAnsi="Times New Roman;serif"/>
          <w:b w:val="false"/>
          <w:color w:val="000000"/>
          <w:sz w:val="22"/>
        </w:rPr>
        <w:t>Parent and</w:t>
      </w:r>
      <w:r>
        <w:rPr>
          <w:color w:val="000000"/>
        </w:rPr>
        <w:t xml:space="preserve"> </w:t>
      </w:r>
      <w:r>
        <w:rPr>
          <w:rFonts w:ascii="Times New Roman;serif" w:hAnsi="Times New Roman;serif"/>
          <w:b w:val="false"/>
          <w:color w:val="000000"/>
          <w:sz w:val="22"/>
        </w:rPr>
        <w:t>Spinco</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referred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individually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collectively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Parties.”</w:t>
      </w:r>
    </w:p>
    <w:p>
      <w:pPr>
        <w:pStyle w:val="TextBody"/>
        <w:bidi w:val="0"/>
        <w:spacing w:lineRule="auto" w:line="288" w:before="0" w:after="240"/>
        <w:ind w:left="0" w:right="0" w:firstLine="600"/>
        <w:jc w:val="both"/>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effective the Effective Date, Spinco and the Spinco Group Companies have spun off from Hexagon AB (“Spin Off”);</w:t>
      </w:r>
    </w:p>
    <w:p>
      <w:pPr>
        <w:pStyle w:val="TextBody"/>
        <w:bidi w:val="0"/>
        <w:spacing w:lineRule="auto" w:line="288" w:before="0" w:after="240"/>
        <w:ind w:left="0" w:right="0" w:firstLine="600"/>
        <w:jc w:val="both"/>
        <w:rPr/>
      </w:pPr>
      <w:r>
        <w:rPr>
          <w:rFonts w:ascii="Times New Roman;serif" w:hAnsi="Times New Roman;serif"/>
          <w:b w:val="false"/>
          <w:color w:val="000000"/>
          <w:sz w:val="22"/>
        </w:rPr>
        <w:t>WHEREAS, the Parent Group Companies have, in the ordinary course of business of intertwined companies, provided certain services to the Spinco Group Companies,</w:t>
      </w:r>
      <w:r>
        <w:rPr>
          <w:color w:val="000000"/>
        </w:rPr>
        <w:t xml:space="preserve"> </w:t>
      </w:r>
      <w:r>
        <w:rPr>
          <w:rFonts w:ascii="Times New Roman;serif" w:hAnsi="Times New Roman;serif"/>
          <w:b w:val="false"/>
          <w:color w:val="000000"/>
          <w:sz w:val="22"/>
        </w:rPr>
        <w:t>including</w:t>
      </w:r>
      <w:r>
        <w:rPr>
          <w:color w:val="000000"/>
        </w:rPr>
        <w:t xml:space="preserve"> </w:t>
      </w:r>
      <w:r>
        <w:rPr>
          <w:rFonts w:ascii="Times New Roman;serif" w:hAnsi="Times New Roman;serif"/>
          <w:b w:val="false"/>
          <w:color w:val="000000"/>
          <w:sz w:val="22"/>
        </w:rPr>
        <w:t>those</w:t>
      </w:r>
      <w:r>
        <w:rPr>
          <w:color w:val="000000"/>
        </w:rPr>
        <w:t xml:space="preserve"> </w:t>
      </w:r>
      <w:r>
        <w:rPr>
          <w:rFonts w:ascii="Times New Roman;serif" w:hAnsi="Times New Roman;serif"/>
          <w:b w:val="false"/>
          <w:color w:val="000000"/>
          <w:sz w:val="22"/>
        </w:rPr>
        <w:t>services</w:t>
      </w:r>
      <w:r>
        <w:rPr>
          <w:color w:val="000000"/>
        </w:rPr>
        <w:t xml:space="preserve"> </w:t>
      </w:r>
      <w:r>
        <w:rPr>
          <w:rFonts w:ascii="Times New Roman;serif" w:hAnsi="Times New Roman;serif"/>
          <w:b w:val="false"/>
          <w:color w:val="000000"/>
          <w:sz w:val="22"/>
        </w:rPr>
        <w:t>listed</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i/>
          <w:color w:val="000000"/>
          <w:sz w:val="22"/>
        </w:rPr>
        <w:t>Schedule</w:t>
      </w:r>
      <w:r>
        <w:rPr>
          <w:color w:val="000000"/>
        </w:rPr>
        <w:t xml:space="preserve"> </w:t>
      </w:r>
      <w:r>
        <w:rPr>
          <w:rFonts w:ascii="Times New Roman;serif" w:hAnsi="Times New Roman;serif"/>
          <w:b/>
          <w:i/>
          <w:color w:val="000000"/>
          <w:sz w:val="22"/>
        </w:rPr>
        <w:t>I</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Parent Services”);</w:t>
      </w:r>
      <w:r>
        <w:rPr>
          <w:color w:val="000000"/>
        </w:rPr>
        <w:t xml:space="preserve"> </w:t>
      </w:r>
      <w:r>
        <w:rPr>
          <w:rFonts w:ascii="Times New Roman;serif" w:hAnsi="Times New Roman;serif"/>
          <w:b w:val="false"/>
          <w:color w:val="000000"/>
          <w:sz w:val="22"/>
        </w:rPr>
        <w:t>and</w:t>
      </w:r>
    </w:p>
    <w:p>
      <w:pPr>
        <w:pStyle w:val="TextBody"/>
        <w:bidi w:val="0"/>
        <w:spacing w:lineRule="auto" w:line="288" w:before="0" w:after="240"/>
        <w:ind w:left="0" w:right="0" w:firstLine="600"/>
        <w:jc w:val="both"/>
        <w:rPr/>
      </w:pPr>
      <w:r>
        <w:rPr>
          <w:rFonts w:ascii="Times New Roman;serif" w:hAnsi="Times New Roman;serif"/>
          <w:b w:val="false"/>
          <w:color w:val="000000"/>
          <w:sz w:val="22"/>
        </w:rPr>
        <w:t>WHEREAS, the Spinco Group Companies have, in the ordinary course of business of intertwined companies, provided certain services to Parent Group Companies,</w:t>
      </w:r>
      <w:r>
        <w:rPr>
          <w:color w:val="000000"/>
        </w:rPr>
        <w:t xml:space="preserve"> </w:t>
      </w:r>
      <w:r>
        <w:rPr>
          <w:rFonts w:ascii="Times New Roman;serif" w:hAnsi="Times New Roman;serif"/>
          <w:b w:val="false"/>
          <w:color w:val="000000"/>
          <w:sz w:val="22"/>
        </w:rPr>
        <w:t>including</w:t>
      </w:r>
      <w:r>
        <w:rPr>
          <w:color w:val="000000"/>
        </w:rPr>
        <w:t xml:space="preserve"> </w:t>
      </w:r>
      <w:r>
        <w:rPr>
          <w:rFonts w:ascii="Times New Roman;serif" w:hAnsi="Times New Roman;serif"/>
          <w:b w:val="false"/>
          <w:color w:val="000000"/>
          <w:sz w:val="22"/>
        </w:rPr>
        <w:t>those</w:t>
      </w:r>
      <w:r>
        <w:rPr>
          <w:color w:val="000000"/>
        </w:rPr>
        <w:t xml:space="preserve"> </w:t>
      </w:r>
      <w:r>
        <w:rPr>
          <w:rFonts w:ascii="Times New Roman;serif" w:hAnsi="Times New Roman;serif"/>
          <w:b w:val="false"/>
          <w:color w:val="000000"/>
          <w:sz w:val="22"/>
        </w:rPr>
        <w:t>services</w:t>
      </w:r>
      <w:r>
        <w:rPr>
          <w:color w:val="000000"/>
        </w:rPr>
        <w:t xml:space="preserve"> </w:t>
      </w:r>
      <w:r>
        <w:rPr>
          <w:rFonts w:ascii="Times New Roman;serif" w:hAnsi="Times New Roman;serif"/>
          <w:b w:val="false"/>
          <w:color w:val="000000"/>
          <w:sz w:val="22"/>
        </w:rPr>
        <w:t>listed</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i/>
          <w:color w:val="000000"/>
          <w:sz w:val="22"/>
        </w:rPr>
        <w:t>Schedule</w:t>
      </w:r>
      <w:r>
        <w:rPr>
          <w:color w:val="000000"/>
        </w:rPr>
        <w:t xml:space="preserve"> </w:t>
      </w:r>
      <w:r>
        <w:rPr>
          <w:rFonts w:ascii="Times New Roman;serif" w:hAnsi="Times New Roman;serif"/>
          <w:b/>
          <w:i/>
          <w:color w:val="000000"/>
          <w:sz w:val="22"/>
        </w:rPr>
        <w:t>II</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Spinco Services”); hereinafter these Parent Services and Spinco Services collectively and as applicable shall be termed “Services”;</w:t>
      </w:r>
      <w:r>
        <w:rPr>
          <w:color w:val="000000"/>
        </w:rPr>
        <w:t xml:space="preserve"> </w:t>
      </w:r>
      <w:r>
        <w:rPr>
          <w:rFonts w:ascii="Times New Roman;serif" w:hAnsi="Times New Roman;serif"/>
          <w:b w:val="false"/>
          <w:color w:val="000000"/>
          <w:sz w:val="22"/>
        </w:rPr>
        <w:t>and</w:t>
      </w:r>
    </w:p>
    <w:p>
      <w:pPr>
        <w:pStyle w:val="TextBody"/>
        <w:bidi w:val="0"/>
        <w:spacing w:lineRule="auto" w:line="288" w:before="0" w:after="240"/>
        <w:ind w:left="0" w:right="0" w:firstLine="600"/>
        <w:jc w:val="both"/>
        <w:rPr/>
      </w:pPr>
      <w:r>
        <w:rPr>
          <w:rFonts w:ascii="Times New Roman;serif" w:hAnsi="Times New Roman;serif"/>
          <w:b w:val="false"/>
          <w:color w:val="000000"/>
          <w:sz w:val="22"/>
        </w:rPr>
        <w:t>WHEREAS, in order to ensure an orderly separation post-Spin-Off, the Parties are willing to continue to provide the Services to the other</w:t>
      </w:r>
      <w:r>
        <w:rPr>
          <w:color w:val="000000"/>
        </w:rPr>
        <w:t xml:space="preserve"> </w:t>
      </w:r>
      <w:r>
        <w:rPr>
          <w:rFonts w:ascii="Times New Roman;serif" w:hAnsi="Times New Roman;serif"/>
          <w:b w:val="false"/>
          <w:color w:val="000000"/>
          <w:sz w:val="22"/>
        </w:rPr>
        <w:t>subject to the conditions set forth herein for a transitional period beginning on the Effective Date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ending</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expiration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duration</w:t>
      </w:r>
      <w:r>
        <w:rPr>
          <w:color w:val="000000"/>
        </w:rPr>
        <w:t xml:space="preserve"> </w:t>
      </w:r>
      <w:r>
        <w:rPr>
          <w:rFonts w:ascii="Times New Roman;serif" w:hAnsi="Times New Roman;serif"/>
          <w:b w:val="false"/>
          <w:color w:val="000000"/>
          <w:sz w:val="22"/>
        </w:rPr>
        <w:t>designated</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separate</w:t>
      </w:r>
      <w:r>
        <w:rPr>
          <w:color w:val="000000"/>
        </w:rPr>
        <w:t xml:space="preserve"> </w:t>
      </w:r>
      <w:r>
        <w:rPr>
          <w:rFonts w:ascii="Times New Roman;serif" w:hAnsi="Times New Roman;serif"/>
          <w:b w:val="false"/>
          <w:color w:val="000000"/>
          <w:sz w:val="22"/>
        </w:rPr>
        <w:t>service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listed</w:t>
      </w:r>
      <w:r>
        <w:rPr>
          <w:color w:val="000000"/>
        </w:rPr>
        <w:t xml:space="preserve"> </w:t>
      </w:r>
      <w:r>
        <w:rPr>
          <w:rFonts w:ascii="Times New Roman;serif" w:hAnsi="Times New Roman;serif"/>
          <w:b w:val="false"/>
          <w:color w:val="000000"/>
          <w:sz w:val="22"/>
        </w:rPr>
        <w:t xml:space="preserve">on </w:t>
      </w:r>
      <w:r>
        <w:rPr>
          <w:rFonts w:ascii="Times New Roman;serif" w:hAnsi="Times New Roman;serif"/>
          <w:b/>
          <w:i/>
          <w:color w:val="000000"/>
          <w:sz w:val="22"/>
        </w:rPr>
        <w:t>Schedule</w:t>
      </w:r>
      <w:r>
        <w:rPr>
          <w:color w:val="000000"/>
        </w:rPr>
        <w:t xml:space="preserve"> </w:t>
      </w:r>
      <w:r>
        <w:rPr>
          <w:rFonts w:ascii="Times New Roman;serif" w:hAnsi="Times New Roman;serif"/>
          <w:b/>
          <w:i/>
          <w:color w:val="000000"/>
          <w:sz w:val="22"/>
        </w:rPr>
        <w:t>I</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i/>
          <w:color w:val="000000"/>
          <w:sz w:val="22"/>
        </w:rPr>
        <w:t>Schedule II</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unless</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extended</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Article</w:t>
      </w:r>
      <w:r>
        <w:rPr>
          <w:color w:val="000000"/>
        </w:rPr>
        <w:t xml:space="preserve"> </w:t>
      </w:r>
      <w:r>
        <w:rPr>
          <w:rFonts w:ascii="Times New Roman;serif" w:hAnsi="Times New Roman;serif"/>
          <w:b w:val="false"/>
          <w:color w:val="000000"/>
          <w:sz w:val="22"/>
        </w:rPr>
        <w:t>2.1(c),</w:t>
      </w:r>
      <w:r>
        <w:rPr>
          <w:color w:val="000000"/>
        </w:rPr>
        <w:t xml:space="preserve"> </w:t>
      </w:r>
      <w:r>
        <w:rPr>
          <w:rFonts w:ascii="Times New Roman;serif" w:hAnsi="Times New Roman;serif"/>
          <w:b w:val="false"/>
          <w:color w:val="000000"/>
          <w:sz w:val="22"/>
        </w:rPr>
        <w:t>Article</w:t>
      </w:r>
      <w:r>
        <w:rPr>
          <w:color w:val="000000"/>
        </w:rPr>
        <w:t xml:space="preserve"> </w:t>
      </w:r>
      <w:r>
        <w:rPr>
          <w:rFonts w:ascii="Times New Roman;serif" w:hAnsi="Times New Roman;serif"/>
          <w:b w:val="false"/>
          <w:color w:val="000000"/>
          <w:sz w:val="22"/>
        </w:rPr>
        <w:t>2.8,</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mutual agreement of the Parties in accordance with Article 7.3. With respect to any particular Service,</w:t>
      </w:r>
      <w:r>
        <w:rPr>
          <w:color w:val="000000"/>
        </w:rPr>
        <w:t xml:space="preserve"> </w:t>
      </w:r>
      <w:r>
        <w:rPr>
          <w:rFonts w:ascii="Times New Roman;serif" w:hAnsi="Times New Roman;serif"/>
          <w:b w:val="false"/>
          <w:color w:val="000000"/>
          <w:sz w:val="22"/>
        </w:rPr>
        <w:t xml:space="preserve">the expiration of the applicable duration listed on </w:t>
      </w:r>
      <w:r>
        <w:rPr>
          <w:rFonts w:ascii="Times New Roman;serif" w:hAnsi="Times New Roman;serif"/>
          <w:b/>
          <w:i/>
          <w:color w:val="000000"/>
          <w:sz w:val="22"/>
        </w:rPr>
        <w:t>Schedule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i/>
          <w:color w:val="000000"/>
          <w:sz w:val="22"/>
        </w:rPr>
        <w:t>Schedule II</w:t>
      </w:r>
      <w:r>
        <w:rPr>
          <w:rFonts w:ascii="Times New Roman;serif" w:hAnsi="Times New Roman;serif"/>
          <w:b w:val="false"/>
          <w:color w:val="000000"/>
          <w:sz w:val="22"/>
        </w:rPr>
        <w:t>, as may be extended in accordance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 terms of</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 is</w:t>
      </w:r>
      <w:r>
        <w:rPr>
          <w:color w:val="000000"/>
        </w:rPr>
        <w:t xml:space="preserve"> </w:t>
      </w:r>
      <w:r>
        <w:rPr>
          <w:rFonts w:ascii="Times New Roman;serif" w:hAnsi="Times New Roman;serif"/>
          <w:b w:val="false"/>
          <w:color w:val="000000"/>
          <w:sz w:val="22"/>
        </w:rPr>
        <w:t>referred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End</w:t>
      </w:r>
      <w:r>
        <w:rPr>
          <w:color w:val="000000"/>
        </w:rPr>
        <w:t xml:space="preserve"> </w:t>
      </w:r>
      <w:r>
        <w:rPr>
          <w:rFonts w:ascii="Times New Roman;serif" w:hAnsi="Times New Roman;serif"/>
          <w:b w:val="false"/>
          <w:color w:val="000000"/>
          <w:sz w:val="22"/>
        </w:rPr>
        <w:t>Date”.</w:t>
      </w:r>
    </w:p>
    <w:p>
      <w:pPr>
        <w:pStyle w:val="TextBody"/>
        <w:bidi w:val="0"/>
        <w:spacing w:lineRule="auto" w:line="288" w:before="0" w:after="240"/>
        <w:ind w:left="0" w:right="0" w:firstLine="1"/>
        <w:jc w:val="both"/>
        <w:rPr/>
      </w:pPr>
      <w:r>
        <w:rPr>
          <w:rFonts w:ascii="Times New Roman;serif" w:hAnsi="Times New Roman;serif"/>
          <w:b w:val="false"/>
          <w:color w:val="000000"/>
          <w:sz w:val="22"/>
        </w:rPr>
        <w:t>NOW, THEREFORE, in consideration of the premises and the mutual covenants</w:t>
      </w:r>
      <w:r>
        <w:rPr>
          <w:color w:val="000000"/>
        </w:rPr>
        <w:t xml:space="preserve"> </w:t>
      </w:r>
      <w:r>
        <w:rPr>
          <w:rFonts w:ascii="Times New Roman;serif" w:hAnsi="Times New Roman;serif"/>
          <w:b w:val="false"/>
          <w:color w:val="000000"/>
          <w:sz w:val="22"/>
        </w:rPr>
        <w:t>and agreements contained herein and in the Distribution Agreement, dated as of the date hereof, between Parent and Spinco (the “Distribution Agreement”), and other good and valuable</w:t>
      </w:r>
      <w:r>
        <w:rPr>
          <w:color w:val="000000"/>
        </w:rPr>
        <w:t xml:space="preserve"> </w:t>
      </w:r>
      <w:r>
        <w:rPr>
          <w:rFonts w:ascii="Times New Roman;serif" w:hAnsi="Times New Roman;serif"/>
          <w:b w:val="false"/>
          <w:color w:val="000000"/>
          <w:sz w:val="22"/>
        </w:rPr>
        <w:t>consideration, the receipt and sufficiency of which are hereby acknowledged, the Parties hereby</w:t>
      </w:r>
      <w:r>
        <w:rPr>
          <w:color w:val="000000"/>
        </w:rPr>
        <w:t xml:space="preserve"> </w:t>
      </w:r>
      <w:r>
        <w:rPr>
          <w:rFonts w:ascii="Times New Roman;serif" w:hAnsi="Times New Roman;serif"/>
          <w:b w:val="false"/>
          <w:color w:val="000000"/>
          <w:sz w:val="22"/>
        </w:rPr>
        <w:t>agree as follows:</w:t>
      </w:r>
    </w:p>
    <w:p>
      <w:pPr>
        <w:pStyle w:val="TextBody"/>
        <w:bidi w:val="0"/>
        <w:spacing w:lineRule="auto" w:line="288" w:before="0" w:after="240"/>
        <w:jc w:val="center"/>
        <w:rPr/>
      </w:pPr>
      <w:r>
        <w:rPr>
          <w:rFonts w:ascii="Times New Roman;serif" w:hAnsi="Times New Roman;serif"/>
          <w:b/>
          <w:color w:val="000000"/>
          <w:sz w:val="22"/>
        </w:rPr>
        <w:t>ARTICLE</w:t>
      </w:r>
      <w:r>
        <w:rPr>
          <w:color w:val="000000"/>
        </w:rPr>
        <w:t xml:space="preserve"> </w:t>
      </w:r>
      <w:r>
        <w:rPr>
          <w:rFonts w:ascii="Times New Roman;serif" w:hAnsi="Times New Roman;serif"/>
          <w:b/>
          <w:color w:val="000000"/>
          <w:sz w:val="22"/>
        </w:rPr>
        <w:t>I</w:t>
      </w:r>
    </w:p>
    <w:p>
      <w:pPr>
        <w:pStyle w:val="TextBody"/>
        <w:bidi w:val="0"/>
        <w:spacing w:lineRule="auto" w:line="288" w:before="0" w:after="240"/>
        <w:jc w:val="center"/>
        <w:rPr/>
      </w:pPr>
      <w:r>
        <w:rPr>
          <w:rFonts w:ascii="Times New Roman;serif" w:hAnsi="Times New Roman;serif"/>
          <w:b/>
          <w:color w:val="000000"/>
          <w:sz w:val="22"/>
        </w:rPr>
        <w:t>CERTAIN</w:t>
      </w:r>
      <w:r>
        <w:rPr>
          <w:color w:val="000000"/>
        </w:rPr>
        <w:t xml:space="preserve"> </w:t>
      </w:r>
      <w:r>
        <w:rPr>
          <w:rFonts w:ascii="Times New Roman;serif" w:hAnsi="Times New Roman;serif"/>
          <w:b/>
          <w:color w:val="000000"/>
          <w:sz w:val="22"/>
        </w:rPr>
        <w:t>DEFINITIONS;</w:t>
      </w:r>
      <w:r>
        <w:rPr>
          <w:color w:val="000000"/>
        </w:rPr>
        <w:t xml:space="preserve"> </w:t>
      </w:r>
      <w:r>
        <w:rPr>
          <w:rFonts w:ascii="Times New Roman;serif" w:hAnsi="Times New Roman;serif"/>
          <w:b/>
          <w:color w:val="000000"/>
          <w:sz w:val="22"/>
        </w:rPr>
        <w:t>INTERPRETIVE</w:t>
      </w:r>
      <w:r>
        <w:rPr>
          <w:color w:val="000000"/>
        </w:rPr>
        <w:t xml:space="preserve"> </w:t>
      </w:r>
      <w:r>
        <w:rPr>
          <w:rFonts w:ascii="Times New Roman;serif" w:hAnsi="Times New Roman;serif"/>
          <w:b/>
          <w:color w:val="000000"/>
          <w:sz w:val="22"/>
        </w:rPr>
        <w:t>MATTERS</w:t>
      </w:r>
    </w:p>
    <w:p>
      <w:pPr>
        <w:pStyle w:val="TextBody"/>
        <w:bidi w:val="0"/>
        <w:spacing w:lineRule="auto" w:line="288" w:before="0" w:after="240"/>
        <w:ind w:left="0" w:right="0" w:hanging="576"/>
        <w:jc w:val="both"/>
        <w:rPr>
          <w:rFonts w:ascii="Times New Roman;serif" w:hAnsi="Times New Roman;serif"/>
          <w:b/>
          <w:color w:val="000000"/>
          <w:sz w:val="22"/>
        </w:rPr>
      </w:pPr>
      <w:r>
        <w:rPr>
          <w:rFonts w:ascii="Times New Roman;serif" w:hAnsi="Times New Roman;serif"/>
          <w:b/>
          <w:color w:val="000000"/>
          <w:sz w:val="22"/>
        </w:rPr>
        <w:t xml:space="preserve">1.1    Definitions. </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color w:val="000000"/>
        </w:rPr>
        <w:t>“</w:t>
      </w:r>
      <w:r>
        <w:rPr>
          <w:rFonts w:ascii="Times New Roman;serif" w:hAnsi="Times New Roman;serif"/>
          <w:b w:val="false"/>
          <w:color w:val="000000"/>
          <w:sz w:val="22"/>
        </w:rPr>
        <w:t xml:space="preserve">Affiliates” means the Parent Group Companies and Spinco Group Companies, as applicable. </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color w:val="000000"/>
        </w:rPr>
        <w:t>“</w:t>
      </w:r>
      <w:r>
        <w:rPr>
          <w:rFonts w:ascii="Times New Roman;serif" w:hAnsi="Times New Roman;serif"/>
          <w:b w:val="false"/>
          <w:color w:val="000000"/>
          <w:sz w:val="22"/>
        </w:rPr>
        <w:t xml:space="preserve">Business” means as reasonably required in the ordinary course of business of Service Recipient’s business prior to Spin-Off. </w:t>
      </w:r>
    </w:p>
    <w:p>
      <w:pPr>
        <w:pStyle w:val="TextBody"/>
        <w:bidi w:val="0"/>
        <w:spacing w:lineRule="auto" w:line="288" w:before="0" w:after="240"/>
        <w:ind w:left="0" w:right="0" w:hanging="720"/>
        <w:jc w:val="both"/>
        <w:rPr/>
      </w:pPr>
      <w:r>
        <w:rPr>
          <w:rFonts w:ascii="Times New Roman;serif" w:hAnsi="Times New Roman;serif"/>
          <w:b w:val="false"/>
          <w:color w:val="000000"/>
          <w:sz w:val="20"/>
        </w:rPr>
        <w:t>(c)    </w:t>
      </w:r>
      <w:r>
        <w:rPr>
          <w:color w:val="000000"/>
        </w:rPr>
        <w:t>“</w:t>
      </w:r>
      <w:r>
        <w:rPr>
          <w:rFonts w:ascii="Times New Roman;serif" w:hAnsi="Times New Roman;serif"/>
          <w:b w:val="false"/>
          <w:color w:val="000000"/>
          <w:sz w:val="22"/>
        </w:rPr>
        <w:t xml:space="preserve">Documentation” means, whether in electronic or printed form, User’s Guides, Installation Guides, Reference Guides, Administrator’s Guides, Customization Guides, Programmer’s Guides, Configuration Guides and Help Guides that may be delivered with (delivery includes electronic access to) a Software Product. </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67665"/>
                <wp:effectExtent l="0" t="0" r="0" b="0"/>
                <wp:wrapNone/>
                <wp:docPr id="164" name="Frame1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0"/>
        </w:rPr>
        <w:t>(d)    </w:t>
      </w:r>
      <w:r>
        <w:rPr>
          <w:color w:val="000000"/>
        </w:rPr>
        <w:t>“</w:t>
      </w:r>
      <w:r>
        <w:rPr>
          <w:rFonts w:ascii="Times New Roman;serif" w:hAnsi="Times New Roman;serif"/>
          <w:b w:val="false"/>
          <w:color w:val="000000"/>
          <w:sz w:val="22"/>
        </w:rPr>
        <w:t>End Date” shall be as defined in the preamble.</w:t>
      </w:r>
    </w:p>
    <w:p>
      <w:pPr>
        <w:pStyle w:val="TextBody"/>
        <w:bidi w:val="0"/>
        <w:spacing w:lineRule="auto" w:line="288" w:before="0" w:after="240"/>
        <w:ind w:left="0" w:right="0" w:hanging="720"/>
        <w:jc w:val="both"/>
        <w:rPr/>
      </w:pPr>
      <w:r>
        <w:rPr>
          <w:rFonts w:ascii="Times New Roman;serif" w:hAnsi="Times New Roman;serif"/>
          <w:b w:val="false"/>
          <w:color w:val="000000"/>
          <w:sz w:val="20"/>
        </w:rPr>
        <w:t>(e)    </w:t>
      </w:r>
      <w:r>
        <w:rPr>
          <w:color w:val="000000"/>
        </w:rPr>
        <w:t>“</w:t>
      </w:r>
      <w:r>
        <w:rPr>
          <w:rFonts w:ascii="Times New Roman;serif" w:hAnsi="Times New Roman;serif"/>
          <w:b w:val="false"/>
          <w:color w:val="000000"/>
          <w:sz w:val="22"/>
        </w:rPr>
        <w:t xml:space="preserve">End of Life Software” means Software Products that are no longer actively being sold, developed or improved by the Service Recipient prior to or as of the Effective Date. </w:t>
      </w:r>
    </w:p>
    <w:p>
      <w:pPr>
        <w:pStyle w:val="TextBody"/>
        <w:bidi w:val="0"/>
        <w:spacing w:lineRule="auto" w:line="288" w:before="0" w:after="240"/>
        <w:ind w:left="0" w:right="0" w:hanging="720"/>
        <w:jc w:val="both"/>
        <w:rPr/>
      </w:pPr>
      <w:r>
        <w:rPr>
          <w:rFonts w:ascii="Times New Roman;serif" w:hAnsi="Times New Roman;serif"/>
          <w:b w:val="false"/>
          <w:color w:val="000000"/>
          <w:sz w:val="20"/>
        </w:rPr>
        <w:t>(f)    </w:t>
      </w:r>
      <w:r>
        <w:rPr>
          <w:color w:val="000000"/>
        </w:rPr>
        <w:t>“</w:t>
      </w:r>
      <w:r>
        <w:rPr>
          <w:rFonts w:ascii="Times New Roman;serif" w:hAnsi="Times New Roman;serif"/>
          <w:b w:val="false"/>
          <w:color w:val="000000"/>
          <w:sz w:val="22"/>
        </w:rPr>
        <w:t xml:space="preserve">Omitted Service” shall be as defined in Article 2.9. </w:t>
      </w:r>
    </w:p>
    <w:p>
      <w:pPr>
        <w:pStyle w:val="TextBody"/>
        <w:bidi w:val="0"/>
        <w:spacing w:lineRule="auto" w:line="288" w:before="0" w:after="240"/>
        <w:ind w:left="0" w:right="0" w:hanging="720"/>
        <w:jc w:val="both"/>
        <w:rPr/>
      </w:pPr>
      <w:r>
        <w:rPr>
          <w:rFonts w:ascii="Times New Roman;serif" w:hAnsi="Times New Roman;serif"/>
          <w:b w:val="false"/>
          <w:color w:val="000000"/>
          <w:sz w:val="20"/>
        </w:rPr>
        <w:t>(g)    </w:t>
      </w:r>
      <w:r>
        <w:rPr>
          <w:color w:val="000000"/>
        </w:rPr>
        <w:t>“</w:t>
      </w:r>
      <w:r>
        <w:rPr>
          <w:rFonts w:ascii="Times New Roman;serif" w:hAnsi="Times New Roman;serif"/>
          <w:b w:val="false"/>
          <w:color w:val="000000"/>
          <w:sz w:val="22"/>
        </w:rPr>
        <w:t>Parent” shall be as defined in the introduction paragraph.</w:t>
      </w:r>
    </w:p>
    <w:p>
      <w:pPr>
        <w:pStyle w:val="TextBody"/>
        <w:bidi w:val="0"/>
        <w:spacing w:lineRule="auto" w:line="288" w:before="0" w:after="240"/>
        <w:ind w:left="0" w:right="0" w:hanging="720"/>
        <w:jc w:val="both"/>
        <w:rPr/>
      </w:pPr>
      <w:r>
        <w:rPr>
          <w:rFonts w:ascii="Times New Roman;serif" w:hAnsi="Times New Roman;serif"/>
          <w:b w:val="false"/>
          <w:color w:val="000000"/>
          <w:sz w:val="20"/>
        </w:rPr>
        <w:t>(h)    </w:t>
      </w:r>
      <w:r>
        <w:rPr>
          <w:color w:val="000000"/>
        </w:rPr>
        <w:t>“</w:t>
      </w:r>
      <w:r>
        <w:rPr>
          <w:rFonts w:ascii="Times New Roman;serif" w:hAnsi="Times New Roman;serif"/>
          <w:b w:val="false"/>
          <w:color w:val="000000"/>
          <w:sz w:val="22"/>
        </w:rPr>
        <w:t xml:space="preserve">Parent Group Company(ies)” means Parent or any other subsidiary (direct and indirect) of Hexagon AB. </w:t>
      </w:r>
    </w:p>
    <w:p>
      <w:pPr>
        <w:pStyle w:val="TextBody"/>
        <w:bidi w:val="0"/>
        <w:spacing w:lineRule="auto" w:line="288" w:before="0" w:after="240"/>
        <w:ind w:left="0" w:right="0" w:hanging="720"/>
        <w:jc w:val="both"/>
        <w:rPr/>
      </w:pPr>
      <w:r>
        <w:rPr>
          <w:rFonts w:ascii="Times New Roman;serif" w:hAnsi="Times New Roman;serif"/>
          <w:b w:val="false"/>
          <w:color w:val="000000"/>
          <w:sz w:val="20"/>
        </w:rPr>
        <w:t>(i)    </w:t>
      </w:r>
      <w:r>
        <w:rPr>
          <w:color w:val="000000"/>
        </w:rPr>
        <w:t>“</w:t>
      </w:r>
      <w:r>
        <w:rPr>
          <w:rFonts w:ascii="Times New Roman;serif" w:hAnsi="Times New Roman;serif"/>
          <w:b w:val="false"/>
          <w:color w:val="000000"/>
          <w:sz w:val="22"/>
        </w:rPr>
        <w:t>Parent Marks” shall be as defined in Article 2.11.</w:t>
      </w:r>
    </w:p>
    <w:p>
      <w:pPr>
        <w:pStyle w:val="TextBody"/>
        <w:bidi w:val="0"/>
        <w:spacing w:lineRule="auto" w:line="288" w:before="0" w:after="240"/>
        <w:ind w:left="0" w:right="0" w:hanging="720"/>
        <w:jc w:val="both"/>
        <w:rPr/>
      </w:pPr>
      <w:r>
        <w:rPr>
          <w:rFonts w:ascii="Times New Roman;serif" w:hAnsi="Times New Roman;serif"/>
          <w:b w:val="false"/>
          <w:color w:val="000000"/>
          <w:sz w:val="20"/>
        </w:rPr>
        <w:t>(j)    </w:t>
      </w:r>
      <w:r>
        <w:rPr>
          <w:color w:val="000000"/>
        </w:rPr>
        <w:t>“</w:t>
      </w:r>
      <w:r>
        <w:rPr>
          <w:rFonts w:ascii="Times New Roman;serif" w:hAnsi="Times New Roman;serif"/>
          <w:b w:val="false"/>
          <w:color w:val="000000"/>
          <w:sz w:val="22"/>
        </w:rPr>
        <w:t xml:space="preserve">Parent Services” shall be as defined in the preamble. </w:t>
      </w:r>
    </w:p>
    <w:p>
      <w:pPr>
        <w:pStyle w:val="TextBody"/>
        <w:bidi w:val="0"/>
        <w:spacing w:lineRule="auto" w:line="288" w:before="0" w:after="240"/>
        <w:ind w:left="0" w:right="0" w:hanging="720"/>
        <w:jc w:val="both"/>
        <w:rPr/>
      </w:pPr>
      <w:r>
        <w:rPr>
          <w:rFonts w:ascii="Times New Roman;serif" w:hAnsi="Times New Roman;serif"/>
          <w:b w:val="false"/>
          <w:color w:val="000000"/>
          <w:sz w:val="20"/>
        </w:rPr>
        <w:t>(k)    </w:t>
      </w:r>
      <w:r>
        <w:rPr>
          <w:color w:val="000000"/>
        </w:rPr>
        <w:t>“</w:t>
      </w:r>
      <w:r>
        <w:rPr>
          <w:rFonts w:ascii="Times New Roman;serif" w:hAnsi="Times New Roman;serif"/>
          <w:b w:val="false"/>
          <w:color w:val="000000"/>
          <w:sz w:val="22"/>
        </w:rPr>
        <w:t>Personal Data” shall be as defined in Article 5.3.</w:t>
      </w:r>
    </w:p>
    <w:p>
      <w:pPr>
        <w:pStyle w:val="TextBody"/>
        <w:bidi w:val="0"/>
        <w:spacing w:lineRule="auto" w:line="288" w:before="0" w:after="240"/>
        <w:ind w:left="0" w:right="0" w:hanging="720"/>
        <w:jc w:val="both"/>
        <w:rPr/>
      </w:pPr>
      <w:r>
        <w:rPr>
          <w:rFonts w:ascii="Times New Roman;serif" w:hAnsi="Times New Roman;serif"/>
          <w:b w:val="false"/>
          <w:color w:val="000000"/>
          <w:sz w:val="20"/>
        </w:rPr>
        <w:t>(l)    </w:t>
      </w:r>
      <w:r>
        <w:rPr>
          <w:color w:val="000000"/>
        </w:rPr>
        <w:t>“</w:t>
      </w:r>
      <w:r>
        <w:rPr>
          <w:rFonts w:ascii="Times New Roman;serif" w:hAnsi="Times New Roman;serif"/>
          <w:b w:val="false"/>
          <w:color w:val="000000"/>
          <w:sz w:val="22"/>
        </w:rPr>
        <w:t>Representatives” shall mean such Affiliates and its and their respective directors, officers, employees, agents, advisors, consultants, contractors, and other representatives, including, without limitation, legal counsel, accountants, financial advisors, investment bankers, and other professional advisors or agents, acting in their capacity as such on behalf of the Affiliates.</w:t>
      </w:r>
    </w:p>
    <w:p>
      <w:pPr>
        <w:pStyle w:val="TextBody"/>
        <w:bidi w:val="0"/>
        <w:spacing w:lineRule="auto" w:line="288" w:before="0" w:after="240"/>
        <w:ind w:left="0" w:right="0" w:hanging="720"/>
        <w:jc w:val="both"/>
        <w:rPr/>
      </w:pPr>
      <w:r>
        <w:rPr>
          <w:rFonts w:ascii="Times New Roman;serif" w:hAnsi="Times New Roman;serif"/>
          <w:b w:val="false"/>
          <w:color w:val="000000"/>
          <w:sz w:val="20"/>
        </w:rPr>
        <w:t>(m)    </w:t>
      </w:r>
      <w:r>
        <w:rPr>
          <w:color w:val="000000"/>
        </w:rPr>
        <w:t>“</w:t>
      </w:r>
      <w:r>
        <w:rPr>
          <w:rFonts w:ascii="Times New Roman;serif" w:hAnsi="Times New Roman;serif"/>
          <w:b w:val="false"/>
          <w:color w:val="000000"/>
          <w:sz w:val="22"/>
        </w:rPr>
        <w:t xml:space="preserve">Schedule” means </w:t>
      </w:r>
      <w:r>
        <w:rPr>
          <w:rFonts w:ascii="Times New Roman;serif" w:hAnsi="Times New Roman;serif"/>
          <w:b/>
          <w:i/>
          <w:color w:val="000000"/>
          <w:sz w:val="22"/>
        </w:rPr>
        <w:t>Schedule I</w:t>
      </w:r>
      <w:r>
        <w:rPr>
          <w:rFonts w:ascii="Times New Roman;serif" w:hAnsi="Times New Roman;serif"/>
          <w:b w:val="false"/>
          <w:color w:val="000000"/>
          <w:sz w:val="22"/>
        </w:rPr>
        <w:t xml:space="preserve">, </w:t>
      </w:r>
      <w:r>
        <w:rPr>
          <w:rFonts w:ascii="Times New Roman;serif" w:hAnsi="Times New Roman;serif"/>
          <w:b/>
          <w:i/>
          <w:color w:val="000000"/>
          <w:sz w:val="22"/>
        </w:rPr>
        <w:t>Schedule II</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i/>
          <w:color w:val="000000"/>
          <w:sz w:val="22"/>
        </w:rPr>
        <w:t>Schedule III</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as applicable. </w:t>
      </w:r>
    </w:p>
    <w:p>
      <w:pPr>
        <w:pStyle w:val="TextBody"/>
        <w:bidi w:val="0"/>
        <w:spacing w:lineRule="auto" w:line="288" w:before="0" w:after="240"/>
        <w:ind w:left="0" w:right="0" w:hanging="720"/>
        <w:jc w:val="both"/>
        <w:rPr/>
      </w:pPr>
      <w:r>
        <w:rPr>
          <w:rFonts w:ascii="Times New Roman;serif" w:hAnsi="Times New Roman;serif"/>
          <w:b w:val="false"/>
          <w:color w:val="000000"/>
          <w:sz w:val="20"/>
        </w:rPr>
        <w:t>(n)    </w:t>
      </w:r>
      <w:r>
        <w:rPr>
          <w:color w:val="000000"/>
        </w:rPr>
        <w:t>“</w:t>
      </w:r>
      <w:r>
        <w:rPr>
          <w:rFonts w:ascii="Times New Roman;serif" w:hAnsi="Times New Roman;serif"/>
          <w:b w:val="false"/>
          <w:color w:val="000000"/>
          <w:sz w:val="22"/>
        </w:rPr>
        <w:t>Service Personnel” is as defined in Article 2.6.</w:t>
      </w:r>
    </w:p>
    <w:p>
      <w:pPr>
        <w:pStyle w:val="TextBody"/>
        <w:bidi w:val="0"/>
        <w:spacing w:lineRule="auto" w:line="288" w:before="0" w:after="240"/>
        <w:ind w:left="0" w:right="0" w:hanging="720"/>
        <w:jc w:val="both"/>
        <w:rPr/>
      </w:pPr>
      <w:r>
        <w:rPr>
          <w:rFonts w:ascii="Times New Roman;serif" w:hAnsi="Times New Roman;serif"/>
          <w:b w:val="false"/>
          <w:color w:val="000000"/>
          <w:sz w:val="20"/>
        </w:rPr>
        <w:t>(o)    </w:t>
      </w:r>
      <w:r>
        <w:rPr>
          <w:color w:val="000000"/>
        </w:rPr>
        <w:t>“</w:t>
      </w:r>
      <w:r>
        <w:rPr>
          <w:rFonts w:ascii="Times New Roman;serif" w:hAnsi="Times New Roman;serif"/>
          <w:b w:val="false"/>
          <w:color w:val="000000"/>
          <w:sz w:val="22"/>
        </w:rPr>
        <w:t xml:space="preserve">Service Provider” shall mean Parent or Spinco, as applicable, who are providing the Service. “Service Provider Group Companies” shall mean the Parent or Spinco Group of Companies who are providing the Service. Parent and/or the Parent Group Companies are the Service Provider/Service Provider Group Companies for the Services stated in </w:t>
      </w:r>
      <w:r>
        <w:rPr>
          <w:rFonts w:ascii="Times New Roman;serif" w:hAnsi="Times New Roman;serif"/>
          <w:b/>
          <w:i/>
          <w:color w:val="000000"/>
          <w:sz w:val="22"/>
        </w:rPr>
        <w:t>Schedule I</w:t>
      </w:r>
      <w:r>
        <w:rPr>
          <w:rFonts w:ascii="Times New Roman;serif" w:hAnsi="Times New Roman;serif"/>
          <w:b w:val="false"/>
          <w:color w:val="000000"/>
          <w:sz w:val="22"/>
        </w:rPr>
        <w:t xml:space="preserve">; Spinco and/or the Spinco Group Companies are the Service Provider/Service Provider Group Companies for the Services stated in </w:t>
      </w:r>
      <w:r>
        <w:rPr>
          <w:rFonts w:ascii="Times New Roman;serif" w:hAnsi="Times New Roman;serif"/>
          <w:b/>
          <w:i/>
          <w:color w:val="000000"/>
          <w:sz w:val="22"/>
        </w:rPr>
        <w:t>Schedule II</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0"/>
        </w:rPr>
        <w:t>(p)    </w:t>
      </w:r>
      <w:r>
        <w:rPr>
          <w:color w:val="000000"/>
        </w:rPr>
        <w:t>“</w:t>
      </w:r>
      <w:r>
        <w:rPr>
          <w:rFonts w:ascii="Times New Roman;serif" w:hAnsi="Times New Roman;serif"/>
          <w:b w:val="false"/>
          <w:color w:val="000000"/>
          <w:sz w:val="22"/>
        </w:rPr>
        <w:t xml:space="preserve">Service Recipient” shall mean Parent or Spinco, as applicable, receiving the Service. “Service Recipient Group Companies” shall mean the Parent or Spinco Group of Companies who are receiving the Service. Spinco/Spinco Group Company(ies) are the Service Recipient/Service Recipient Group Companies for the Services stated in </w:t>
      </w:r>
      <w:r>
        <w:rPr>
          <w:rFonts w:ascii="Times New Roman;serif" w:hAnsi="Times New Roman;serif"/>
          <w:b/>
          <w:i/>
          <w:color w:val="000000"/>
          <w:sz w:val="22"/>
        </w:rPr>
        <w:t>Schedule I</w:t>
      </w:r>
      <w:r>
        <w:rPr>
          <w:rFonts w:ascii="Times New Roman;serif" w:hAnsi="Times New Roman;serif"/>
          <w:b w:val="false"/>
          <w:color w:val="000000"/>
          <w:sz w:val="22"/>
        </w:rPr>
        <w:t>; Parent/Parent Group Company(ies) are the Service Recipient/Service Recipient Group Companies for the Services stated in</w:t>
      </w:r>
      <w:r>
        <w:rPr>
          <w:color w:val="000000"/>
        </w:rPr>
        <w:t xml:space="preserve"> </w:t>
      </w:r>
      <w:r>
        <w:rPr>
          <w:rFonts w:ascii="Times New Roman;serif" w:hAnsi="Times New Roman;serif"/>
          <w:b/>
          <w:i/>
          <w:color w:val="000000"/>
          <w:sz w:val="22"/>
        </w:rPr>
        <w:t>Schedule II</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0"/>
        </w:rPr>
        <w:t>(q)    </w:t>
      </w:r>
      <w:r>
        <w:rPr>
          <w:color w:val="000000"/>
        </w:rPr>
        <w:t>“</w:t>
      </w:r>
      <w:r>
        <w:rPr>
          <w:rFonts w:ascii="Times New Roman;serif" w:hAnsi="Times New Roman;serif"/>
          <w:b w:val="false"/>
          <w:color w:val="000000"/>
          <w:sz w:val="22"/>
        </w:rPr>
        <w:t xml:space="preserve">Software Products” means the commercial software products (includes software as a service and on-premise) owned and licensed by Service Recipient to its customers prior to the Spin-Off. </w:t>
      </w:r>
    </w:p>
    <w:p>
      <w:pPr>
        <w:pStyle w:val="TextBody"/>
        <w:bidi w:val="0"/>
        <w:spacing w:lineRule="auto" w:line="288" w:before="0" w:after="240"/>
        <w:ind w:left="0" w:right="0" w:hanging="720"/>
        <w:jc w:val="both"/>
        <w:rPr/>
      </w:pPr>
      <w:r>
        <w:rPr>
          <w:rFonts w:ascii="Times New Roman;serif" w:hAnsi="Times New Roman;serif"/>
          <w:b w:val="false"/>
          <w:color w:val="000000"/>
          <w:sz w:val="20"/>
        </w:rPr>
        <w:t>(r)    </w:t>
      </w:r>
      <w:r>
        <w:rPr>
          <w:color w:val="000000"/>
        </w:rPr>
        <w:t>“</w:t>
      </w:r>
      <w:r>
        <w:rPr>
          <w:rFonts w:ascii="Times New Roman;serif" w:hAnsi="Times New Roman;serif"/>
          <w:b w:val="false"/>
          <w:color w:val="000000"/>
          <w:sz w:val="22"/>
        </w:rPr>
        <w:t>Spinco” shall be as defined in the introduction paragraph.</w:t>
      </w:r>
    </w:p>
    <w:p>
      <w:pPr>
        <w:pStyle w:val="TextBody"/>
        <w:bidi w:val="0"/>
        <w:spacing w:lineRule="auto" w:line="288" w:before="0" w:after="240"/>
        <w:ind w:left="0" w:right="0" w:hanging="720"/>
        <w:jc w:val="both"/>
        <w:rPr/>
      </w:pPr>
      <w:r>
        <w:rPr>
          <w:rFonts w:ascii="Times New Roman;serif" w:hAnsi="Times New Roman;serif"/>
          <w:b w:val="false"/>
          <w:color w:val="000000"/>
          <w:sz w:val="20"/>
        </w:rPr>
        <w:t>(s)    </w:t>
      </w:r>
      <w:r>
        <w:rPr>
          <w:color w:val="000000"/>
        </w:rPr>
        <w:t>“</w:t>
      </w:r>
      <w:r>
        <w:rPr>
          <w:rFonts w:ascii="Times New Roman;serif" w:hAnsi="Times New Roman;serif"/>
          <w:b w:val="false"/>
          <w:color w:val="000000"/>
          <w:sz w:val="22"/>
        </w:rPr>
        <w:t xml:space="preserve">Spinco Group Companies” means any subsidiary (direct and indirect) of Spinco. </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67665"/>
                <wp:effectExtent l="0" t="0" r="0" b="0"/>
                <wp:wrapNone/>
                <wp:docPr id="165" name="Frame1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0"/>
        </w:rPr>
        <w:t>(t)    </w:t>
      </w:r>
      <w:r>
        <w:rPr>
          <w:color w:val="000000"/>
        </w:rPr>
        <w:t>“</w:t>
      </w:r>
      <w:r>
        <w:rPr>
          <w:rFonts w:ascii="Times New Roman;serif" w:hAnsi="Times New Roman;serif"/>
          <w:b w:val="false"/>
          <w:color w:val="000000"/>
          <w:sz w:val="22"/>
        </w:rPr>
        <w:t xml:space="preserve">Spinco Services” shall be as defined in the preamble. </w:t>
      </w:r>
    </w:p>
    <w:p>
      <w:pPr>
        <w:pStyle w:val="TextBody"/>
        <w:bidi w:val="0"/>
        <w:spacing w:lineRule="auto" w:line="288" w:before="0" w:after="240"/>
        <w:ind w:left="0" w:right="0" w:hanging="720"/>
        <w:jc w:val="both"/>
        <w:rPr/>
      </w:pPr>
      <w:r>
        <w:rPr>
          <w:rFonts w:ascii="Times New Roman;serif" w:hAnsi="Times New Roman;serif"/>
          <w:b w:val="false"/>
          <w:color w:val="000000"/>
          <w:sz w:val="20"/>
        </w:rPr>
        <w:t>(u)    </w:t>
      </w:r>
      <w:r>
        <w:rPr>
          <w:color w:val="000000"/>
        </w:rPr>
        <w:t>“</w:t>
      </w:r>
      <w:r>
        <w:rPr>
          <w:rFonts w:ascii="Times New Roman;serif" w:hAnsi="Times New Roman;serif"/>
          <w:b w:val="false"/>
          <w:color w:val="000000"/>
          <w:sz w:val="22"/>
        </w:rPr>
        <w:t xml:space="preserve">Transition License Period” shall be as defined in Article 2.11 (b). </w:t>
      </w:r>
    </w:p>
    <w:p>
      <w:pPr>
        <w:pStyle w:val="TextBody"/>
        <w:bidi w:val="0"/>
        <w:spacing w:lineRule="auto" w:line="288" w:before="0" w:after="240"/>
        <w:ind w:left="0" w:right="0" w:hanging="576"/>
        <w:jc w:val="both"/>
        <w:rPr/>
      </w:pPr>
      <w:r>
        <w:rPr>
          <w:rFonts w:ascii="Times New Roman;serif" w:hAnsi="Times New Roman;serif"/>
          <w:b/>
          <w:color w:val="000000"/>
          <w:sz w:val="22"/>
        </w:rPr>
        <w:t>1.2    Interpretive</w:t>
      </w:r>
      <w:r>
        <w:rPr>
          <w:color w:val="000000"/>
        </w:rPr>
        <w:t xml:space="preserve"> </w:t>
      </w:r>
      <w:r>
        <w:rPr>
          <w:rFonts w:ascii="Times New Roman;serif" w:hAnsi="Times New Roman;serif"/>
          <w:b/>
          <w:color w:val="000000"/>
          <w:sz w:val="22"/>
        </w:rPr>
        <w:t xml:space="preserve">Matters. </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When calculating the period of time before which, within which or following which any act is to be done or step taken pursuant to this Agreement, the date that is the reference date in calculating such period will be excluded. If the last day of such period is a non- Business Day, the period in question will end on the next succeeding Business Day.</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 xml:space="preserve">All references to “$” or “dollars” are to U.S. dollars, and all amounts to be calculated or paid under this Agreement will be in U.S. dollars unless explicitly stated for a Service in </w:t>
      </w:r>
      <w:r>
        <w:rPr>
          <w:rFonts w:ascii="Times New Roman;serif" w:hAnsi="Times New Roman;serif"/>
          <w:b/>
          <w:i/>
          <w:color w:val="000000"/>
          <w:sz w:val="22"/>
        </w:rPr>
        <w:t>Schedule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i/>
          <w:color w:val="000000"/>
          <w:sz w:val="22"/>
        </w:rPr>
        <w:t>Schedule II</w:t>
      </w:r>
      <w:r>
        <w:rPr>
          <w:rFonts w:ascii="Times New Roman;serif" w:hAnsi="Times New Roman;serif"/>
          <w:b w:val="false"/>
          <w:color w:val="000000"/>
          <w:sz w:val="22"/>
        </w:rPr>
        <w:t>. All accounting terms used herein will, to the extent not inconsistent with the express terms of this Agreement or otherwise expressly set forth in this Agreement, be construed in conformity with generally accepted accounting principles in the United States as in effect as of the date of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0"/>
        </w:rPr>
        <w:t>(c)    </w:t>
      </w:r>
      <w:r>
        <w:rPr>
          <w:rFonts w:ascii="Times New Roman;serif" w:hAnsi="Times New Roman;serif"/>
          <w:b/>
          <w:i/>
          <w:color w:val="000000"/>
          <w:sz w:val="22"/>
        </w:rPr>
        <w:t>Schedule I</w:t>
      </w:r>
      <w:r>
        <w:rPr>
          <w:rFonts w:ascii="Times New Roman;serif" w:hAnsi="Times New Roman;serif"/>
          <w:b w:val="false"/>
          <w:color w:val="000000"/>
          <w:sz w:val="22"/>
        </w:rPr>
        <w:t>,</w:t>
      </w:r>
      <w:r>
        <w:rPr>
          <w:color w:val="000000"/>
        </w:rPr>
        <w:t xml:space="preserve"> </w:t>
      </w:r>
      <w:r>
        <w:rPr>
          <w:rFonts w:ascii="Times New Roman;serif" w:hAnsi="Times New Roman;serif"/>
          <w:b/>
          <w:i/>
          <w:color w:val="000000"/>
          <w:sz w:val="22"/>
        </w:rPr>
        <w:t>Schedule 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i/>
          <w:color w:val="000000"/>
          <w:sz w:val="22"/>
        </w:rPr>
        <w:t>Schedule III</w:t>
      </w:r>
      <w:r>
        <w:rPr>
          <w:color w:val="000000"/>
        </w:rPr>
        <w:t xml:space="preserve"> </w:t>
      </w:r>
      <w:r>
        <w:rPr>
          <w:rFonts w:ascii="Times New Roman;serif" w:hAnsi="Times New Roman;serif"/>
          <w:b w:val="false"/>
          <w:color w:val="000000"/>
          <w:sz w:val="22"/>
        </w:rPr>
        <w:t xml:space="preserve">to this Agreement are integral parts of this Agreement and are hereby incorporated in and made a part of this Agreement as if set forth in full herein. Any capitalized terms used in </w:t>
      </w:r>
      <w:r>
        <w:rPr>
          <w:rFonts w:ascii="Times New Roman;serif" w:hAnsi="Times New Roman;serif"/>
          <w:b/>
          <w:i/>
          <w:color w:val="000000"/>
          <w:sz w:val="22"/>
        </w:rPr>
        <w:t>Schedule I</w:t>
      </w:r>
      <w:r>
        <w:rPr>
          <w:rFonts w:ascii="Times New Roman;serif" w:hAnsi="Times New Roman;serif"/>
          <w:b w:val="false"/>
          <w:color w:val="000000"/>
          <w:sz w:val="22"/>
        </w:rPr>
        <w:t xml:space="preserve">, </w:t>
      </w:r>
      <w:r>
        <w:rPr>
          <w:rFonts w:ascii="Times New Roman;serif" w:hAnsi="Times New Roman;serif"/>
          <w:b/>
          <w:i/>
          <w:color w:val="000000"/>
          <w:sz w:val="22"/>
        </w:rPr>
        <w:t>Schedule 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i/>
          <w:color w:val="000000"/>
          <w:sz w:val="22"/>
        </w:rPr>
        <w:t>Schedule III</w:t>
      </w:r>
      <w:r>
        <w:rPr>
          <w:color w:val="000000"/>
        </w:rPr>
        <w:t xml:space="preserve"> </w:t>
      </w:r>
      <w:r>
        <w:rPr>
          <w:rFonts w:ascii="Times New Roman;serif" w:hAnsi="Times New Roman;serif"/>
          <w:b w:val="false"/>
          <w:color w:val="000000"/>
          <w:sz w:val="22"/>
        </w:rPr>
        <w:t>of this Agreement but not otherwise defined therein have the meanings set forth in this Agreement or, if not otherwise defined herein, the Distribution Agreement.</w:t>
      </w:r>
    </w:p>
    <w:p>
      <w:pPr>
        <w:pStyle w:val="TextBody"/>
        <w:bidi w:val="0"/>
        <w:spacing w:lineRule="auto" w:line="288" w:before="0" w:after="240"/>
        <w:ind w:left="0" w:right="0" w:hanging="720"/>
        <w:jc w:val="both"/>
        <w:rPr/>
      </w:pPr>
      <w:r>
        <w:rPr>
          <w:rFonts w:ascii="Times New Roman;serif" w:hAnsi="Times New Roman;serif"/>
          <w:b w:val="false"/>
          <w:color w:val="000000"/>
          <w:sz w:val="20"/>
        </w:rPr>
        <w:t>(d)    </w:t>
      </w:r>
      <w:r>
        <w:rPr>
          <w:rFonts w:ascii="Times New Roman;serif" w:hAnsi="Times New Roman;serif"/>
          <w:b w:val="false"/>
          <w:color w:val="000000"/>
          <w:sz w:val="22"/>
        </w:rPr>
        <w:t>The word “or” is not exclusive.</w:t>
      </w:r>
    </w:p>
    <w:p>
      <w:pPr>
        <w:pStyle w:val="TextBody"/>
        <w:bidi w:val="0"/>
        <w:spacing w:lineRule="auto" w:line="288" w:before="0" w:after="240"/>
        <w:ind w:left="0" w:right="0" w:hanging="720"/>
        <w:jc w:val="both"/>
        <w:rPr/>
      </w:pPr>
      <w:r>
        <w:rPr>
          <w:rFonts w:ascii="Times New Roman;serif" w:hAnsi="Times New Roman;serif"/>
          <w:b w:val="false"/>
          <w:color w:val="000000"/>
          <w:sz w:val="20"/>
        </w:rPr>
        <w:t>(e)    </w:t>
      </w:r>
      <w:r>
        <w:rPr>
          <w:rFonts w:ascii="Times New Roman;serif" w:hAnsi="Times New Roman;serif"/>
          <w:b w:val="false"/>
          <w:color w:val="000000"/>
          <w:sz w:val="22"/>
        </w:rPr>
        <w:t>Words describing the singular number will include the plural and vice versa, and words denoting any gender will include all genders and words denoting natural persons will include corporations, limited liability companies, partnerships and other entities and vice versa.</w:t>
      </w:r>
    </w:p>
    <w:p>
      <w:pPr>
        <w:pStyle w:val="TextBody"/>
        <w:bidi w:val="0"/>
        <w:spacing w:lineRule="auto" w:line="288" w:before="0" w:after="240"/>
        <w:ind w:left="0" w:right="0" w:hanging="720"/>
        <w:jc w:val="both"/>
        <w:rPr/>
      </w:pPr>
      <w:r>
        <w:rPr>
          <w:rFonts w:ascii="Times New Roman;serif" w:hAnsi="Times New Roman;serif"/>
          <w:b w:val="false"/>
          <w:color w:val="000000"/>
          <w:sz w:val="20"/>
        </w:rPr>
        <w:t>(f)    </w:t>
      </w:r>
      <w:r>
        <w:rPr>
          <w:rFonts w:ascii="Times New Roman;serif" w:hAnsi="Times New Roman;serif"/>
          <w:b w:val="false"/>
          <w:color w:val="000000"/>
          <w:sz w:val="22"/>
        </w:rPr>
        <w:t>The headings contained in this Agreement are for convenience of reference purposes only and will not affect in any way the meaning or interpretation of this Agreement or any Article hereof or Schedule hereto.</w:t>
      </w:r>
    </w:p>
    <w:p>
      <w:pPr>
        <w:pStyle w:val="TextBody"/>
        <w:bidi w:val="0"/>
        <w:spacing w:lineRule="auto" w:line="288" w:before="0" w:after="240"/>
        <w:ind w:left="0" w:right="0" w:hanging="720"/>
        <w:jc w:val="both"/>
        <w:rPr/>
      </w:pPr>
      <w:r>
        <w:rPr>
          <w:rFonts w:ascii="Times New Roman;serif" w:hAnsi="Times New Roman;serif"/>
          <w:b w:val="false"/>
          <w:color w:val="000000"/>
          <w:sz w:val="20"/>
        </w:rPr>
        <w:t>(g)    </w:t>
      </w:r>
      <w:r>
        <w:rPr>
          <w:rFonts w:ascii="Times New Roman;serif" w:hAnsi="Times New Roman;serif"/>
          <w:b w:val="false"/>
          <w:color w:val="000000"/>
          <w:sz w:val="22"/>
        </w:rPr>
        <w:t>As used in this Agreement, the words “hereof” and “herein” and words of similar import will, unless otherwise stated, be construed to refer to this Agreement as a whole and not merely to a subdivision in which such words appear.</w:t>
      </w:r>
    </w:p>
    <w:p>
      <w:pPr>
        <w:pStyle w:val="TextBody"/>
        <w:bidi w:val="0"/>
        <w:spacing w:lineRule="auto" w:line="288" w:before="0" w:after="240"/>
        <w:ind w:left="0" w:right="0" w:hanging="720"/>
        <w:jc w:val="both"/>
        <w:rPr/>
      </w:pPr>
      <w:r>
        <w:rPr>
          <w:rFonts w:ascii="Times New Roman;serif" w:hAnsi="Times New Roman;serif"/>
          <w:b w:val="false"/>
          <w:color w:val="000000"/>
          <w:sz w:val="20"/>
        </w:rPr>
        <w:t>(h)    </w:t>
      </w:r>
      <w:r>
        <w:rPr>
          <w:rFonts w:ascii="Times New Roman;serif" w:hAnsi="Times New Roman;serif"/>
          <w:b w:val="false"/>
          <w:color w:val="000000"/>
          <w:sz w:val="22"/>
        </w:rPr>
        <w:t>Whenever the words “include,” “includes” “including” or similar expressions are used in this Agreement, they will be understood to be followed by the words “without limitation.”</w:t>
      </w:r>
    </w:p>
    <w:p>
      <w:pPr>
        <w:pStyle w:val="TextBody"/>
        <w:bidi w:val="0"/>
        <w:spacing w:lineRule="auto" w:line="288" w:before="0" w:after="240"/>
        <w:ind w:left="0" w:right="0" w:hanging="720"/>
        <w:jc w:val="both"/>
        <w:rPr/>
      </w:pPr>
      <w:r>
        <w:rPr>
          <w:rFonts w:ascii="Times New Roman;serif" w:hAnsi="Times New Roman;serif"/>
          <w:b w:val="false"/>
          <w:color w:val="000000"/>
          <w:sz w:val="20"/>
        </w:rPr>
        <w:t>(i)    </w:t>
      </w:r>
      <w:r>
        <w:rPr>
          <w:rFonts w:ascii="Times New Roman;serif" w:hAnsi="Times New Roman;serif"/>
          <w:b w:val="false"/>
          <w:color w:val="000000"/>
          <w:sz w:val="22"/>
        </w:rPr>
        <w:t>The phrase “ordinary course of business,” and similar phrases will mean, with respect to any Person, the ordinary course of such Person’s business consistent with past custom and practice (but giving effect to any adjustments or modifications thereto).</w:t>
      </w:r>
    </w:p>
    <w:p>
      <w:pPr>
        <w:pStyle w:val="TextBody"/>
        <w:bidi w:val="0"/>
        <w:spacing w:lineRule="auto" w:line="288" w:before="0" w:after="240"/>
        <w:ind w:left="0" w:right="0" w:hanging="720"/>
        <w:jc w:val="both"/>
        <w:rPr/>
      </w:pPr>
      <w:r>
        <w:rPr>
          <w:rFonts w:ascii="Times New Roman;serif" w:hAnsi="Times New Roman;serif"/>
          <w:b w:val="false"/>
          <w:color w:val="000000"/>
          <w:sz w:val="20"/>
        </w:rPr>
        <w:t>(j)    </w:t>
      </w:r>
      <w:r>
        <w:rPr>
          <w:rFonts w:ascii="Times New Roman;serif" w:hAnsi="Times New Roman;serif"/>
          <w:b w:val="false"/>
          <w:color w:val="000000"/>
          <w:sz w:val="22"/>
        </w:rPr>
        <w:t>References to statutes include all regulations promulgated thereunder and references to any law will be construed as such law as in effect on the date of this Agreement. All references to Contracts will be understood to mean “as amended”.</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67665"/>
                <wp:effectExtent l="0" t="0" r="0" b="0"/>
                <wp:wrapNone/>
                <wp:docPr id="166" name="Frame1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0"/>
        </w:rPr>
        <w:t>(k)    </w:t>
      </w:r>
      <w:r>
        <w:rPr>
          <w:rFonts w:ascii="Times New Roman;serif" w:hAnsi="Times New Roman;serif"/>
          <w:b w:val="false"/>
          <w:color w:val="000000"/>
          <w:sz w:val="22"/>
        </w:rPr>
        <w:t>The Parties have participated jointly in the negotiation and drafting of this Agreement. In the event of an ambiguity or a question of intent or interpretation arises, this Agreement will be construed as if drafted jointly by the Parties and no presumption or burden of proof will arise favoring or disfavoring any Party by virtue of the authorship of any provisions of this Agreement. Prior drafts of this Agreement or the fact that any clauses have been added, deleted or otherwise modified from any prior drafts of this Agreement will not be used to construe this Agreement or otherwise constitute evidence of the intent of the Parties; and no presumption or burden of proof will arise favoring or disfavoring any Party by virtue of such prior drafts.</w:t>
      </w:r>
    </w:p>
    <w:p>
      <w:pPr>
        <w:pStyle w:val="TextBody"/>
        <w:bidi w:val="0"/>
        <w:spacing w:lineRule="auto" w:line="288" w:before="0" w:after="240"/>
        <w:ind w:left="0" w:right="0" w:hanging="720"/>
        <w:jc w:val="both"/>
        <w:rPr/>
      </w:pPr>
      <w:r>
        <w:rPr>
          <w:rFonts w:ascii="Times New Roman;serif" w:hAnsi="Times New Roman;serif"/>
          <w:b w:val="false"/>
          <w:color w:val="000000"/>
          <w:sz w:val="20"/>
        </w:rPr>
        <w:t>(l)    </w:t>
      </w:r>
      <w:r>
        <w:rPr>
          <w:rFonts w:ascii="Times New Roman;serif" w:hAnsi="Times New Roman;serif"/>
          <w:b w:val="false"/>
          <w:color w:val="000000"/>
          <w:sz w:val="22"/>
        </w:rPr>
        <w:t>Whenever in this Agreement a Party is permitted or required to exercise “sole and absolute discretion” or a similar grant of authority or latitude, such Party will be entitled to consider only such interests and factors as it desires, including its own interests, and will have no duty or obligation (including the duty of good faith and fair dealing) to give any consideration to any interest of or factors affecting any other Person.</w:t>
      </w:r>
    </w:p>
    <w:p>
      <w:pPr>
        <w:pStyle w:val="TextBody"/>
        <w:bidi w:val="0"/>
        <w:spacing w:lineRule="auto" w:line="288" w:before="0" w:after="240"/>
        <w:ind w:left="0" w:right="0" w:hanging="720"/>
        <w:jc w:val="both"/>
        <w:rPr/>
      </w:pPr>
      <w:r>
        <w:rPr>
          <w:rFonts w:ascii="Times New Roman;serif" w:hAnsi="Times New Roman;serif"/>
          <w:b w:val="false"/>
          <w:color w:val="000000"/>
          <w:sz w:val="20"/>
        </w:rPr>
        <w:t>(m)    </w:t>
      </w:r>
      <w:r>
        <w:rPr>
          <w:rFonts w:ascii="Times New Roman;serif" w:hAnsi="Times New Roman;serif"/>
          <w:b w:val="false"/>
          <w:color w:val="000000"/>
          <w:sz w:val="22"/>
        </w:rPr>
        <w:t xml:space="preserve">This Agreement is intended to encompass the general transition services required to spin-off the Spinco Group Companies from the Parent Group Companies. There are Services needed by both the Parent Group Companies and Spinco Group Companies. Use of a “Service Recipient,” “Service Provider,” “Parent,” and “Spinco,” definition where it is reasonable that the collective definition (i.e. “Service Recipient Group Company, Service Provider Group Company, Parent Group Company, or Spinco Group Company”) should have been used shall be interpreted as collective. </w:t>
      </w:r>
    </w:p>
    <w:p>
      <w:pPr>
        <w:pStyle w:val="TextBody"/>
        <w:bidi w:val="0"/>
        <w:spacing w:lineRule="auto" w:line="288" w:before="0" w:after="240"/>
        <w:jc w:val="center"/>
        <w:rPr/>
      </w:pPr>
      <w:r>
        <w:rPr>
          <w:rFonts w:ascii="Times New Roman;serif" w:hAnsi="Times New Roman;serif"/>
          <w:b/>
          <w:color w:val="000000"/>
          <w:sz w:val="22"/>
        </w:rPr>
        <w:t>ARTICLE</w:t>
      </w:r>
      <w:r>
        <w:rPr>
          <w:color w:val="000000"/>
        </w:rPr>
        <w:t xml:space="preserve"> </w:t>
      </w:r>
      <w:r>
        <w:rPr>
          <w:rFonts w:ascii="Times New Roman;serif" w:hAnsi="Times New Roman;serif"/>
          <w:b/>
          <w:color w:val="000000"/>
          <w:sz w:val="22"/>
        </w:rPr>
        <w:t>II</w:t>
      </w:r>
    </w:p>
    <w:p>
      <w:pPr>
        <w:pStyle w:val="TextBody"/>
        <w:bidi w:val="0"/>
        <w:spacing w:lineRule="auto" w:line="288" w:before="0" w:after="240"/>
        <w:jc w:val="center"/>
        <w:rPr/>
      </w:pPr>
      <w:r>
        <w:rPr>
          <w:rFonts w:ascii="Times New Roman;serif" w:hAnsi="Times New Roman;serif"/>
          <w:b/>
          <w:color w:val="000000"/>
          <w:sz w:val="22"/>
        </w:rPr>
        <w:t>THE</w:t>
      </w:r>
      <w:r>
        <w:rPr>
          <w:color w:val="000000"/>
        </w:rPr>
        <w:t xml:space="preserve"> </w:t>
      </w:r>
      <w:r>
        <w:rPr>
          <w:rFonts w:ascii="Times New Roman;serif" w:hAnsi="Times New Roman;serif"/>
          <w:b/>
          <w:color w:val="000000"/>
          <w:sz w:val="22"/>
        </w:rPr>
        <w:t>SERVICES</w:t>
      </w:r>
    </w:p>
    <w:p>
      <w:pPr>
        <w:pStyle w:val="TextBody"/>
        <w:bidi w:val="0"/>
        <w:spacing w:lineRule="auto" w:line="288" w:before="0" w:after="240"/>
        <w:ind w:left="0" w:right="0" w:hanging="576"/>
        <w:jc w:val="both"/>
        <w:rPr>
          <w:rFonts w:ascii="Times New Roman;serif" w:hAnsi="Times New Roman;serif"/>
          <w:b/>
          <w:color w:val="000000"/>
          <w:sz w:val="22"/>
        </w:rPr>
      </w:pPr>
      <w:r>
        <w:rPr>
          <w:rFonts w:ascii="Times New Roman;serif" w:hAnsi="Times New Roman;serif"/>
          <w:b/>
          <w:color w:val="000000"/>
          <w:sz w:val="22"/>
        </w:rPr>
        <w:t>2.1    The Services.</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Service Provider will provide, or will cause the other Service Provider Group Companies to provide, the Services defined in the applicable Schedule in accordance with the terms and subject to the conditions set forth in this Agreement. Subject to Article 4.1, Article 4.2 and Article 5.2, the obligations of Service Provider under this Agreement to provide, or cause the other Service Provider Group Companies to provide, the Services will terminate with respect to each Service on the End Date for such Parent Service as stated in the applicable Schedule. Notwithstanding the foregoing, the Parties acknowledge and agree that the Service Recipient may determine in its sole and absolute discretion from time to time that it does not require all of the Services set out in the applicable Schedule or that it does not require such Services for the entire period up to the applicable End Date. Accordingly, Service Recipient may terminate any Service, in whole and not in part unless otherwise mutually agreed between the Parties in accordance with Article 7.3, without penalty upon notification to Service Provider in writing of any such determination.</w:t>
      </w:r>
      <w:r>
        <w:rPr>
          <w:color w:val="000000"/>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 xml:space="preserve">For the avoidance of doubt, the Service Recipient will have no obligation to request any particular Service be provided hereunder and may terminate the use of any Service hereunder at any time as provided in Article 2.1(a). Service Provider will have no obligation to provide, or to cause any other Service Provider Group Company to provide, any Service after the last to expire End Date. Upon mutual agreement and in accordance with Article 7.3, the Parties may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67665"/>
                <wp:effectExtent l="0" t="0" r="0" b="0"/>
                <wp:wrapNone/>
                <wp:docPr id="167" name="Frame1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add Services from time to time or extend the duration for any Parent Service by modifying the applicable Schedule. </w:t>
      </w:r>
    </w:p>
    <w:p>
      <w:pPr>
        <w:pStyle w:val="TextBody"/>
        <w:bidi w:val="0"/>
        <w:spacing w:lineRule="auto" w:line="288" w:before="0" w:after="240"/>
        <w:ind w:left="0" w:right="0" w:hanging="720"/>
        <w:jc w:val="both"/>
        <w:rPr/>
      </w:pPr>
      <w:r>
        <w:rPr>
          <w:rFonts w:ascii="Times New Roman;serif" w:hAnsi="Times New Roman;serif"/>
          <w:b w:val="false"/>
          <w:color w:val="000000"/>
          <w:sz w:val="20"/>
        </w:rPr>
        <w:t>(c)    </w:t>
      </w:r>
      <w:r>
        <w:rPr>
          <w:rFonts w:ascii="Times New Roman;serif" w:hAnsi="Times New Roman;serif"/>
          <w:b w:val="false"/>
          <w:color w:val="000000"/>
          <w:sz w:val="22"/>
        </w:rPr>
        <w:t>In the event the Service Recipient/Service Recipient Group Company does not have the necessary functionality, resources or capabilities to replace a Service by the End Date of the applicable Service, the Service Recipient may extend the duration of the applicable Service by an additional period equal to the initial duration of the applicable Service (such period, an “Extension Period”) by providing 30 days’ prior written notice to the Service Provider. During any Extension Period, the fees for such Service will remain the same as in effect for the initial duration immediately prior to the Extension Period. In the event the Service Recipients do not have the necessary functionality, resources or capabilities to replace a Service by the expiration of any Extension Period, the Service Provider agrees to continue such Service, without interruption, to the Service Recipients and the Parties will negotiate in good faith a subcontract agreement on usual and customary terms and conditions, including pricing, to continue to provide the Service Recipients with the additional period of time necessary to complete the implementation of such functionality, resources or capabilities into production to replace the applicable Service(s).</w:t>
      </w:r>
    </w:p>
    <w:p>
      <w:pPr>
        <w:pStyle w:val="TextBody"/>
        <w:bidi w:val="0"/>
        <w:spacing w:lineRule="auto" w:line="288" w:before="0" w:after="240"/>
        <w:ind w:left="0" w:right="0" w:hanging="576"/>
        <w:jc w:val="both"/>
        <w:rPr/>
      </w:pPr>
      <w:r>
        <w:rPr>
          <w:rFonts w:ascii="Times New Roman;serif" w:hAnsi="Times New Roman;serif"/>
          <w:b/>
          <w:color w:val="000000"/>
          <w:sz w:val="22"/>
        </w:rPr>
        <w:t xml:space="preserve">2.2    Standard of Care. </w:t>
      </w:r>
      <w:r>
        <w:rPr>
          <w:rFonts w:ascii="Times New Roman;serif" w:hAnsi="Times New Roman;serif"/>
          <w:b w:val="false"/>
          <w:color w:val="000000"/>
          <w:sz w:val="22"/>
        </w:rPr>
        <w:t>The Service Recipient acknowledges and agrees that the Service Provider and the Service Provider Group Companies are not in the business of providing services to third parties and are entering into this Agreement only as an accommodation to Service Recipient in connection with the Spin-Off. Each Service Provider, on behalf of itself and its Group Companies, agrees that: (a) the Services will be provided in accordance with applicable law, in a manner substantially consistent and with the same standard of care as historically provided during the period from March 1, 2025 through the Effective Date of this Agreement; and (b) the Service Provider and the Service Provider Group Companies will comply with applicable laws governing the employment, retention and compensation of the Service Personnel. Service Recipient acknowledges and agrees that Service Provider and Service Provider Group Companies make no representation or warranty of any kind, implied or expressed, with respect to the Services, including any warranty of merchantability or fitness for a particular purpose, which are all specifically disclaimed.</w:t>
      </w:r>
    </w:p>
    <w:p>
      <w:pPr>
        <w:pStyle w:val="TextBody"/>
        <w:bidi w:val="0"/>
        <w:spacing w:lineRule="auto" w:line="288" w:before="0" w:after="240"/>
        <w:ind w:left="0" w:right="0" w:hanging="576"/>
        <w:jc w:val="both"/>
        <w:rPr/>
      </w:pPr>
      <w:r>
        <w:rPr>
          <w:rFonts w:ascii="Times New Roman;serif" w:hAnsi="Times New Roman;serif"/>
          <w:b/>
          <w:color w:val="000000"/>
          <w:sz w:val="22"/>
        </w:rPr>
        <w:t>2.3    Access.</w:t>
      </w:r>
      <w:r>
        <w:rPr>
          <w:color w:val="000000"/>
        </w:rPr>
        <w:t xml:space="preserve"> </w:t>
      </w:r>
      <w:r>
        <w:rPr>
          <w:rFonts w:ascii="Times New Roman;serif" w:hAnsi="Times New Roman;serif"/>
          <w:b w:val="false"/>
          <w:color w:val="000000"/>
          <w:sz w:val="22"/>
        </w:rPr>
        <w:t>In order to enable the provision of the Services, Service Recipient will provide, and will cause the other Service Recipient Group Companies to provide, to the Service Personnel, reasonable access, at no cost, to the facilities, personnel, systems, and/or any other assets of the Service Recipient and the Service Recipient Group Companies, in all cases (i) to the extent reasonably necessary for the Service Provider and/or the Service Provider Group Companies to fulfill its obligations under this Agreement upon reasonable prior written notice and (ii) which will remain subject to the confidentiality and systems security provisions set forth in Article V.</w:t>
      </w:r>
    </w:p>
    <w:p>
      <w:pPr>
        <w:pStyle w:val="TextBody"/>
        <w:bidi w:val="0"/>
        <w:spacing w:lineRule="auto" w:line="288" w:before="0" w:after="240"/>
        <w:ind w:left="0" w:right="0" w:hanging="576"/>
        <w:jc w:val="both"/>
        <w:rPr/>
      </w:pPr>
      <w:r>
        <w:rPr>
          <w:rFonts w:ascii="Times New Roman;serif" w:hAnsi="Times New Roman;serif"/>
          <w:b/>
          <w:color w:val="000000"/>
          <w:sz w:val="22"/>
        </w:rPr>
        <w:t xml:space="preserve">2.4    Transitional Nature of the Services. </w:t>
      </w:r>
      <w:r>
        <w:rPr>
          <w:rFonts w:ascii="Times New Roman;serif" w:hAnsi="Times New Roman;serif"/>
          <w:b w:val="false"/>
          <w:color w:val="000000"/>
          <w:sz w:val="22"/>
        </w:rPr>
        <w:t>The Parties acknowledge the transitional nature of the Services. Accordingly, as promptly as practicable following the execution of this Agreement, the Service Recipient will use its commercially reasonable efforts to make a transition of each Service to its own internal organization or to a third party provider selected by the Service Recipient in its reasonable discretion; provided, however, that nothing in this Article 2.4 will give Service Provider the right to terminate its obligations to provide, or cause to be provided by any Service Provider, any Service earlier than the applicable End Date or such other earlier date agreed by the Parties on the appliable Schedule for a particular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67665"/>
                <wp:effectExtent l="0" t="0" r="0" b="0"/>
                <wp:wrapNone/>
                <wp:docPr id="168" name="Frame1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576"/>
        <w:jc w:val="both"/>
        <w:rPr/>
      </w:pPr>
      <w:r>
        <w:rPr>
          <w:rFonts w:ascii="Times New Roman;serif" w:hAnsi="Times New Roman;serif"/>
          <w:b/>
          <w:color w:val="000000"/>
          <w:sz w:val="22"/>
        </w:rPr>
        <w:t>2.5    Subcontractors.</w:t>
      </w:r>
      <w:r>
        <w:rPr>
          <w:color w:val="000000"/>
        </w:rPr>
        <w:t xml:space="preserve"> </w:t>
      </w:r>
      <w:r>
        <w:rPr>
          <w:rFonts w:ascii="Times New Roman;serif" w:hAnsi="Times New Roman;serif"/>
          <w:b w:val="false"/>
          <w:color w:val="000000"/>
          <w:sz w:val="22"/>
        </w:rPr>
        <w:t>The Service Provider may provide any or all of the Services through one or more subcontractors or other third parties (each, a “Subcontractor”) as set forth on the applicable Schedule or otherwise with Service Recipient’s prior written approval, not to be unreasonably withheld, conditioned or delayed; provided, however, such written approval will not be required if the Subcontractor provided such Service to the Service Recipient in the ordinary course of business prior to the Spin-Off in substantially the same manner and scope, including geographically, as contemplated by this Agreement and the applicable Schedule.</w:t>
      </w:r>
    </w:p>
    <w:p>
      <w:pPr>
        <w:pStyle w:val="TextBody"/>
        <w:bidi w:val="0"/>
        <w:spacing w:lineRule="auto" w:line="288" w:before="0" w:after="240"/>
        <w:ind w:left="0" w:right="0" w:hanging="576"/>
        <w:jc w:val="both"/>
        <w:rPr/>
      </w:pPr>
      <w:r>
        <w:rPr>
          <w:rFonts w:ascii="Times New Roman;serif" w:hAnsi="Times New Roman;serif"/>
          <w:b/>
          <w:color w:val="000000"/>
          <w:sz w:val="22"/>
        </w:rPr>
        <w:t>2.6    Nature of Relationship</w:t>
      </w:r>
      <w:r>
        <w:rPr>
          <w:rFonts w:ascii="Times New Roman;serif" w:hAnsi="Times New Roman;serif"/>
          <w:b w:val="false"/>
          <w:color w:val="000000"/>
          <w:sz w:val="22"/>
        </w:rPr>
        <w:t>. The Service Recipient acknowledges and agrees that this Agreement does not create a fiduciary relationship, partnership, joint venture or relationships of trust or agency between the Parties and that all Services are provided by the Service Provider and the Service Provider Group Companies as independent contractors. Any employees, agents or Subcontractors, of Service Provider and the Service Provider Group Companies (collectively, the “Service Personnel”) performing the Services under this Agreement will remain employees, agents or subcontractors of the Service Provider Group Company, as the case may be, and will not be deemed to be employees, agents or subcontractors of any Service Recipient for any purpose. The Service Provider Group Company will be solely responsible for the supervision and control of the Service Personnel and for payment of compensation to the Service Personnel. Service Provider, on behalf of itself and the other Service Provider Group Companies, assumes full responsibility for payment of all federal, state and local taxes or contributions imposed or required under unemployment insurance, social security and income tax laws with respect to their Service Personnel.</w:t>
      </w:r>
    </w:p>
    <w:p>
      <w:pPr>
        <w:pStyle w:val="TextBody"/>
        <w:bidi w:val="0"/>
        <w:spacing w:lineRule="auto" w:line="288" w:before="0" w:after="240"/>
        <w:ind w:left="0" w:right="0" w:hanging="576"/>
        <w:jc w:val="both"/>
        <w:rPr/>
      </w:pPr>
      <w:r>
        <w:rPr>
          <w:rFonts w:ascii="Times New Roman;serif" w:hAnsi="Times New Roman;serif"/>
          <w:b/>
          <w:color w:val="000000"/>
          <w:sz w:val="22"/>
        </w:rPr>
        <w:t>2.7    Limitations on the Provision of Services</w:t>
      </w:r>
      <w:r>
        <w:rPr>
          <w:rFonts w:ascii="Times New Roman;serif" w:hAnsi="Times New Roman;serif"/>
          <w:b w:val="false"/>
          <w:color w:val="000000"/>
          <w:sz w:val="22"/>
        </w:rPr>
        <w:t>. Notwithstanding anything to the contrary set forth herein:</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Service Provider will not be required to provide, or cause to be provided by any other Service Provider Group Company, any Services for use in, and Service Recipient will not, and will cause the other Service Recipient Group Company not to, use any Services in, any business other than the Business.</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In providing the Services, at no time will any data network of any Service Recipient Group Company be connected to any data network of any Service Provider Group Company without the prior written mutual consent of Parent and Spinco, and Parent and Spinco will have sole control of any connection mechanism between such data networks.</w:t>
      </w:r>
    </w:p>
    <w:p>
      <w:pPr>
        <w:pStyle w:val="TextBody"/>
        <w:bidi w:val="0"/>
        <w:spacing w:lineRule="auto" w:line="288" w:before="0" w:after="240"/>
        <w:ind w:left="0" w:right="0" w:hanging="720"/>
        <w:jc w:val="both"/>
        <w:rPr/>
      </w:pPr>
      <w:r>
        <w:rPr>
          <w:rFonts w:ascii="Times New Roman;serif" w:hAnsi="Times New Roman;serif"/>
          <w:b w:val="false"/>
          <w:color w:val="000000"/>
          <w:sz w:val="20"/>
        </w:rPr>
        <w:t>(c)    </w:t>
      </w:r>
      <w:r>
        <w:rPr>
          <w:rFonts w:ascii="Times New Roman;serif" w:hAnsi="Times New Roman;serif"/>
          <w:b w:val="false"/>
          <w:color w:val="000000"/>
          <w:sz w:val="22"/>
        </w:rPr>
        <w:t>Service Provider will not be obligated to provide, or to cause any other Service Provider Group Company to provide, any legal, financial, accounting or tax advice to Service Recipient or any other Service Recipient Group Company as part of or in connection with the Services provided hereunder or otherwise.</w:t>
      </w:r>
    </w:p>
    <w:p>
      <w:pPr>
        <w:pStyle w:val="TextBody"/>
        <w:bidi w:val="0"/>
        <w:spacing w:lineRule="auto" w:line="288" w:before="0" w:after="240"/>
        <w:ind w:left="0" w:right="0" w:hanging="576"/>
        <w:jc w:val="both"/>
        <w:rPr/>
      </w:pPr>
      <w:r>
        <w:rPr>
          <w:rFonts w:ascii="Times New Roman;serif" w:hAnsi="Times New Roman;serif"/>
          <w:b/>
          <w:color w:val="000000"/>
          <w:sz w:val="22"/>
        </w:rPr>
        <w:t>2.8    Force Majeure.</w:t>
      </w:r>
      <w:r>
        <w:rPr>
          <w:color w:val="000000"/>
        </w:rPr>
        <w:t xml:space="preserve"> </w:t>
      </w:r>
      <w:r>
        <w:rPr>
          <w:rFonts w:ascii="Times New Roman;serif" w:hAnsi="Times New Roman;serif"/>
          <w:b w:val="false"/>
          <w:color w:val="000000"/>
          <w:sz w:val="22"/>
        </w:rPr>
        <w:t xml:space="preserve">Service Provider will be excused from its obligation to provide, or to cause other Service Provider Group Companies to provide, the Services hereunder so long as and to the extent that the fulfillment of such obligation is prevented, delayed, or materially hindered as a consequence of an event of Force Majeure. In an event of Force Majeure, (a) Service Provider will promptly notify Service Recipient of the cause, expected duration, and expected impact on the provision of Services of the event of Force Majeure, and will undertake commercially reasonable actions to resume performance under this Agreement as soon as practicable and (b) for so long as an event of Force Majeure is continuing, Service Provider will provide or cause another Service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67665"/>
                <wp:effectExtent l="0" t="0" r="0" b="0"/>
                <wp:wrapNone/>
                <wp:docPr id="169" name="Frame1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Provider Group Company to provide such disaster recovery services for the Services using a comparable standard of service as would be provided to other Service Provider Group Companies to the extent reasonably requested by Service Recipient. Should a Service Provider fail to perform hereunder on account of an event of Force Majeure, the Service Recipient may obtain replacement services from a third party for the duration of such delay or inability to perform, or for such longer period as the Service Recipient is reasonably required to commit to in order to obtain such replacement services, and Service Recipient will not be required to pay the applicable fees and costs otherwise due under Article III for such Services during the term the applicable Service Provider is unable to provide such Services or the Service Recipient has engaged such third party. Service Provider will use commercially reasonable efforts in an event of Force Majeure to assist Service Recipient in obtaining replacement services including the training of any replacement service provider. For purposes of this Article 2.8, “Force Majeure” means any circumstances beyond the reasonable control of Service Provider or the applicable other Service Provider Group Companies, as the case may be, including acts of God, fire, explosion, hurricane, tornado, earthquake, flood, other weather conditions or natural disasters, or any epidemic, pandemic, outbreak of a material public health event or any worsening thereof, riots or other civil disturbances, wars (whether or not declared), cyberattacks, acts of terrorism, actions of governments, strikes, lockouts or other industrial action, failure of usual sources of raw materials or other sources of supply, and failure of computer systems to operate properly, destruction or loss of electronic records or data, and shutdowns, provided such failure, destruction or loss, or shutdown is beyond the reasonable control of Service Provider or the applicable other Service Provider Group Companies.</w:t>
      </w:r>
    </w:p>
    <w:p>
      <w:pPr>
        <w:pStyle w:val="TextBody"/>
        <w:bidi w:val="0"/>
        <w:spacing w:lineRule="auto" w:line="288" w:before="0" w:after="240"/>
        <w:ind w:left="0" w:right="0" w:hanging="576"/>
        <w:jc w:val="both"/>
        <w:rPr/>
      </w:pPr>
      <w:r>
        <w:rPr>
          <w:rFonts w:ascii="Times New Roman;serif" w:hAnsi="Times New Roman;serif"/>
          <w:b/>
          <w:color w:val="000000"/>
          <w:sz w:val="22"/>
        </w:rPr>
        <w:t xml:space="preserve">2.9    Omitted Services. </w:t>
      </w:r>
      <w:r>
        <w:rPr>
          <w:rFonts w:ascii="Times New Roman;serif" w:hAnsi="Times New Roman;serif"/>
          <w:b w:val="false"/>
          <w:color w:val="000000"/>
          <w:sz w:val="22"/>
        </w:rPr>
        <w:t>Service Recipient may, by written request sent to Service Provider within six (6) months after the date of this Agreement, request that Service Provider provide, or cause to be provided, any service that was not set forth on the Schedule, but that was provided to the Business prior to the Spin-Off (each, an “Omitted Service”). Within a reasonable timeframe after the receipt of such request, the Parties shall negotiate in good faith the terms of such Omitted Service, including the fees (which shall reflect the cost of providing such Omitted Service immediately prior to the Spin-Off) and duration of such Omitted Service, and, upon agreement of the Parties, the applicable Schedule shall be updated to include such Omitted Service and reattached hereto. Such Omitted Service shall be a Service to be provided by the Service Provider. For the avoidance of doubt and notwithstanding the foregoing, the Service Provider shall not be obligated to provide any such requested service if (i) the provision of such requested service would (A) violate any applicable law, or (B) violate, conflict with, result in the loss of any benefit under or increase the costs to the Service Provider (unless such costs associated with the Services may be passed through to the Service Recipient on a pro rata basis) under any existing contract or agreement with a third party, (ii) they are unable, despite commercially reasonable efforts, to provide such Omitted Service (including through outsourcing to its Service Provider Group Companies or existing third party providers), (iii) the Service Recipient employs the employee(s) who provided such service to the Business prior to the Spin-Off, (iv) such requested Service explicitly conflicts with any Service or statement on the applicable Schedule, or (iv) the provision of such Service would be contrary to Article 2.7(c).</w:t>
      </w:r>
    </w:p>
    <w:p>
      <w:pPr>
        <w:pStyle w:val="TextBody"/>
        <w:bidi w:val="0"/>
        <w:spacing w:lineRule="auto" w:line="288" w:before="0" w:after="240"/>
        <w:ind w:left="0" w:right="0" w:hanging="576"/>
        <w:jc w:val="both"/>
        <w:rPr/>
      </w:pPr>
      <w:r>
        <w:rPr>
          <w:rFonts w:ascii="Times New Roman;serif" w:hAnsi="Times New Roman;serif"/>
          <w:b/>
          <w:color w:val="000000"/>
          <w:sz w:val="22"/>
        </w:rPr>
        <w:t>2.10    Record Provision and Retention.</w:t>
      </w:r>
      <w:r>
        <w:rPr>
          <w:color w:val="000000"/>
        </w:rPr>
        <w:t xml:space="preserve"> </w:t>
      </w:r>
      <w:r>
        <w:rPr>
          <w:rFonts w:ascii="Times New Roman;serif" w:hAnsi="Times New Roman;serif"/>
          <w:b w:val="false"/>
          <w:color w:val="000000"/>
          <w:sz w:val="22"/>
        </w:rPr>
        <w:t xml:space="preserve">Included in the fees stated in the Schedules, for twelve (12) months from the Effective Date, in the event that the Service Recipient requires information to comply with applicable law or a customer or government audit or inspection, the Service Provider to the extent they have relevant information, shall assist Service Recipient in the collection of the necessary information from the Service Provider’s systems. For the avoidance of doubt and </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67665"/>
                <wp:effectExtent l="0" t="0" r="0" b="0"/>
                <wp:wrapNone/>
                <wp:docPr id="170" name="Frame1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the Service Provider shall not be obligated to provide any information as stated in this Article to the extent (i) the provision of such requested Service would (A) violate any applicable law, or (B) violate, conflict with, result in the loss of any benefit under or increase the costs to the Service Provider (unless such costs associated with the Services may be passed through to the Service Recipient on a pro rata basis) under any existing contract or agreement with a third party, or (ii) the information requested is already available to Service Recipient through a reasonable alternative mechanism. In the event the information requested requires an unreasonable level of effort, the Parties shall in good faith agree to a rate for the Service Recipient to pay for such service.</w:t>
      </w:r>
    </w:p>
    <w:p>
      <w:pPr>
        <w:pStyle w:val="TextBody"/>
        <w:bidi w:val="0"/>
        <w:spacing w:lineRule="auto" w:line="288" w:before="0" w:after="240"/>
        <w:ind w:left="0" w:right="0" w:hanging="576"/>
        <w:jc w:val="both"/>
        <w:rPr/>
      </w:pPr>
      <w:r>
        <w:rPr>
          <w:rFonts w:ascii="Times New Roman;serif" w:hAnsi="Times New Roman;serif"/>
          <w:b/>
          <w:color w:val="000000"/>
          <w:sz w:val="22"/>
        </w:rPr>
        <w:t xml:space="preserve">2.11    Brand Transition. </w:t>
      </w:r>
      <w:r>
        <w:rPr>
          <w:rFonts w:ascii="Times New Roman;serif" w:hAnsi="Times New Roman;serif"/>
          <w:b w:val="false"/>
          <w:color w:val="000000"/>
          <w:sz w:val="22"/>
        </w:rPr>
        <w:t>Parent grants the right to Spinco and the Spinco Group Companies the right to use the Parent brand name and “Hexagon” product name for brand transition purposes, royalty-free, under the following terms and conditions:</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 xml:space="preserve">Spinco, on behalf of itself and the Spinco Group Companies, acknowledges that (i) as between Parent and Spinco, Parent owns all right, title and interest in and to the trademarks, service marks, trade dress, trade names, domain names, social media handles, and other indicia of source or origin and the goodwill thereof consisting of or incorporating the “Hexagon” or “HxGN” stylized logo marks and designs (“Parent Marks”), (ii) Spinco has no rights, and is not acquiring any rights, to use the Parent Marks after the Spin-Off, except as expressly set forth in this Article 2.11, and (iii) Spinco shall not commit any act challenging, contesting or in any way impairing or attempting to impair Parent’s right, title ownership and interest in and to the Parent Marks. </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 xml:space="preserve">Effective as of the Effective Date, Parent hereby grants to Spinco and the Spinco Group Companies (collectively, the “Licensees”) a royalty-free, non-transferable, non-exclusive, irrevocable license to use the Parent Marks in connection with the continued operation of the Business in a manner consistent with (i) Spinco’s use of the Parent Marks in the Business prior to the Spin-Off, including in connection with the sale, distribution, promotion, advertising, and marketing of the Business’s goods and services, and (ii) Parent’s Brand Guidelines set forth on </w:t>
      </w:r>
      <w:r>
        <w:rPr>
          <w:rFonts w:ascii="Times New Roman;serif" w:hAnsi="Times New Roman;serif"/>
          <w:b/>
          <w:i/>
          <w:color w:val="000000"/>
          <w:sz w:val="22"/>
        </w:rPr>
        <w:t>Schedule III</w:t>
      </w:r>
      <w:r>
        <w:rPr>
          <w:color w:val="000000"/>
        </w:rPr>
        <w:t xml:space="preserve"> </w:t>
      </w:r>
      <w:r>
        <w:rPr>
          <w:rFonts w:ascii="Times New Roman;serif" w:hAnsi="Times New Roman;serif"/>
          <w:b w:val="false"/>
          <w:color w:val="000000"/>
          <w:sz w:val="22"/>
        </w:rPr>
        <w:t xml:space="preserve">and as provided to Spinco in writing from time to time (collectively, the “Brand Guidelines”). Each Licensee may sublicense the rights granted in this Article 2.11 to its authorized distributors, vendors, subcontractors, and resellers acting on behalf of the Licensee in connection with the continued operation of the Business during the Transition License Period. Parent reserves the right to review such use of the Parent Marks (including approval or disapproval of the “Hexagon” or “HxGN” stylized logo marks used separately than the “Hexagon” mark) by any Licensee or sublicensee in connection with the sale, distribution, promotion, advertising, and marketing of the Business’s goods and services if Parent reasonably determines that the Parent Marks are not used in accordance with the Brand Guidelines or any terms of this Agreement. To the extent Parent identifies a material failure to comply with Brand Guidelines, Services Recipients agree to work with Parent to address the noncompliance. The license granted herein will terminate five (5) years from the Effective Date (“Transition License Period”). Notwithstanding, for Spinco’s software categorized as End of Life Software as of the Effective Date, Spinco is not required to re-brand such End of Life Software and associated Documentation. Further, pre-Spin-Off released Documentation and Software Products may retain the Parent Marks provided that the next release/version is updated to the new Spinco branding. </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67665"/>
                <wp:effectExtent l="0" t="0" r="0" b="0"/>
                <wp:wrapNone/>
                <wp:docPr id="171" name="Frame1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0"/>
        </w:rPr>
        <w:t>(c)    </w:t>
      </w:r>
      <w:r>
        <w:rPr>
          <w:rFonts w:ascii="Times New Roman;serif" w:hAnsi="Times New Roman;serif"/>
          <w:b w:val="false"/>
          <w:color w:val="000000"/>
          <w:sz w:val="22"/>
        </w:rPr>
        <w:t>Spinco shall ensure that the Licensees use the Parent Marks only in a form and manner consistent with, and in connection with goods and services of a level of quality equal to or greater than the quality of goods and services offered in connection with Parent’s use of the Parent Marks prior to the Spin-Off. All use of the Parent Marks and all goodwill arising from such use shall inure to the exclusive benefit of Parent.</w:t>
      </w:r>
    </w:p>
    <w:p>
      <w:pPr>
        <w:pStyle w:val="TextBody"/>
        <w:bidi w:val="0"/>
        <w:spacing w:lineRule="auto" w:line="288" w:before="0" w:after="240"/>
        <w:ind w:left="0" w:right="0" w:hanging="720"/>
        <w:jc w:val="both"/>
        <w:rPr/>
      </w:pPr>
      <w:r>
        <w:rPr>
          <w:rFonts w:ascii="Times New Roman;serif" w:hAnsi="Times New Roman;serif"/>
          <w:b w:val="false"/>
          <w:color w:val="000000"/>
          <w:sz w:val="20"/>
        </w:rPr>
        <w:t>(d)    </w:t>
      </w:r>
      <w:r>
        <w:rPr>
          <w:rFonts w:ascii="Times New Roman;serif" w:hAnsi="Times New Roman;serif"/>
          <w:b w:val="false"/>
          <w:color w:val="000000"/>
          <w:sz w:val="22"/>
        </w:rPr>
        <w:t>Except as stated herein, Licensees may not use the Parent Marks after the end of the Transition License Period, except that Licensees may at all times after the Spin-Off (i) retain and use, for Licensees’ internal business purposes, records and other historical or archived documents containing or referencing the Parent Marks; (ii) use the Parent Marks to the extent required by or permitted as fair use or otherwise under applicable law, including uses that would not cause confusion as to the origin or sponsorship of a good or service; and (iii) refer on their websites and in their advertising, marketing, and promotional materials to the historical relationship between Parent and Spinco.</w:t>
      </w:r>
    </w:p>
    <w:p>
      <w:pPr>
        <w:pStyle w:val="TextBody"/>
        <w:bidi w:val="0"/>
        <w:spacing w:lineRule="auto" w:line="288" w:before="0" w:after="480"/>
        <w:ind w:left="0" w:right="0" w:hanging="720"/>
        <w:jc w:val="both"/>
        <w:rPr/>
      </w:pPr>
      <w:r>
        <w:rPr>
          <w:rFonts w:ascii="Times New Roman;serif" w:hAnsi="Times New Roman;serif"/>
          <w:b w:val="false"/>
          <w:color w:val="000000"/>
          <w:sz w:val="20"/>
        </w:rPr>
        <w:t>(e)    </w:t>
      </w:r>
      <w:r>
        <w:rPr>
          <w:rFonts w:ascii="Times New Roman;serif" w:hAnsi="Times New Roman;serif"/>
          <w:b w:val="false"/>
          <w:color w:val="000000"/>
          <w:sz w:val="22"/>
        </w:rPr>
        <w:t>Without limiting the generality of the foregoing or the full license rights during the Transition License Period, Spinco shall, and shall cause each Licensee to, use commercially reasonable efforts to orderly transition away from use of the Parent Marks during the Transition License Period.</w:t>
      </w:r>
    </w:p>
    <w:p>
      <w:pPr>
        <w:pStyle w:val="TextBody"/>
        <w:bidi w:val="0"/>
        <w:spacing w:lineRule="auto" w:line="288" w:before="0" w:after="240"/>
        <w:ind w:left="0" w:right="0" w:hanging="576"/>
        <w:jc w:val="both"/>
        <w:rPr/>
      </w:pPr>
      <w:r>
        <w:rPr>
          <w:rFonts w:ascii="Times New Roman;serif" w:hAnsi="Times New Roman;serif"/>
          <w:b/>
          <w:color w:val="000000"/>
          <w:sz w:val="22"/>
        </w:rPr>
        <w:t xml:space="preserve">2.12    Shared Facilities. </w:t>
      </w:r>
      <w:r>
        <w:rPr>
          <w:rFonts w:ascii="Times New Roman;serif" w:hAnsi="Times New Roman;serif"/>
          <w:b w:val="false"/>
          <w:color w:val="000000"/>
          <w:sz w:val="22"/>
        </w:rPr>
        <w:t>Post Spin-Off, there are a number of facilities where a Parent Group Company or an Spinco Group Company will for a period sublease a portion of such facilities from the other. While such facilities are shared by the Parties, the Parties agree to:</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 xml:space="preserve">Use commercial reasonable efforts to protect the space and confidentiality of each other’s business; </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 xml:space="preserve">Implement and enforce industry standard policies and procedures regarding sharing a facility with another business to ensure that the confidentiality and respect for the other’s business is maintained.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 specific temporary services required for a shared facility, such service description and associated cost shall, unless otherwise stated in a Schedule herein, be included in the sublease agreement between the Parent Group Company and Spinco Group Company for such facility. In the event of conflict between this Agreement and such sublease, the applicable sublease shall govern solely for the needs as to that facility.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COMPENSATION</w:t>
      </w:r>
    </w:p>
    <w:p>
      <w:pPr>
        <w:pStyle w:val="TextBody"/>
        <w:bidi w:val="0"/>
        <w:spacing w:lineRule="auto" w:line="288" w:before="0" w:after="240"/>
        <w:ind w:left="0" w:right="0" w:hanging="720"/>
        <w:jc w:val="both"/>
        <w:rPr/>
      </w:pPr>
      <w:r>
        <w:rPr>
          <w:rFonts w:ascii="Times New Roman;serif" w:hAnsi="Times New Roman;serif"/>
          <w:b w:val="false"/>
          <w:color w:val="000000"/>
          <w:sz w:val="20"/>
        </w:rPr>
        <w:t>3.1    </w:t>
      </w:r>
      <w:r>
        <w:rPr>
          <w:rFonts w:ascii="Times New Roman;serif" w:hAnsi="Times New Roman;serif"/>
          <w:b/>
          <w:color w:val="000000"/>
          <w:sz w:val="22"/>
        </w:rPr>
        <w:t xml:space="preserve">Terms of Payment and Related Matters. </w:t>
      </w:r>
      <w:r>
        <w:rPr>
          <w:rFonts w:ascii="Times New Roman;serif" w:hAnsi="Times New Roman;serif"/>
          <w:b w:val="false"/>
          <w:color w:val="000000"/>
          <w:sz w:val="22"/>
        </w:rPr>
        <w:t xml:space="preserve">As consideration for the provision of the Services, Service Recipient will pay (or cause to be paid to) Service Provider all amounts owed under this Agreement, including the fees set forth in the Schedule. </w:t>
      </w:r>
    </w:p>
    <w:p>
      <w:pPr>
        <w:pStyle w:val="TextBody"/>
        <w:bidi w:val="0"/>
        <w:spacing w:lineRule="auto" w:line="288" w:before="0" w:after="240"/>
        <w:ind w:left="0" w:right="0" w:hanging="720"/>
        <w:jc w:val="both"/>
        <w:rPr/>
      </w:pPr>
      <w:r>
        <w:rPr>
          <w:rFonts w:ascii="Times New Roman;serif" w:hAnsi="Times New Roman;serif"/>
          <w:b w:val="false"/>
          <w:color w:val="000000"/>
          <w:sz w:val="20"/>
        </w:rPr>
        <w:t>3.2    </w:t>
      </w:r>
      <w:r>
        <w:rPr>
          <w:rFonts w:ascii="Times New Roman;serif" w:hAnsi="Times New Roman;serif"/>
          <w:b/>
          <w:color w:val="000000"/>
          <w:sz w:val="22"/>
        </w:rPr>
        <w:t xml:space="preserve">Taxes. </w:t>
      </w:r>
      <w:r>
        <w:rPr>
          <w:rFonts w:ascii="Times New Roman;serif" w:hAnsi="Times New Roman;serif"/>
          <w:b w:val="false"/>
          <w:color w:val="000000"/>
          <w:sz w:val="22"/>
        </w:rPr>
        <w:t>Service Recipient will be responsible for all sales or use taxes imposed or assessed as a result of the provision of Services by Service Provider.</w:t>
      </w:r>
    </w:p>
    <w:p>
      <w:pPr>
        <w:pStyle w:val="TextBody"/>
        <w:bidi w:val="0"/>
        <w:spacing w:lineRule="auto" w:line="288" w:before="0" w:after="240"/>
        <w:ind w:left="0" w:right="0" w:hanging="720"/>
        <w:jc w:val="both"/>
        <w:rPr/>
      </w:pPr>
      <w:r>
        <w:rPr>
          <w:rFonts w:ascii="Times New Roman;serif" w:hAnsi="Times New Roman;serif"/>
          <w:b w:val="false"/>
          <w:color w:val="000000"/>
          <w:sz w:val="20"/>
        </w:rPr>
        <w:t>3.3    </w:t>
      </w:r>
      <w:r>
        <w:rPr>
          <w:rFonts w:ascii="Times New Roman;serif" w:hAnsi="Times New Roman;serif"/>
          <w:b/>
          <w:color w:val="000000"/>
          <w:sz w:val="22"/>
        </w:rPr>
        <w:t xml:space="preserve">No Right to Set-Off or Withholding. </w:t>
      </w:r>
      <w:r>
        <w:rPr>
          <w:rFonts w:ascii="Times New Roman;serif" w:hAnsi="Times New Roman;serif"/>
          <w:b w:val="false"/>
          <w:color w:val="000000"/>
          <w:sz w:val="22"/>
        </w:rPr>
        <w:t xml:space="preserve">Service Recipient will pay the full amounts of, and will not set-off, counterclaim or otherwise withhold from, all amounts, fees, costs and expenses owed </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67665"/>
                <wp:effectExtent l="0" t="0" r="0" b="0"/>
                <wp:wrapNone/>
                <wp:docPr id="172" name="Frame1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 this Agreement with respect to the Services, including those amounts set forth in Article 3.1 and Article 3.2.</w:t>
      </w:r>
    </w:p>
    <w:p>
      <w:pPr>
        <w:pStyle w:val="TextBody"/>
        <w:bidi w:val="0"/>
        <w:spacing w:lineRule="auto" w:line="288" w:before="0" w:after="240"/>
        <w:ind w:left="0" w:right="0" w:firstLine="1123"/>
        <w:jc w:val="center"/>
        <w:rPr>
          <w:rFonts w:ascii="Times New Roman;serif" w:hAnsi="Times New Roman;serif"/>
          <w:b/>
          <w:color w:val="000000"/>
          <w:sz w:val="22"/>
        </w:rPr>
      </w:pPr>
      <w:r>
        <w:rPr>
          <w:rFonts w:ascii="Times New Roman;serif" w:hAnsi="Times New Roman;serif"/>
          <w:b/>
          <w:color w:val="000000"/>
          <w:sz w:val="22"/>
        </w:rPr>
        <w:t>ARTICLE IV</w:t>
      </w:r>
    </w:p>
    <w:p>
      <w:pPr>
        <w:pStyle w:val="TextBody"/>
        <w:bidi w:val="0"/>
        <w:spacing w:lineRule="auto" w:line="288" w:before="0" w:after="240"/>
        <w:ind w:left="0" w:right="0" w:firstLine="1123"/>
        <w:jc w:val="center"/>
        <w:rPr>
          <w:rFonts w:ascii="Times New Roman;serif" w:hAnsi="Times New Roman;serif"/>
          <w:b/>
          <w:color w:val="000000"/>
          <w:sz w:val="22"/>
        </w:rPr>
      </w:pPr>
      <w:r>
        <w:rPr>
          <w:rFonts w:ascii="Times New Roman;serif" w:hAnsi="Times New Roman;serif"/>
          <w:b/>
          <w:color w:val="000000"/>
          <w:sz w:val="22"/>
        </w:rPr>
        <w:t>TERM; TERMINATION</w:t>
      </w:r>
    </w:p>
    <w:p>
      <w:pPr>
        <w:pStyle w:val="TextBody"/>
        <w:bidi w:val="0"/>
        <w:spacing w:lineRule="auto" w:line="288" w:before="0" w:after="240"/>
        <w:ind w:left="0" w:right="0" w:hanging="720"/>
        <w:jc w:val="both"/>
        <w:rPr/>
      </w:pPr>
      <w:r>
        <w:rPr>
          <w:rFonts w:ascii="Times New Roman;serif" w:hAnsi="Times New Roman;serif"/>
          <w:b w:val="false"/>
          <w:color w:val="000000"/>
          <w:sz w:val="20"/>
        </w:rPr>
        <w:t>4.1    </w:t>
      </w:r>
      <w:r>
        <w:rPr>
          <w:rFonts w:ascii="Times New Roman;serif" w:hAnsi="Times New Roman;serif"/>
          <w:b/>
          <w:color w:val="000000"/>
          <w:sz w:val="22"/>
        </w:rPr>
        <w:t xml:space="preserve">Term. </w:t>
      </w:r>
      <w:r>
        <w:rPr>
          <w:rFonts w:ascii="Times New Roman;serif" w:hAnsi="Times New Roman;serif"/>
          <w:b w:val="false"/>
          <w:color w:val="000000"/>
          <w:sz w:val="22"/>
        </w:rPr>
        <w:t>The term of this Agreement will commence on the Effective Date and will, unless terminated earlier with respect to all of the Services by written notice from Service Recipient to Service Provider or extended by mutual agreement of the Parties in accordance with Article 7.3, continue until the close of business on the last to expire End Date.</w:t>
      </w:r>
    </w:p>
    <w:p>
      <w:pPr>
        <w:pStyle w:val="TextBody"/>
        <w:bidi w:val="0"/>
        <w:spacing w:lineRule="auto" w:line="288" w:before="0" w:after="240"/>
        <w:ind w:left="0" w:right="0" w:hanging="720"/>
        <w:jc w:val="both"/>
        <w:rPr/>
      </w:pPr>
      <w:r>
        <w:rPr>
          <w:rFonts w:ascii="Times New Roman;serif" w:hAnsi="Times New Roman;serif"/>
          <w:b w:val="false"/>
          <w:color w:val="000000"/>
          <w:sz w:val="20"/>
        </w:rPr>
        <w:t>4.2    </w:t>
      </w:r>
      <w:r>
        <w:rPr>
          <w:rFonts w:ascii="Times New Roman;serif" w:hAnsi="Times New Roman;serif"/>
          <w:b/>
          <w:color w:val="000000"/>
          <w:sz w:val="22"/>
        </w:rPr>
        <w:t xml:space="preserve">Effect of Expiration or Termination. </w:t>
      </w:r>
      <w:r>
        <w:rPr>
          <w:rFonts w:ascii="Times New Roman;serif" w:hAnsi="Times New Roman;serif"/>
          <w:b w:val="false"/>
          <w:color w:val="000000"/>
          <w:sz w:val="22"/>
        </w:rPr>
        <w:t>Notwithstanding anything to the contrary in this Agreement, the provisions of Article 2.11, and Articles V, VI and VII will survive any expiration or termination of this Agreement and Service Recipient will remain obligated for all amounts owed under Article 3.1 and Article 3.2 in respect of Services that were provided hereunder prior to the expiration or termination of this Agreement or the early termination of any particular Service pursuant to Article 2.1(a).</w:t>
      </w:r>
    </w:p>
    <w:p>
      <w:pPr>
        <w:pStyle w:val="TextBody"/>
        <w:bidi w:val="0"/>
        <w:spacing w:lineRule="auto" w:line="288" w:before="0" w:after="240"/>
        <w:ind w:left="0" w:right="0" w:firstLine="1123"/>
        <w:jc w:val="center"/>
        <w:rPr>
          <w:rFonts w:ascii="Times New Roman;serif" w:hAnsi="Times New Roman;serif"/>
          <w:b/>
          <w:color w:val="000000"/>
          <w:sz w:val="22"/>
        </w:rPr>
      </w:pPr>
      <w:r>
        <w:rPr>
          <w:rFonts w:ascii="Times New Roman;serif" w:hAnsi="Times New Roman;serif"/>
          <w:b/>
          <w:color w:val="000000"/>
          <w:sz w:val="22"/>
        </w:rPr>
        <w:t>ARTICLE V</w:t>
      </w:r>
    </w:p>
    <w:p>
      <w:pPr>
        <w:pStyle w:val="TextBody"/>
        <w:bidi w:val="0"/>
        <w:spacing w:lineRule="auto" w:line="288" w:before="0" w:after="240"/>
        <w:ind w:left="0" w:right="0" w:firstLine="1123"/>
        <w:jc w:val="center"/>
        <w:rPr/>
      </w:pPr>
      <w:r>
        <w:rPr>
          <w:rFonts w:ascii="Times New Roman;serif" w:hAnsi="Times New Roman;serif"/>
          <w:b/>
          <w:color w:val="000000"/>
          <w:sz w:val="22"/>
        </w:rPr>
        <w:t>CONFIDENTIAL</w:t>
      </w:r>
      <w:r>
        <w:rPr>
          <w:color w:val="000000"/>
        </w:rPr>
        <w:t xml:space="preserve"> </w:t>
      </w:r>
      <w:r>
        <w:rPr>
          <w:rFonts w:ascii="Times New Roman;serif" w:hAnsi="Times New Roman;serif"/>
          <w:b/>
          <w:color w:val="000000"/>
          <w:sz w:val="22"/>
        </w:rPr>
        <w:t>INFORMATION</w:t>
      </w:r>
    </w:p>
    <w:p>
      <w:pPr>
        <w:pStyle w:val="TextBody"/>
        <w:bidi w:val="0"/>
        <w:spacing w:lineRule="auto" w:line="288" w:before="0" w:after="240"/>
        <w:ind w:left="0" w:right="0" w:hanging="720"/>
        <w:jc w:val="both"/>
        <w:rPr/>
      </w:pPr>
      <w:r>
        <w:rPr>
          <w:rFonts w:ascii="Times New Roman;serif" w:hAnsi="Times New Roman;serif"/>
          <w:b w:val="false"/>
          <w:color w:val="000000"/>
          <w:sz w:val="20"/>
        </w:rPr>
        <w:t>5.1    </w:t>
      </w:r>
      <w:r>
        <w:rPr>
          <w:rFonts w:ascii="Times New Roman;serif" w:hAnsi="Times New Roman;serif"/>
          <w:b/>
          <w:color w:val="000000"/>
          <w:sz w:val="22"/>
        </w:rPr>
        <w:t xml:space="preserve">Treatment of Confidential Information. </w:t>
      </w:r>
      <w:r>
        <w:rPr>
          <w:rFonts w:ascii="Times New Roman;serif" w:hAnsi="Times New Roman;serif"/>
          <w:b w:val="false"/>
          <w:color w:val="000000"/>
          <w:sz w:val="22"/>
        </w:rPr>
        <w:t>Until the later of (a) the fifth anniversary of the Effective Date or (b) the third anniversary of the last to expire End Date, each Party will hold, and will cause its Affiliates and its and their respective Representatives to hold, in confidence and not disclose any and all Confidential Information of the other Party, (a) except for purposes of complying with (i) a Party’s obligations under this Agreement or any other Spin-Off related agreement and (ii) an order from a governmental authority or applicable law. Notwithstanding the foregoing, this Article 5.1 will not apply to Confidential Information that is or becomes publicly available after the Closing through no fault of a Party or its Affiliates, or their respective Representatives. If a Party or any of its Affiliates</w:t>
      </w:r>
      <w:r>
        <w:rPr>
          <w:color w:val="000000"/>
        </w:rPr>
        <w:t xml:space="preserve"> </w:t>
      </w:r>
      <w:r>
        <w:rPr>
          <w:rFonts w:ascii="Times New Roman;serif" w:hAnsi="Times New Roman;serif"/>
          <w:b w:val="false"/>
          <w:color w:val="000000"/>
          <w:sz w:val="22"/>
        </w:rPr>
        <w:t>or their respective Representatives are compelled to disclose any Confidential Information for the reasons set forth in clause (ii), such Party will (A) promptly notify the other Party in writing, to the extent permitted by applicable law, and will disclose only that portion of such Confidential Information as is legally required and (B) will use commercially reasonable efforts, at such other Party’s expense, to obtain an appropriate protective order prior to any such disclosure or other reasonable assurance that confidential treatment will be accorded such information. As used herein, “Confidential Information” means any non-public information, whether written or oral, about Parent, Spinco, their Affiliates, or the Spin-Off.</w:t>
      </w:r>
    </w:p>
    <w:p>
      <w:pPr>
        <w:pStyle w:val="TextBody"/>
        <w:bidi w:val="0"/>
        <w:spacing w:lineRule="auto" w:line="288" w:before="0" w:after="240"/>
        <w:ind w:left="0" w:right="0" w:hanging="720"/>
        <w:jc w:val="both"/>
        <w:rPr/>
      </w:pPr>
      <w:r>
        <w:rPr>
          <w:rFonts w:ascii="Times New Roman;serif" w:hAnsi="Times New Roman;serif"/>
          <w:b w:val="false"/>
          <w:color w:val="000000"/>
          <w:sz w:val="20"/>
        </w:rPr>
        <w:t>5.2    </w:t>
      </w:r>
      <w:r>
        <w:rPr>
          <w:rFonts w:ascii="Times New Roman;serif" w:hAnsi="Times New Roman;serif"/>
          <w:b/>
          <w:color w:val="000000"/>
          <w:sz w:val="22"/>
        </w:rPr>
        <w:t>Systems Access.</w:t>
      </w:r>
    </w:p>
    <w:p>
      <w:pPr>
        <w:pStyle w:val="TextBody"/>
        <w:bidi w:val="0"/>
        <w:spacing w:lineRule="auto" w:line="288" w:before="0" w:after="240"/>
        <w:ind w:left="0" w:right="0" w:hanging="360"/>
        <w:jc w:val="both"/>
        <w:rPr/>
      </w:pPr>
      <w:r>
        <w:rPr>
          <w:rFonts w:ascii="Times New Roman;serif" w:hAnsi="Times New Roman;serif"/>
          <w:b w:val="false"/>
          <w:color w:val="000000"/>
          <w:sz w:val="20"/>
        </w:rPr>
        <w:t>a)    </w:t>
      </w:r>
      <w:r>
        <w:rPr>
          <w:rFonts w:ascii="Times New Roman;serif" w:hAnsi="Times New Roman;serif"/>
          <w:b w:val="false"/>
          <w:color w:val="000000"/>
          <w:sz w:val="22"/>
        </w:rPr>
        <w:t xml:space="preserve">If Service Personnel receive access to a Service Recipient’s computer facilities, system(s), networks (voice or data) or software (collectively, the “Service Recipients’ Systems”) in connection with performance of the Services, the Service Provider will ensure that such Service Personnel comply with all reasonable system security policies, procedures, and requirements that may be provided in advance by such Service Recipient to the Service Provider in writing from time to time (the “Service Recipients’ Security Regulations”). The Service Providers will use commercially reasonable efforts to prevent the unauthorized access, destruction, alteration, or loss </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67665"/>
                <wp:effectExtent l="0" t="0" r="0" b="0"/>
                <wp:wrapNone/>
                <wp:docPr id="173" name="Frame1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information contained in the Service Recipients’ Systems by any Service Personnel. The Service Provider will immediately notify the Service Recipient of any discovery that any (i) Service Personnel has sought to circumvent or has circumvented the Service Recipient or the Service Recipient Group Company’s security systems and/or policies, (ii) unauthorized Person has accessed the Service Recipient’s systems, or (iii) Service Personnel has engaged in activities that have led or may lead to the unauthorized access, destruction or alteration or loss of data, information or software in the Service Recipient’s systems. Upon the occurrence of such an incident described in the preceding sentence, at the Service Recipient’s request, (A) the Service Personnel’s access to the Service Recipient’s Systems will be terminated and (B) the applicable Service Provider will reasonably cooperate with any investigation by such Service Recipient regarding such incident.</w:t>
      </w:r>
    </w:p>
    <w:p>
      <w:pPr>
        <w:pStyle w:val="TextBody"/>
        <w:bidi w:val="0"/>
        <w:spacing w:lineRule="auto" w:line="288" w:before="0" w:after="240"/>
        <w:ind w:left="0" w:right="0" w:hanging="360"/>
        <w:jc w:val="both"/>
        <w:rPr/>
      </w:pPr>
      <w:r>
        <w:rPr>
          <w:rFonts w:ascii="Times New Roman;serif" w:hAnsi="Times New Roman;serif"/>
          <w:b w:val="false"/>
          <w:color w:val="000000"/>
          <w:sz w:val="20"/>
        </w:rPr>
        <w:t>b)    </w:t>
      </w:r>
      <w:r>
        <w:rPr>
          <w:rFonts w:ascii="Times New Roman;serif" w:hAnsi="Times New Roman;serif"/>
          <w:b w:val="false"/>
          <w:color w:val="000000"/>
          <w:sz w:val="22"/>
        </w:rPr>
        <w:t>If personnel of any Service Recipient receive access to Service Provider Group Company’s computer facilities, system(s), networks (voice or data) or software (collectively, the “Service Provider’s Systems”) in connection with the Services, such Service Recipient will ensure that such personnel comply with all system security policies, procedures, and requirements that may be provided in advance by such Service Provider to the Service Recipient in writing from time to time (the “Service Provider’s Security Regulations”). The Service Recipient will use commercially reasonable efforts to prevent the unauthorized access, destruction, alteration, or loss of information contained in the Service Provider’s Systems by any Service Recipient personnel. The Service Recipient will immediately notify Service Provider of any discovery that any (i) Service Recipient personnel has sought to circumvent or has circumvented the Service Provider’s Security Regulations, (ii) unauthorized Person has accessed the Service Provider’s Systems, or (iii) Service Recipient personnel has engaged in activities that have led or may lead to the unauthorized access, destruction or alteration or loss of data, information or software in the Service Provider’s Systems. Upon the occurrence of such an incident described in the preceding sentence, at the Service Provider’s request, (A) the Service Recipient personnel’s access to the Service Provider’s Systems will be terminated and (B) the Service Recipient will reasonably cooperate with any investigation by such Service Provider regarding such incident.</w:t>
      </w:r>
    </w:p>
    <w:p>
      <w:pPr>
        <w:pStyle w:val="TextBody"/>
        <w:bidi w:val="0"/>
        <w:spacing w:lineRule="auto" w:line="288" w:before="0" w:after="240"/>
        <w:ind w:left="0" w:right="0" w:hanging="720"/>
        <w:jc w:val="both"/>
        <w:rPr/>
      </w:pPr>
      <w:r>
        <w:rPr>
          <w:rFonts w:ascii="Times New Roman;serif" w:hAnsi="Times New Roman;serif"/>
          <w:b w:val="false"/>
          <w:color w:val="000000"/>
          <w:sz w:val="20"/>
        </w:rPr>
        <w:t>5.3    </w:t>
      </w:r>
      <w:r>
        <w:rPr>
          <w:rFonts w:ascii="Times New Roman;serif" w:hAnsi="Times New Roman;serif"/>
          <w:b/>
          <w:color w:val="000000"/>
          <w:sz w:val="22"/>
        </w:rPr>
        <w:t xml:space="preserve">Data Protection. </w:t>
      </w:r>
      <w:r>
        <w:rPr>
          <w:rFonts w:ascii="Times New Roman;serif" w:hAnsi="Times New Roman;serif"/>
          <w:b w:val="false"/>
          <w:color w:val="000000"/>
          <w:sz w:val="22"/>
        </w:rPr>
        <w:t>Where, in connection with this Agreement, a Party or any of its Affiliates has access to any data, information or record that is processed in connection with the Services relating to an identified or identifiable natural person of the other Party or any of its Affiliates (“Personal Data”), each Party agrees to (and to cause its respective Affiliates to) with respect to such Personal Data:</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comply with applicable data protection laws;</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only process Personal Data in accordance with the documented instructions of the other Party (including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0"/>
        </w:rPr>
        <w:t>(c)    </w:t>
      </w:r>
      <w:r>
        <w:rPr>
          <w:rFonts w:ascii="Times New Roman;serif" w:hAnsi="Times New Roman;serif"/>
          <w:b w:val="false"/>
          <w:color w:val="000000"/>
          <w:sz w:val="22"/>
        </w:rPr>
        <w:t>only process Personal Data to the extent and in such manner as is necessary for the provision of the Services or as required by law or any governmental authority;</w:t>
      </w:r>
    </w:p>
    <w:p>
      <w:pPr>
        <w:pStyle w:val="TextBody"/>
        <w:bidi w:val="0"/>
        <w:spacing w:lineRule="auto" w:line="288" w:before="0" w:after="240"/>
        <w:ind w:left="0" w:right="0" w:hanging="720"/>
        <w:jc w:val="both"/>
        <w:rPr/>
      </w:pPr>
      <w:r>
        <w:rPr>
          <w:rFonts w:ascii="Times New Roman;serif" w:hAnsi="Times New Roman;serif"/>
          <w:b w:val="false"/>
          <w:color w:val="000000"/>
          <w:sz w:val="20"/>
        </w:rPr>
        <w:t>(d)    </w:t>
      </w:r>
      <w:r>
        <w:rPr>
          <w:rFonts w:ascii="Times New Roman;serif" w:hAnsi="Times New Roman;serif"/>
          <w:b w:val="false"/>
          <w:color w:val="000000"/>
          <w:sz w:val="22"/>
        </w:rPr>
        <w:t>ensure that its personnel engaged in the processing of Personal Data (including the Service Personnel) accesses such Personal Data only as necessary to perform their role in the performance of this Agreement and have received appropriate training on their responsibilities;</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67665"/>
                <wp:effectExtent l="0" t="0" r="0" b="0"/>
                <wp:wrapNone/>
                <wp:docPr id="174" name="Frame1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0"/>
        </w:rPr>
        <w:t>(e)    </w:t>
      </w:r>
      <w:r>
        <w:rPr>
          <w:rFonts w:ascii="Times New Roman;serif" w:hAnsi="Times New Roman;serif"/>
          <w:b w:val="false"/>
          <w:color w:val="000000"/>
          <w:sz w:val="22"/>
        </w:rPr>
        <w:t>ensure that any Person that it authorizes to process Personal Data (including its staff, subcontractors and Representatives) is subject to a duty of confidentiality (whether a contractual or a statutory duty);</w:t>
      </w:r>
    </w:p>
    <w:p>
      <w:pPr>
        <w:pStyle w:val="TextBody"/>
        <w:bidi w:val="0"/>
        <w:spacing w:lineRule="auto" w:line="288" w:before="0" w:after="240"/>
        <w:ind w:left="0" w:right="0" w:hanging="720"/>
        <w:jc w:val="both"/>
        <w:rPr/>
      </w:pPr>
      <w:r>
        <w:rPr>
          <w:rFonts w:ascii="Times New Roman;serif" w:hAnsi="Times New Roman;serif"/>
          <w:b w:val="false"/>
          <w:color w:val="000000"/>
          <w:sz w:val="20"/>
        </w:rPr>
        <w:t>(f)    </w:t>
      </w:r>
      <w:r>
        <w:rPr>
          <w:rFonts w:ascii="Times New Roman;serif" w:hAnsi="Times New Roman;serif"/>
          <w:b w:val="false"/>
          <w:color w:val="000000"/>
          <w:sz w:val="22"/>
        </w:rPr>
        <w:t>implement appropriate technical and organizational measures designed to protect Personal Data and designed to ensure a level of security appropriate to the risk presented by processing the Personal Data and designed to protect against unauthorized or unlawful processing and against accidental loss, destruction, damage, alteration or disclosure of the Personal Data;</w:t>
      </w:r>
    </w:p>
    <w:p>
      <w:pPr>
        <w:pStyle w:val="TextBody"/>
        <w:bidi w:val="0"/>
        <w:spacing w:lineRule="auto" w:line="288" w:before="0" w:after="240"/>
        <w:ind w:left="0" w:right="0" w:hanging="720"/>
        <w:jc w:val="both"/>
        <w:rPr/>
      </w:pPr>
      <w:r>
        <w:rPr>
          <w:rFonts w:ascii="Times New Roman;serif" w:hAnsi="Times New Roman;serif"/>
          <w:b w:val="false"/>
          <w:color w:val="000000"/>
          <w:sz w:val="20"/>
        </w:rPr>
        <w:t>(g)    </w:t>
      </w:r>
      <w:r>
        <w:rPr>
          <w:rFonts w:ascii="Times New Roman;serif" w:hAnsi="Times New Roman;serif"/>
          <w:b w:val="false"/>
          <w:color w:val="000000"/>
          <w:sz w:val="22"/>
        </w:rPr>
        <w:t>to the extent permitted by applicable law, promptly notify the disclosing Party if it receives a request from a Person to exercise any of such Person’s rights under applicable data protection laws. The disclosing Party will be responsible for responding to such a request in accordance with applicable law;</w:t>
      </w:r>
    </w:p>
    <w:p>
      <w:pPr>
        <w:pStyle w:val="TextBody"/>
        <w:bidi w:val="0"/>
        <w:spacing w:lineRule="auto" w:line="288" w:before="0" w:after="240"/>
        <w:ind w:left="0" w:right="0" w:hanging="720"/>
        <w:jc w:val="both"/>
        <w:rPr/>
      </w:pPr>
      <w:r>
        <w:rPr>
          <w:rFonts w:ascii="Times New Roman;serif" w:hAnsi="Times New Roman;serif"/>
          <w:b w:val="false"/>
          <w:color w:val="000000"/>
          <w:sz w:val="20"/>
        </w:rPr>
        <w:t>(h)    </w:t>
      </w:r>
      <w:r>
        <w:rPr>
          <w:rFonts w:ascii="Times New Roman;serif" w:hAnsi="Times New Roman;serif"/>
          <w:b w:val="false"/>
          <w:color w:val="000000"/>
          <w:sz w:val="22"/>
        </w:rPr>
        <w:t>maintain security incident management policies and procedures and notify the other Party without undue delay upon becoming aware of a data security incident that results in the loss or unauthorized disclosure of the disclosing Party’s Personal Data due to some fault of the receiving Party; and</w:t>
      </w:r>
    </w:p>
    <w:p>
      <w:pPr>
        <w:pStyle w:val="TextBody"/>
        <w:bidi w:val="0"/>
        <w:spacing w:lineRule="auto" w:line="288" w:before="0" w:after="240"/>
        <w:ind w:left="0" w:right="0" w:hanging="720"/>
        <w:jc w:val="both"/>
        <w:rPr/>
      </w:pPr>
      <w:r>
        <w:rPr>
          <w:rFonts w:ascii="Times New Roman;serif" w:hAnsi="Times New Roman;serif"/>
          <w:b w:val="false"/>
          <w:color w:val="000000"/>
          <w:sz w:val="20"/>
        </w:rPr>
        <w:t>(i)    </w:t>
      </w:r>
      <w:r>
        <w:rPr>
          <w:rFonts w:ascii="Times New Roman;serif" w:hAnsi="Times New Roman;serif"/>
          <w:b w:val="false"/>
          <w:color w:val="000000"/>
          <w:sz w:val="22"/>
        </w:rPr>
        <w:t>securely delete or securely return all Personal Data of the other Party as requested when the Services terminate in accordance with Article 2.1.</w:t>
      </w:r>
    </w:p>
    <w:p>
      <w:pPr>
        <w:pStyle w:val="TextBody"/>
        <w:bidi w:val="0"/>
        <w:spacing w:lineRule="auto" w:line="288" w:before="0" w:after="240"/>
        <w:ind w:left="0" w:right="0" w:hanging="720"/>
        <w:jc w:val="both"/>
        <w:rPr/>
      </w:pPr>
      <w:r>
        <w:rPr>
          <w:rFonts w:ascii="Times New Roman;serif" w:hAnsi="Times New Roman;serif"/>
          <w:b w:val="false"/>
          <w:color w:val="000000"/>
          <w:sz w:val="20"/>
        </w:rPr>
        <w:t>5.4    </w:t>
      </w:r>
      <w:r>
        <w:rPr>
          <w:rFonts w:ascii="Times New Roman;serif" w:hAnsi="Times New Roman;serif"/>
          <w:b/>
          <w:color w:val="000000"/>
          <w:sz w:val="22"/>
        </w:rPr>
        <w:t>Security and Breach Notification.</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In the event of a security incident, i.e., an event or set of circumstances resulting in a compromise to the security, confidentiality, availability or integrity of data of the Business under Service Provider’s control or within the Service Provider’s Systems (a “Provider Security Incident”), Service Provider shall promptly notify Service Recipient of such Provider Security Incident. Service Provider shall reasonably cooperate with Service Recipient in providing available information regarding the circumstances and details of the Provider Security Incident and shall maintain all documentation relating to a Provider Security Incident, whether in written or electronic form, including its identification, processing and resolution, for two (2) years (unless a shorter period is mandated by law) after final resolution, including the final resolution of any claims arising out of a Provider Security Incident.</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In the event of a security incident, i.e., an event or set of circumstances resulting in a compromise to the security, confidentiality, availability or integrity of data of Service Provider under Service Recipient’s control or within the Service Recipients’ Systems (a “Recipient Security Incident”), Service Recipient shall promptly notify Service Provider of such Recipient Security Incident. Service Recipient shall reasonably cooperate with Service Provider in providing available information regarding the circumstances and details of the Recipient Security Incident and shall maintain all documentation relating to a Recipient Security Incident, whether in written or electronic form, including its identification, processing and resolution, for two (2) years (unless a shorter period is mandated by law) after final resolution, including the final resolution of any claims arising out of a Recipient Security Incident.</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67665"/>
                <wp:effectExtent l="0" t="0" r="0" b="0"/>
                <wp:wrapNone/>
                <wp:docPr id="175" name="Frame1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ARTICLE</w:t>
      </w:r>
      <w:r>
        <w:rPr>
          <w:color w:val="000000"/>
        </w:rPr>
        <w:t xml:space="preserve"> </w:t>
      </w:r>
      <w:r>
        <w:rPr>
          <w:rFonts w:ascii="Times New Roman;serif" w:hAnsi="Times New Roman;serif"/>
          <w:b/>
          <w:color w:val="000000"/>
          <w:sz w:val="22"/>
        </w:rPr>
        <w:t>VI</w:t>
      </w:r>
    </w:p>
    <w:p>
      <w:pPr>
        <w:pStyle w:val="TextBody"/>
        <w:bidi w:val="0"/>
        <w:spacing w:lineRule="auto" w:line="288" w:before="0" w:after="240"/>
        <w:jc w:val="center"/>
        <w:rPr/>
      </w:pPr>
      <w:r>
        <w:rPr>
          <w:rFonts w:ascii="Times New Roman;serif" w:hAnsi="Times New Roman;serif"/>
          <w:b/>
          <w:color w:val="000000"/>
          <w:sz w:val="22"/>
        </w:rPr>
        <w:t>LIMITATIONS</w:t>
      </w:r>
      <w:r>
        <w:rPr>
          <w:color w:val="000000"/>
        </w:rPr>
        <w:t xml:space="preserve"> </w:t>
      </w:r>
      <w:r>
        <w:rPr>
          <w:rFonts w:ascii="Times New Roman;serif" w:hAnsi="Times New Roman;serif"/>
          <w:b/>
          <w:color w:val="000000"/>
          <w:sz w:val="22"/>
        </w:rPr>
        <w:t>ON</w:t>
      </w:r>
      <w:r>
        <w:rPr>
          <w:color w:val="000000"/>
        </w:rPr>
        <w:t xml:space="preserve"> </w:t>
      </w:r>
      <w:r>
        <w:rPr>
          <w:rFonts w:ascii="Times New Roman;serif" w:hAnsi="Times New Roman;serif"/>
          <w:b/>
          <w:color w:val="000000"/>
          <w:sz w:val="22"/>
        </w:rPr>
        <w:t>LIABILITY;</w:t>
      </w:r>
      <w:r>
        <w:rPr>
          <w:color w:val="000000"/>
        </w:rPr>
        <w:t xml:space="preserve"> </w:t>
      </w:r>
      <w:r>
        <w:rPr>
          <w:rFonts w:ascii="Times New Roman;serif" w:hAnsi="Times New Roman;serif"/>
          <w:b/>
          <w:color w:val="000000"/>
          <w:sz w:val="22"/>
        </w:rPr>
        <w:t>INDEMNIFICATION</w:t>
      </w:r>
    </w:p>
    <w:p>
      <w:pPr>
        <w:pStyle w:val="TextBody"/>
        <w:bidi w:val="0"/>
        <w:spacing w:lineRule="auto" w:line="288" w:before="0" w:after="240"/>
        <w:ind w:left="0" w:right="0" w:hanging="720"/>
        <w:jc w:val="both"/>
        <w:rPr/>
      </w:pPr>
      <w:r>
        <w:rPr>
          <w:rFonts w:ascii="Times New Roman;serif" w:hAnsi="Times New Roman;serif"/>
          <w:b w:val="false"/>
          <w:color w:val="000000"/>
          <w:sz w:val="20"/>
        </w:rPr>
        <w:t>6.1    </w:t>
      </w:r>
      <w:r>
        <w:rPr>
          <w:rFonts w:ascii="Times New Roman;serif" w:hAnsi="Times New Roman;serif"/>
          <w:b/>
          <w:color w:val="000000"/>
          <w:sz w:val="22"/>
        </w:rPr>
        <w:t>Indemnification.</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Each Party will indemnify, defend and hold harmless the other Party, its Affiliates and its and their respective Representatives from and against any and all losses caused by or arising out of the fraud, willful misconduct or gross negligence of such indemnifying Party in the performance or non-performance of its obligations hereunder or a willful and material breach by such indemnifying Party of the terms of this Agreement (collectively, the “Indemnifiable Losses”). Additionally, each Party hereby releases and discharges the other Party for any and all losses incurred by such Party arising out of or related to this Agreement, except with respect to such Party’s Indemnifiable Losses, (ii) losses indemnifiable pursuant to Article 6.1(b), and</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direct contract damages available under applicable law which result from or arise out of a Party’s material breach of its obligations hereunder.</w:t>
      </w:r>
    </w:p>
    <w:p>
      <w:pPr>
        <w:pStyle w:val="TextBody"/>
        <w:bidi w:val="0"/>
        <w:spacing w:lineRule="auto" w:line="288" w:before="0" w:after="240"/>
        <w:ind w:left="0" w:right="0" w:hanging="720"/>
        <w:jc w:val="both"/>
        <w:rPr/>
      </w:pPr>
      <w:r>
        <w:rPr>
          <w:rFonts w:ascii="Times New Roman;serif" w:hAnsi="Times New Roman;serif"/>
          <w:b w:val="false"/>
          <w:color w:val="000000"/>
          <w:sz w:val="20"/>
        </w:rPr>
        <w:t>6.2    </w:t>
      </w:r>
      <w:r>
        <w:rPr>
          <w:rFonts w:ascii="Times New Roman;serif" w:hAnsi="Times New Roman;serif"/>
          <w:b/>
          <w:color w:val="000000"/>
          <w:sz w:val="22"/>
        </w:rPr>
        <w:t xml:space="preserve">Limitations on Damages. </w:t>
      </w:r>
      <w:r>
        <w:rPr>
          <w:rFonts w:ascii="Times New Roman;serif" w:hAnsi="Times New Roman;serif"/>
          <w:b w:val="false"/>
          <w:color w:val="000000"/>
          <w:sz w:val="22"/>
        </w:rPr>
        <w:t>Notwithstanding anything contained in this Agreement to the contrary or provided for under any applicable law, no Party will, in any event, be liable to any other Person, either in contract or in tort, for any remote, speculative, special or punitive damages of such other Person, whether or not the possibility of such damages has been disclosed to such Party in advance or could have been reasonably foreseen by such Party; provided, however, that the foregoing limitation will not affect the right of a Party to be indemnified pursuant to this Article VI for judgements or settlements that are awarded to a third Person in connection with a third party claim.</w:t>
      </w:r>
    </w:p>
    <w:p>
      <w:pPr>
        <w:pStyle w:val="TextBody"/>
        <w:bidi w:val="0"/>
        <w:spacing w:lineRule="auto" w:line="288" w:before="0" w:after="240"/>
        <w:ind w:left="0" w:right="0" w:hanging="720"/>
        <w:jc w:val="both"/>
        <w:rPr/>
      </w:pPr>
      <w:r>
        <w:rPr>
          <w:rFonts w:ascii="Times New Roman;serif" w:hAnsi="Times New Roman;serif"/>
          <w:b w:val="false"/>
          <w:color w:val="000000"/>
          <w:sz w:val="20"/>
        </w:rPr>
        <w:t>6.3    </w:t>
      </w:r>
      <w:r>
        <w:rPr>
          <w:rFonts w:ascii="Times New Roman;serif" w:hAnsi="Times New Roman;serif"/>
          <w:b/>
          <w:color w:val="000000"/>
          <w:sz w:val="22"/>
        </w:rPr>
        <w:t>[Reserved.]</w:t>
      </w:r>
    </w:p>
    <w:p>
      <w:pPr>
        <w:pStyle w:val="TextBody"/>
        <w:bidi w:val="0"/>
        <w:spacing w:lineRule="auto" w:line="288" w:before="0" w:after="240"/>
        <w:ind w:left="0" w:right="0" w:hanging="720"/>
        <w:jc w:val="both"/>
        <w:rPr/>
      </w:pPr>
      <w:r>
        <w:rPr>
          <w:rFonts w:ascii="Times New Roman;serif" w:hAnsi="Times New Roman;serif"/>
          <w:b w:val="false"/>
          <w:color w:val="000000"/>
          <w:sz w:val="20"/>
        </w:rPr>
        <w:t>6.4    </w:t>
      </w:r>
      <w:r>
        <w:rPr>
          <w:rFonts w:ascii="Times New Roman;serif" w:hAnsi="Times New Roman;serif"/>
          <w:b/>
          <w:color w:val="000000"/>
          <w:sz w:val="22"/>
        </w:rPr>
        <w:t xml:space="preserve">Specific Performance. </w:t>
      </w:r>
      <w:r>
        <w:rPr>
          <w:rFonts w:ascii="Times New Roman;serif" w:hAnsi="Times New Roman;serif"/>
          <w:b w:val="false"/>
          <w:color w:val="000000"/>
          <w:sz w:val="22"/>
        </w:rPr>
        <w:t>Each Party acknowledges and agrees that the other Party and its Affiliates would be irreparably harmed if the provisions of this Agreement are not performed in accordance with their specific terms and that any breach of such provisions by the other Party or its Affiliates could not be adequately compensated in all cases by monetary damages alone. Accordingly, the Parties agree that, in addition to any other right or remedy to which either Party may be entitled at law or in equity, each Party shall be entitled to seek a decree of specific performance by a court of competent jurisdiction to enforce the provisions of this Agreement and without being required to post bond or other security. Furthermore, the Parties agree not to, and shall cause their respective Affiliates not to, assert that a remedy of specific performance, injunctive relief or other equitable relief is unenforceable, invalid, contrary to law or inequitable for any reason, and not to assert that a remedy of monetary damages would provide an adequate remedy or that the other Party otherwise has an adequate remedy at law.</w:t>
      </w:r>
    </w:p>
    <w:p>
      <w:pPr>
        <w:pStyle w:val="TextBody"/>
        <w:bidi w:val="0"/>
        <w:spacing w:lineRule="auto" w:line="288" w:before="0" w:after="240"/>
        <w:ind w:left="0" w:right="0" w:hanging="720"/>
        <w:jc w:val="both"/>
        <w:rPr/>
      </w:pPr>
      <w:r>
        <w:rPr>
          <w:rFonts w:ascii="Times New Roman;serif" w:hAnsi="Times New Roman;serif"/>
          <w:b w:val="false"/>
          <w:color w:val="000000"/>
          <w:sz w:val="20"/>
        </w:rPr>
        <w:t>6.5    </w:t>
      </w:r>
      <w:r>
        <w:rPr>
          <w:rFonts w:ascii="Times New Roman;serif" w:hAnsi="Times New Roman;serif"/>
          <w:b/>
          <w:color w:val="000000"/>
          <w:sz w:val="22"/>
        </w:rPr>
        <w:t>Exclusion of Other Remedies.</w:t>
      </w:r>
      <w:r>
        <w:rPr>
          <w:color w:val="000000"/>
        </w:rPr>
        <w:t xml:space="preserve"> </w:t>
      </w:r>
      <w:r>
        <w:rPr>
          <w:rFonts w:ascii="Times New Roman;serif" w:hAnsi="Times New Roman;serif"/>
          <w:b w:val="false"/>
          <w:color w:val="000000"/>
          <w:sz w:val="22"/>
        </w:rPr>
        <w:t>The indemnification expressly provided in this Article VI will be, in addition to any remedies described in Article 6.1(a)(iii) and/or any equitable remedies such as injunctive relief, the sole and exclusive remedy of the Parties for any loss arising under this Agreement or in respect of the provision of the Services or actions taken by the Parties, or any other Service Provider or Service Recipient, in connection with the transactions contemplated hereby.</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67665"/>
                <wp:effectExtent l="0" t="0" r="0" b="0"/>
                <wp:wrapNone/>
                <wp:docPr id="176" name="Frame1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ARTICLE VII</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lineRule="auto" w:line="288" w:before="0" w:after="240"/>
        <w:ind w:left="0" w:right="0" w:hanging="720"/>
        <w:jc w:val="both"/>
        <w:rPr/>
      </w:pPr>
      <w:r>
        <w:rPr>
          <w:rFonts w:ascii="Times New Roman;serif" w:hAnsi="Times New Roman;serif"/>
          <w:b w:val="false"/>
          <w:color w:val="000000"/>
          <w:sz w:val="20"/>
        </w:rPr>
        <w:t>7.1    </w:t>
      </w:r>
      <w:r>
        <w:rPr>
          <w:rFonts w:ascii="Times New Roman;serif" w:hAnsi="Times New Roman;serif"/>
          <w:b/>
          <w:color w:val="000000"/>
          <w:sz w:val="22"/>
        </w:rPr>
        <w:t xml:space="preserve">Dispute Resolution Procedures. </w:t>
      </w:r>
      <w:r>
        <w:rPr>
          <w:rFonts w:ascii="Times New Roman;serif" w:hAnsi="Times New Roman;serif"/>
          <w:b w:val="false"/>
          <w:color w:val="000000"/>
          <w:sz w:val="22"/>
        </w:rPr>
        <w:t xml:space="preserve">The Parties acknowledge and agree that Article VIII of the Distribution Agreement is hereby incorporated into this Agreement, and the procedures set forth therein shall apply, </w:t>
      </w:r>
      <w:r>
        <w:rPr>
          <w:rFonts w:ascii="Times New Roman;serif" w:hAnsi="Times New Roman;serif"/>
          <w:b w:val="false"/>
          <w:i/>
          <w:color w:val="000000"/>
          <w:sz w:val="22"/>
        </w:rPr>
        <w:t>mutatis mutandis</w:t>
      </w:r>
      <w:r>
        <w:rPr>
          <w:rFonts w:ascii="Times New Roman;serif" w:hAnsi="Times New Roman;serif"/>
          <w:b w:val="false"/>
          <w:color w:val="000000"/>
          <w:sz w:val="22"/>
        </w:rPr>
        <w:t>, to any dispute, controversy, or claim arising out of or relating to this Agreement, including the breach, termination, or validity thereof, and any question of the arbitrators’ jurisdiction, the arbitrability of any claim, or the existence, scope or validity of this arbitration agreement.</w:t>
      </w:r>
    </w:p>
    <w:p>
      <w:pPr>
        <w:pStyle w:val="TextBody"/>
        <w:bidi w:val="0"/>
        <w:spacing w:lineRule="auto" w:line="288" w:before="0" w:after="240"/>
        <w:ind w:left="0" w:right="0" w:hanging="720"/>
        <w:jc w:val="both"/>
        <w:rPr/>
      </w:pPr>
      <w:r>
        <w:rPr>
          <w:rFonts w:ascii="Times New Roman;serif" w:hAnsi="Times New Roman;serif"/>
          <w:b w:val="false"/>
          <w:color w:val="000000"/>
          <w:sz w:val="20"/>
        </w:rPr>
        <w:t>7.2    </w:t>
      </w:r>
      <w:r>
        <w:rPr>
          <w:rFonts w:ascii="Times New Roman;serif" w:hAnsi="Times New Roman;serif"/>
          <w:b/>
          <w:color w:val="000000"/>
          <w:sz w:val="22"/>
        </w:rPr>
        <w:t>Governing Law; Submission to Jurisdiction; Waiver of Jury Trial.</w:t>
      </w:r>
    </w:p>
    <w:p>
      <w:pPr>
        <w:pStyle w:val="TextBody"/>
        <w:bidi w:val="0"/>
        <w:spacing w:lineRule="auto" w:line="288" w:before="0" w:after="240"/>
        <w:ind w:left="0" w:right="0" w:hanging="720"/>
        <w:jc w:val="both"/>
        <w:rPr/>
      </w:pPr>
      <w:r>
        <w:rPr>
          <w:rFonts w:ascii="Times New Roman;serif" w:hAnsi="Times New Roman;serif"/>
          <w:b w:val="false"/>
          <w:color w:val="000000"/>
          <w:sz w:val="20"/>
        </w:rPr>
        <w:t>(a)    </w:t>
      </w:r>
      <w:r>
        <w:rPr>
          <w:rFonts w:ascii="Times New Roman;serif" w:hAnsi="Times New Roman;serif"/>
          <w:b w:val="false"/>
          <w:color w:val="000000"/>
          <w:sz w:val="22"/>
        </w:rPr>
        <w:t>The Parties acknowledge and agree that Section 9.2 of the Distribution Agreement is hereby incorporated into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0"/>
        </w:rPr>
        <w:t>(b)    </w:t>
      </w:r>
      <w:r>
        <w:rPr>
          <w:rFonts w:ascii="Times New Roman;serif" w:hAnsi="Times New Roman;serif"/>
          <w:b w:val="false"/>
          <w:color w:val="000000"/>
          <w:sz w:val="22"/>
        </w:rPr>
        <w:t>THE PARTIES TO THIS AGREEMENT IRREVOCABLY WAIVE THEIR RESPECTIVE RIGHTS TO TRIAL BY JURY OF ANY CAUSE OF ACTION, CLAIM, COUNTERCLAIM OR CROSS-COMPLAINT IN ANY ACTION OR OTHER PROCEEDING BROUGHT BY ANY PARTY TO THIS AGREEMENT AGAINST ANY OTHER PARTY TO THIS AGREEMENT WITH RESPECT TO ANY MATTER ARISING OUT OF, OR IN ANY WAY CONNECTED WITH OR RELATED TO THIS AGREEMENT OR ANY PORTION OF THIS AGREEMENT, WHETHER BASED UPON CONTRACTUAL, STATUTORY, TORTIOUS OR OTHER THEORIES OF LIABILITY. EACH PARTY REPRESENTS THAT IT HAS CONSULTED WITH COUNSEL REGARDING THE MEANING AND EFFECT OF THE FOREGOING WAIVER OF ITS RIGHT TO A JURY TRIAL.</w:t>
      </w:r>
    </w:p>
    <w:p>
      <w:pPr>
        <w:pStyle w:val="TextBody"/>
        <w:bidi w:val="0"/>
        <w:spacing w:lineRule="auto" w:line="288" w:before="0" w:after="240"/>
        <w:ind w:left="0" w:right="0" w:hanging="720"/>
        <w:jc w:val="both"/>
        <w:rPr/>
      </w:pPr>
      <w:r>
        <w:rPr>
          <w:rFonts w:ascii="Times New Roman;serif" w:hAnsi="Times New Roman;serif"/>
          <w:b w:val="false"/>
          <w:color w:val="000000"/>
          <w:sz w:val="20"/>
        </w:rPr>
        <w:t>7.3    </w:t>
      </w:r>
      <w:r>
        <w:rPr>
          <w:rFonts w:ascii="Times New Roman;serif" w:hAnsi="Times New Roman;serif"/>
          <w:b/>
          <w:color w:val="000000"/>
          <w:sz w:val="22"/>
        </w:rPr>
        <w:t xml:space="preserve">Entire Agreement; Amendments and Waivers. </w:t>
      </w:r>
      <w:r>
        <w:rPr>
          <w:rFonts w:ascii="Times New Roman;serif" w:hAnsi="Times New Roman;serif"/>
          <w:b w:val="false"/>
          <w:color w:val="000000"/>
          <w:sz w:val="22"/>
        </w:rPr>
        <w:t>This Agreement (including the Schedules hereto), together with the other Spin-Off related agreements, represents the entire understanding and agreement among the Parties with respect to the subject matter hereof. This Agreement supersedes all prior written or oral statements, representations, warranties, promises, assurances, agreements and understandings between the Parties relating to or in connection with the subject matter of this Agreement. Each Party hereby acknowledges that it has not relied on any promise, representation or warranty that is not set forth in this Agreement. This Agreement may not be amended except in writing signed by each Party. The waiver by any Party of a breach of any provision of this Agreement will not operate or be construed as a further or continuing waiver of such breach or as a waiver of any other or subsequent breach. Except as expressly provided herein (including by reference), no failure on the part of a Party to exercise, and no delay by a Party in exercising, any right, power or remedy hereunder will operate as a waiver thereof by such Party, nor will any single or partial exercise of such right, power or remedy by a Party preclude any other or further exercise thereof or the exercise of any other right, power or remedy by such Party.</w:t>
      </w:r>
    </w:p>
    <w:p>
      <w:pPr>
        <w:pStyle w:val="TextBody"/>
        <w:bidi w:val="0"/>
        <w:spacing w:lineRule="auto" w:line="288" w:before="0" w:after="240"/>
        <w:ind w:left="0" w:right="0" w:hanging="810"/>
        <w:jc w:val="both"/>
        <w:rPr/>
      </w:pPr>
      <w:r>
        <w:rPr>
          <w:rFonts w:ascii="Times New Roman;serif" w:hAnsi="Times New Roman;serif"/>
          <w:b w:val="false"/>
          <w:color w:val="000000"/>
          <w:sz w:val="20"/>
        </w:rPr>
        <w:t>7.4    </w:t>
      </w:r>
      <w:r>
        <w:rPr>
          <w:rFonts w:ascii="Times New Roman;serif" w:hAnsi="Times New Roman;serif"/>
          <w:b/>
          <w:color w:val="000000"/>
          <w:sz w:val="22"/>
        </w:rPr>
        <w:t xml:space="preserve">Conflicts. </w:t>
      </w:r>
      <w:r>
        <w:rPr>
          <w:rFonts w:ascii="Times New Roman;serif" w:hAnsi="Times New Roman;serif"/>
          <w:b w:val="false"/>
          <w:color w:val="000000"/>
          <w:sz w:val="22"/>
        </w:rPr>
        <w:t xml:space="preserve">Where another Spin-Off related agreement between a Parent Group Company and an Spinco Group Company is executed and such agreement conflicts with this Agreement, the parties shall apply both agreements to the extent possible and where not possible, the more restrictive provision shall apply. </w:t>
      </w:r>
    </w:p>
    <w:p>
      <w:pPr>
        <w:pStyle w:val="TextBody"/>
        <w:bidi w:val="0"/>
        <w:spacing w:lineRule="auto" w:line="288" w:before="0" w:after="240"/>
        <w:ind w:left="0" w:right="0" w:hanging="720"/>
        <w:jc w:val="both"/>
        <w:rPr/>
      </w:pPr>
      <w:r>
        <w:rPr>
          <w:rFonts w:ascii="Times New Roman;serif" w:hAnsi="Times New Roman;serif"/>
          <w:b w:val="false"/>
          <w:color w:val="000000"/>
          <w:sz w:val="20"/>
        </w:rPr>
        <w:t>7.5    </w:t>
      </w:r>
      <w:r>
        <w:rPr>
          <w:rFonts w:ascii="Times New Roman;serif" w:hAnsi="Times New Roman;serif"/>
          <w:b/>
          <w:color w:val="000000"/>
          <w:sz w:val="22"/>
        </w:rPr>
        <w:t xml:space="preserve">Notices. </w:t>
      </w:r>
      <w:r>
        <w:rPr>
          <w:rFonts w:ascii="Times New Roman;serif" w:hAnsi="Times New Roman;serif"/>
          <w:b w:val="false"/>
          <w:color w:val="000000"/>
          <w:sz w:val="22"/>
        </w:rPr>
        <w:t>All notices, requests, demands and other communications under this Agreement will be in writing and will be deemed to have been duly given (a) on the day of transmission if sent by e-</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67665"/>
                <wp:effectExtent l="0" t="0" r="0" b="0"/>
                <wp:wrapNone/>
                <wp:docPr id="177" name="Frame1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mail to the e-mail address given below (provided no delivery failure message is received by the sender) or (b) on the Business Day after delivery to Federal Express or similar overnight courier for next day delivery and properly addressed, to the Party as follows: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to Spinco:</w:t>
      </w:r>
    </w:p>
    <w:p>
      <w:pPr>
        <w:pStyle w:val="TextBody"/>
        <w:bidi w:val="0"/>
        <w:spacing w:lineRule="auto" w:line="288" w:before="0" w:after="0"/>
        <w:jc w:val="left"/>
        <w:rPr/>
      </w:pPr>
      <w:r>
        <w:rPr>
          <w:rFonts w:ascii="Times New Roman;serif" w:hAnsi="Times New Roman;serif"/>
          <w:b w:val="false"/>
          <w:color w:val="000000"/>
          <w:sz w:val="22"/>
        </w:rPr>
        <w:t>Intergraph Corporation</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2"/>
        </w:rPr>
        <w:t>305</w:t>
      </w:r>
      <w:r>
        <w:rPr>
          <w:color w:val="000000"/>
        </w:rPr>
        <w:t xml:space="preserve"> </w:t>
      </w:r>
      <w:r>
        <w:rPr>
          <w:rFonts w:ascii="Times New Roman;serif" w:hAnsi="Times New Roman;serif"/>
          <w:b w:val="false"/>
          <w:color w:val="000000"/>
          <w:sz w:val="22"/>
        </w:rPr>
        <w:t>Intergraph Way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Madison, AL 35758</w:t>
      </w:r>
    </w:p>
    <w:p>
      <w:pPr>
        <w:pStyle w:val="TextBody"/>
        <w:bidi w:val="0"/>
        <w:spacing w:lineRule="auto" w:line="288" w:before="0" w:after="0"/>
        <w:jc w:val="left"/>
        <w:rPr/>
      </w:pPr>
      <w:r>
        <w:rPr>
          <w:rFonts w:ascii="Times New Roman;serif" w:hAnsi="Times New Roman;serif"/>
          <w:b w:val="false"/>
          <w:color w:val="000000"/>
          <w:sz w:val="22"/>
        </w:rPr>
        <w:t>Attention:</w:t>
      </w:r>
      <w:r>
        <w:rPr>
          <w:color w:val="000000"/>
        </w:rPr>
        <w:t xml:space="preserve"> </w:t>
      </w:r>
      <w:r>
        <w:rPr>
          <w:rFonts w:ascii="Times New Roman;serif" w:hAnsi="Times New Roman;serif"/>
          <w:b w:val="false"/>
          <w:color w:val="000000"/>
          <w:sz w:val="22"/>
        </w:rPr>
        <w:t>Scott Moore, Chief Operating Officer</w:t>
      </w:r>
    </w:p>
    <w:p>
      <w:pPr>
        <w:pStyle w:val="TextBody"/>
        <w:bidi w:val="0"/>
        <w:spacing w:lineRule="auto" w:line="288" w:before="0" w:after="240"/>
        <w:jc w:val="left"/>
        <w:rPr/>
      </w:pPr>
      <w:r>
        <w:rPr>
          <w:rFonts w:ascii="Times New Roman;serif" w:hAnsi="Times New Roman;serif"/>
          <w:b w:val="false"/>
          <w:color w:val="000000"/>
          <w:sz w:val="22"/>
        </w:rPr>
        <w:t>E-Mail:</w:t>
      </w:r>
      <w:r>
        <w:rPr>
          <w:color w:val="000000"/>
        </w:rPr>
        <w:t xml:space="preserve"> </w:t>
      </w:r>
      <w:r>
        <w:rPr>
          <w:rFonts w:ascii="Times New Roman;serif" w:hAnsi="Times New Roman;serif"/>
          <w:b w:val="false"/>
          <w:color w:val="000000"/>
          <w:sz w:val="24"/>
        </w:rPr>
        <w:t>[***]</w:t>
      </w:r>
    </w:p>
    <w:p>
      <w:pPr>
        <w:pStyle w:val="TextBody"/>
        <w:bidi w:val="0"/>
        <w:spacing w:lineRule="auto" w:line="288" w:before="0" w:after="480"/>
        <w:jc w:val="both"/>
        <w:rPr/>
      </w:pP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copy</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constitute</w:t>
      </w:r>
      <w:r>
        <w:rPr>
          <w:color w:val="000000"/>
        </w:rPr>
        <w:t xml:space="preserve"> </w:t>
      </w:r>
      <w:r>
        <w:rPr>
          <w:rFonts w:ascii="Times New Roman;serif" w:hAnsi="Times New Roman;serif"/>
          <w:b w:val="false"/>
          <w:color w:val="000000"/>
          <w:sz w:val="22"/>
        </w:rPr>
        <w:t>notice</w:t>
      </w:r>
      <w:r>
        <w:rPr>
          <w:color w:val="000000"/>
        </w:rPr>
        <w:t xml:space="preserve"> </w:t>
      </w:r>
      <w:r>
        <w:rPr>
          <w:rFonts w:ascii="Times New Roman;serif" w:hAnsi="Times New Roman;serif"/>
          <w:b w:val="false"/>
          <w:color w:val="000000"/>
          <w:sz w:val="22"/>
        </w:rPr>
        <w:t>but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required</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notice)</w:t>
      </w:r>
      <w:r>
        <w:rPr>
          <w:color w:val="000000"/>
        </w:rPr>
        <w:t xml:space="preserve"> </w:t>
      </w:r>
      <w:r>
        <w:rPr>
          <w:rFonts w:ascii="Times New Roman;serif" w:hAnsi="Times New Roman;serif"/>
          <w:b w:val="false"/>
          <w:color w:val="000000"/>
          <w:sz w:val="22"/>
        </w:rPr>
        <w:t>to:</w:t>
      </w:r>
    </w:p>
    <w:p>
      <w:pPr>
        <w:pStyle w:val="TextBody"/>
        <w:bidi w:val="0"/>
        <w:spacing w:lineRule="auto" w:line="288" w:before="0" w:after="0"/>
        <w:jc w:val="left"/>
        <w:rPr/>
      </w:pPr>
      <w:r>
        <w:rPr>
          <w:rFonts w:ascii="Times New Roman;serif" w:hAnsi="Times New Roman;serif"/>
          <w:b w:val="false"/>
          <w:color w:val="000000"/>
          <w:sz w:val="22"/>
        </w:rPr>
        <w:t>Octave General Counsel</w:t>
      </w:r>
      <w:r>
        <w:rPr>
          <w:color w:val="000000"/>
        </w:rPr>
        <w:t xml:space="preserve"> </w:t>
      </w:r>
    </w:p>
    <w:p>
      <w:pPr>
        <w:pStyle w:val="TextBody"/>
        <w:bidi w:val="0"/>
        <w:spacing w:lineRule="auto" w:line="288" w:before="0" w:after="0"/>
        <w:ind w:left="0" w:right="0" w:firstLine="600"/>
        <w:jc w:val="left"/>
        <w:rPr/>
      </w:pPr>
      <w:r>
        <w:rPr>
          <w:rFonts w:ascii="Times New Roman;serif" w:hAnsi="Times New Roman;serif"/>
          <w:b w:val="false"/>
          <w:color w:val="000000"/>
          <w:sz w:val="22"/>
        </w:rPr>
        <w:t>305</w:t>
      </w:r>
      <w:r>
        <w:rPr>
          <w:color w:val="000000"/>
        </w:rPr>
        <w:t xml:space="preserve"> </w:t>
      </w:r>
      <w:r>
        <w:rPr>
          <w:rFonts w:ascii="Times New Roman;serif" w:hAnsi="Times New Roman;serif"/>
          <w:b w:val="false"/>
          <w:color w:val="000000"/>
          <w:sz w:val="22"/>
        </w:rPr>
        <w:t>Intergraph</w:t>
      </w:r>
      <w:r>
        <w:rPr>
          <w:color w:val="000000"/>
        </w:rPr>
        <w:t xml:space="preserve"> </w:t>
      </w:r>
      <w:r>
        <w:rPr>
          <w:rFonts w:ascii="Times New Roman;serif" w:hAnsi="Times New Roman;serif"/>
          <w:b w:val="false"/>
          <w:color w:val="000000"/>
          <w:sz w:val="22"/>
        </w:rPr>
        <w:t>Way</w:t>
      </w:r>
    </w:p>
    <w:p>
      <w:pPr>
        <w:pStyle w:val="TextBody"/>
        <w:bidi w:val="0"/>
        <w:spacing w:lineRule="auto" w:line="288" w:before="0" w:after="0"/>
        <w:jc w:val="left"/>
        <w:rPr/>
      </w:pPr>
      <w:r>
        <w:rPr>
          <w:rFonts w:ascii="Times New Roman;serif" w:hAnsi="Times New Roman;serif"/>
          <w:b w:val="false"/>
          <w:color w:val="000000"/>
          <w:sz w:val="22"/>
        </w:rPr>
        <w:t>Madison, AL 35758</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2"/>
        </w:rPr>
        <w:t>Attention:</w:t>
      </w:r>
      <w:r>
        <w:rPr>
          <w:color w:val="000000"/>
        </w:rPr>
        <w:t xml:space="preserve"> </w:t>
      </w:r>
      <w:r>
        <w:rPr>
          <w:rFonts w:ascii="Times New Roman;serif" w:hAnsi="Times New Roman;serif"/>
          <w:b w:val="false"/>
          <w:color w:val="000000"/>
          <w:sz w:val="22"/>
        </w:rPr>
        <w:t>Tony</w:t>
      </w:r>
      <w:r>
        <w:rPr>
          <w:color w:val="000000"/>
        </w:rPr>
        <w:t xml:space="preserve"> </w:t>
      </w:r>
      <w:r>
        <w:rPr>
          <w:rFonts w:ascii="Times New Roman;serif" w:hAnsi="Times New Roman;serif"/>
          <w:b w:val="false"/>
          <w:color w:val="000000"/>
          <w:sz w:val="22"/>
        </w:rPr>
        <w:t>Zana</w:t>
      </w:r>
    </w:p>
    <w:p>
      <w:pPr>
        <w:pStyle w:val="TextBody"/>
        <w:bidi w:val="0"/>
        <w:spacing w:lineRule="auto" w:line="288" w:before="0" w:after="240"/>
        <w:jc w:val="left"/>
        <w:rPr/>
      </w:pPr>
      <w:r>
        <w:rPr>
          <w:rFonts w:ascii="Times New Roman;serif" w:hAnsi="Times New Roman;serif"/>
          <w:b w:val="false"/>
          <w:color w:val="000000"/>
          <w:sz w:val="22"/>
        </w:rPr>
        <w:t xml:space="preserve">E-Mail: </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to Parent: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Hexagon AB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P.O. Box 3692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SE-103 59 Stockholm, Sweden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Street address: Lilla Bantorget 15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SE-111 23 Stockholm, Sweden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Thomas De Muynck, Chief Legal Officer</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lineRule="auto" w:line="288" w:before="0" w:after="240"/>
        <w:ind w:left="0" w:right="0" w:firstLine="600"/>
        <w:jc w:val="both"/>
        <w:rPr/>
      </w:pP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addresses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numbers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addressee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furnished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writing</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Party.</w:t>
      </w:r>
    </w:p>
    <w:p>
      <w:pPr>
        <w:pStyle w:val="TextBody"/>
        <w:bidi w:val="0"/>
        <w:spacing w:lineRule="auto" w:line="288" w:before="0" w:after="240"/>
        <w:ind w:left="0" w:right="0" w:hanging="720"/>
        <w:jc w:val="both"/>
        <w:rPr/>
      </w:pPr>
      <w:r>
        <w:rPr>
          <w:rFonts w:ascii="Times New Roman;serif" w:hAnsi="Times New Roman;serif"/>
          <w:b w:val="false"/>
          <w:color w:val="000000"/>
          <w:sz w:val="20"/>
        </w:rPr>
        <w:t>7.6    </w:t>
      </w:r>
      <w:r>
        <w:rPr>
          <w:rFonts w:ascii="Times New Roman;serif" w:hAnsi="Times New Roman;serif"/>
          <w:b/>
          <w:color w:val="000000"/>
          <w:sz w:val="22"/>
        </w:rPr>
        <w:t xml:space="preserve">Binding Effect; Assignment. </w:t>
      </w:r>
      <w:r>
        <w:rPr>
          <w:rFonts w:ascii="Times New Roman;serif" w:hAnsi="Times New Roman;serif"/>
          <w:b w:val="false"/>
          <w:color w:val="000000"/>
          <w:sz w:val="22"/>
        </w:rPr>
        <w:t xml:space="preserve">This Agreement will be binding upon and inure to the benefit of the Parties and their respective permitted successors and permitted assigns. Nothing in this Agreement will create or be deemed to create any third party beneficiary rights in any Person other than the Parties except as otherwise contemplated herein. Neither Party may assign any of its rights or delegate any of its obligations (other than as contemplated herein with respect to Subcontractors) under this Agreement without the prior written consent of the other Party (whether by operation of law, equity sale, merger or other business combination, or any other transaction involving a Party or any Affiliate thereof that would have the same or substantially similar economic or substantive effect to any of the foregoing (including by way of any derivative arrangement) or otherwise), and any attempted assignment without the required consents will be void; provided, however, that Parent may assign this Agreement, and any or all rights or obligations under this Agreement, to any of its Affiliates without the prior written consent of Spinco; provided, further, that Spinco may assign this Agreement, and any or all rights or obligations under this Agreement, to any of its Affiliates or to any successor to, or acquirer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67665"/>
                <wp:effectExtent l="0" t="0" r="0" b="0"/>
                <wp:wrapNone/>
                <wp:docPr id="178" name="Frame1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Business, in each case, without the prior written consent of Parent. No such assignment will release the assigning party from any liability under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0"/>
        </w:rPr>
        <w:t>7.7    </w:t>
      </w:r>
      <w:r>
        <w:rPr>
          <w:rFonts w:ascii="Times New Roman;serif" w:hAnsi="Times New Roman;serif"/>
          <w:b/>
          <w:color w:val="000000"/>
          <w:sz w:val="22"/>
        </w:rPr>
        <w:t xml:space="preserve">Counterparts. </w:t>
      </w:r>
      <w:r>
        <w:rPr>
          <w:rFonts w:ascii="Times New Roman;serif" w:hAnsi="Times New Roman;serif"/>
          <w:b w:val="false"/>
          <w:color w:val="000000"/>
          <w:sz w:val="22"/>
        </w:rPr>
        <w:t>This Agreement may be executed in multiple original, electronic (including by DocuSign) or facsimile counterparts, each of which will be deemed an original, and all of which taken together will be considered one and the same agreement. In the event that any signature to this Agreement or any agreement or certificate delivered pursuant hereto, or any amendment thereof, is delivered by e-mail delivery of a “.pdf” format data file or other electronic transmission (including by DocuSign), such signature will create a valid and binding obligation of the Party executing (or on whose behalf such signature is executed) with the same force and effect as if such “.pdf” signature page or other electronic file were an original thereof. No Party will raise the use of e-mail delivery of a “.pdf” format data file or other electronic transmission to deliver any such signature page or the fact that such signature was transmitted or communicated through the use of e-mail delivery of a “.pdf” format data file or other electronic transmission as a defense to the formation or enforceability of a Contract and each Party forever waives any such defense.</w:t>
      </w:r>
    </w:p>
    <w:p>
      <w:pPr>
        <w:pStyle w:val="TextBody"/>
        <w:bidi w:val="0"/>
        <w:spacing w:lineRule="auto" w:line="288" w:before="0" w:after="960"/>
        <w:ind w:left="0" w:right="0" w:hanging="720"/>
        <w:jc w:val="both"/>
        <w:rPr/>
      </w:pPr>
      <w:r>
        <w:rPr>
          <w:rFonts w:ascii="Times New Roman;serif" w:hAnsi="Times New Roman;serif"/>
          <w:b w:val="false"/>
          <w:color w:val="000000"/>
          <w:sz w:val="20"/>
        </w:rPr>
        <w:t>7.8    </w:t>
      </w:r>
      <w:r>
        <w:rPr>
          <w:rFonts w:ascii="Times New Roman;serif" w:hAnsi="Times New Roman;serif"/>
          <w:b/>
          <w:color w:val="000000"/>
          <w:sz w:val="22"/>
        </w:rPr>
        <w:t xml:space="preserve">Severability. </w:t>
      </w:r>
      <w:r>
        <w:rPr>
          <w:rFonts w:ascii="Times New Roman;serif" w:hAnsi="Times New Roman;serif"/>
          <w:b w:val="false"/>
          <w:color w:val="000000"/>
          <w:sz w:val="22"/>
        </w:rPr>
        <w:t>If any provision of this Agreement or the application of any such provision to any Person or circumstance is held invalid, illegal or unenforceable in any respect by a court of competent jurisdiction, such invalidity, illegality or unenforceability will not affect any other provision of this Agreement.</w:t>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w:t>
      </w:r>
      <w:r>
        <w:rPr>
          <w:color w:val="000000"/>
        </w:rPr>
        <w:t xml:space="preserve"> </w:t>
      </w:r>
      <w:r>
        <w:rPr>
          <w:rFonts w:ascii="Times New Roman;serif" w:hAnsi="Times New Roman;serif"/>
          <w:b w:val="false"/>
          <w:i/>
          <w:color w:val="000000"/>
          <w:sz w:val="22"/>
        </w:rPr>
        <w:t>of</w:t>
      </w:r>
      <w:r>
        <w:rPr>
          <w:color w:val="000000"/>
        </w:rPr>
        <w:t xml:space="preserve"> </w:t>
      </w:r>
      <w:r>
        <w:rPr>
          <w:rFonts w:ascii="Times New Roman;serif" w:hAnsi="Times New Roman;serif"/>
          <w:b w:val="false"/>
          <w:i/>
          <w:color w:val="000000"/>
          <w:sz w:val="22"/>
        </w:rPr>
        <w:t>This</w:t>
      </w:r>
      <w:r>
        <w:rPr>
          <w:color w:val="000000"/>
        </w:rPr>
        <w:t xml:space="preserve"> </w:t>
      </w:r>
      <w:r>
        <w:rPr>
          <w:rFonts w:ascii="Times New Roman;serif" w:hAnsi="Times New Roman;serif"/>
          <w:b w:val="false"/>
          <w:i/>
          <w:color w:val="000000"/>
          <w:sz w:val="22"/>
        </w:rPr>
        <w:t>Page</w:t>
      </w:r>
      <w:r>
        <w:rPr>
          <w:color w:val="000000"/>
        </w:rPr>
        <w:t xml:space="preserve"> </w:t>
      </w:r>
      <w:r>
        <w:rPr>
          <w:rFonts w:ascii="Times New Roman;serif" w:hAnsi="Times New Roman;serif"/>
          <w:b w:val="false"/>
          <w:i/>
          <w:color w:val="000000"/>
          <w:sz w:val="22"/>
        </w:rPr>
        <w:t>Intentionally</w:t>
      </w:r>
      <w:r>
        <w:rPr>
          <w:color w:val="000000"/>
        </w:rPr>
        <w:t xml:space="preserve"> </w:t>
      </w:r>
      <w:r>
        <w:rPr>
          <w:rFonts w:ascii="Times New Roman;serif" w:hAnsi="Times New Roman;serif"/>
          <w:b w:val="false"/>
          <w:i/>
          <w:color w:val="000000"/>
          <w:sz w:val="22"/>
        </w:rPr>
        <w:t>Left</w:t>
      </w:r>
      <w:r>
        <w:rPr>
          <w:color w:val="000000"/>
        </w:rPr>
        <w:t xml:space="preserve"> </w:t>
      </w:r>
      <w:r>
        <w:rPr>
          <w:rFonts w:ascii="Times New Roman;serif" w:hAnsi="Times New Roman;serif"/>
          <w:b w:val="false"/>
          <w:i/>
          <w:color w:val="000000"/>
          <w:sz w:val="22"/>
        </w:rPr>
        <w:t>Blank</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Pages</w:t>
      </w:r>
      <w:r>
        <w:rPr>
          <w:color w:val="000000"/>
        </w:rPr>
        <w:t xml:space="preserve"> </w:t>
      </w:r>
      <w:r>
        <w:rPr>
          <w:rFonts w:ascii="Times New Roman;serif" w:hAnsi="Times New Roman;serif"/>
          <w:b w:val="false"/>
          <w:i/>
          <w:color w:val="000000"/>
          <w:sz w:val="22"/>
        </w:rPr>
        <w:t>Follow</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67665"/>
                <wp:effectExtent l="0" t="0" r="0" b="0"/>
                <wp:wrapNone/>
                <wp:docPr id="179" name="Frame1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1440"/>
        <w:jc w:val="both"/>
        <w:rPr/>
      </w:pP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WITNESS</w:t>
      </w:r>
      <w:r>
        <w:rPr>
          <w:color w:val="000000"/>
        </w:rPr>
        <w:t xml:space="preserve"> </w:t>
      </w:r>
      <w:r>
        <w:rPr>
          <w:rFonts w:ascii="Times New Roman;serif" w:hAnsi="Times New Roman;serif"/>
          <w:b w:val="false"/>
          <w:color w:val="000000"/>
          <w:sz w:val="22"/>
        </w:rPr>
        <w:t>WHEREOF,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caused</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duly</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first</w:t>
      </w:r>
      <w:r>
        <w:rPr>
          <w:color w:val="000000"/>
        </w:rPr>
        <w:t xml:space="preserve"> </w:t>
      </w:r>
      <w:r>
        <w:rPr>
          <w:rFonts w:ascii="Times New Roman;serif" w:hAnsi="Times New Roman;serif"/>
          <w:b w:val="false"/>
          <w:color w:val="000000"/>
          <w:sz w:val="22"/>
        </w:rPr>
        <w:t>written</w:t>
      </w:r>
      <w:r>
        <w:rPr>
          <w:color w:val="000000"/>
        </w:rPr>
        <w:t xml:space="preserve"> </w:t>
      </w:r>
      <w:r>
        <w:rPr>
          <w:rFonts w:ascii="Times New Roman;serif" w:hAnsi="Times New Roman;serif"/>
          <w:b w:val="false"/>
          <w:color w:val="000000"/>
          <w:sz w:val="22"/>
        </w:rPr>
        <w:t>above.</w:t>
      </w:r>
    </w:p>
    <w:tbl>
      <w:tblPr>
        <w:tblW w:w="4914" w:type="dxa"/>
        <w:jc w:val="left"/>
        <w:tblInd w:w="0" w:type="dxa"/>
        <w:tblLayout w:type="fixed"/>
        <w:tblCellMar>
          <w:top w:w="28" w:type="dxa"/>
          <w:left w:w="28" w:type="dxa"/>
          <w:bottom w:w="28" w:type="dxa"/>
          <w:right w:w="28" w:type="dxa"/>
        </w:tblCellMar>
      </w:tblPr>
      <w:tblGrid>
        <w:gridCol w:w="124"/>
        <w:gridCol w:w="109"/>
        <w:gridCol w:w="109"/>
        <w:gridCol w:w="597"/>
        <w:gridCol w:w="597"/>
        <w:gridCol w:w="597"/>
        <w:gridCol w:w="597"/>
        <w:gridCol w:w="597"/>
        <w:gridCol w:w="599"/>
        <w:gridCol w:w="288"/>
        <w:gridCol w:w="288"/>
        <w:gridCol w:w="4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HEXAGON AB</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9"/>
            <w:tcBorders/>
            <w:tcMar>
              <w:top w:w="0" w:type="dxa"/>
              <w:left w:w="0" w:type="dxa"/>
              <w:bottom w:w="0" w:type="dxa"/>
              <w:right w:w="0" w:type="dxa"/>
            </w:tcMar>
            <w:vAlign w:val="center"/>
          </w:tcPr>
          <w:p>
            <w:pPr>
              <w:pStyle w:val="TableContents"/>
              <w:bidi w:val="0"/>
              <w:spacing w:lineRule="auto" w:line="288" w:before="192"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67665"/>
                <wp:effectExtent l="0" t="0" r="0" b="0"/>
                <wp:wrapNone/>
                <wp:docPr id="180" name="Frame1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tbl>
      <w:tblPr>
        <w:tblW w:w="4912" w:type="dxa"/>
        <w:jc w:val="left"/>
        <w:tblInd w:w="0" w:type="dxa"/>
        <w:tblLayout w:type="fixed"/>
        <w:tblCellMar>
          <w:top w:w="28" w:type="dxa"/>
          <w:left w:w="28" w:type="dxa"/>
          <w:bottom w:w="28" w:type="dxa"/>
          <w:right w:w="28" w:type="dxa"/>
        </w:tblCellMar>
      </w:tblPr>
      <w:tblGrid>
        <w:gridCol w:w="124"/>
        <w:gridCol w:w="109"/>
        <w:gridCol w:w="109"/>
        <w:gridCol w:w="641"/>
        <w:gridCol w:w="641"/>
        <w:gridCol w:w="641"/>
        <w:gridCol w:w="641"/>
        <w:gridCol w:w="641"/>
        <w:gridCol w:w="650"/>
        <w:gridCol w:w="208"/>
        <w:gridCol w:w="208"/>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OCTAVE INTELLIGENCE PLC</w:t>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0" w:type="dxa"/>
            <w:gridSpan w:val="9"/>
            <w:tcBorders/>
            <w:tcMar>
              <w:top w:w="0" w:type="dxa"/>
              <w:left w:w="0" w:type="dxa"/>
              <w:bottom w:w="0" w:type="dxa"/>
              <w:right w:w="0" w:type="dxa"/>
            </w:tcMar>
            <w:vAlign w:val="center"/>
          </w:tcPr>
          <w:p>
            <w:pPr>
              <w:pStyle w:val="TableContents"/>
              <w:bidi w:val="0"/>
              <w:spacing w:lineRule="auto" w:line="288" w:before="192"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67665"/>
                <wp:effectExtent l="0" t="0" r="0" b="0"/>
                <wp:wrapNone/>
                <wp:docPr id="181" name="Frame1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67665"/>
                <wp:effectExtent l="0" t="0" r="0" b="0"/>
                <wp:wrapNone/>
                <wp:docPr id="182" name="Frame1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0"/>
        <w:jc w:val="center"/>
        <w:rPr>
          <w:rFonts w:ascii="Times New Roman;serif" w:hAnsi="Times New Roman;serif"/>
          <w:b/>
          <w:color w:val="000000"/>
          <w:sz w:val="22"/>
        </w:rPr>
      </w:pPr>
      <w:r>
        <w:rPr>
          <w:rFonts w:ascii="Times New Roman;serif" w:hAnsi="Times New Roman;serif"/>
          <w:b/>
          <w:color w:val="000000"/>
          <w:sz w:val="22"/>
        </w:rPr>
        <w:t>DATED                                              2026</w:t>
      </w:r>
    </w:p>
    <w:p>
      <w:pPr>
        <w:pStyle w:val="TextBody"/>
        <w:bidi w:val="0"/>
        <w:spacing w:lineRule="auto" w:line="288" w:before="0" w:after="2540"/>
        <w:jc w:val="center"/>
        <w:rPr>
          <w:rFonts w:ascii="Times New Roman;serif" w:hAnsi="Times New Roman;serif"/>
          <w:b/>
          <w:color w:val="000000"/>
          <w:sz w:val="28"/>
        </w:rPr>
      </w:pPr>
      <w:r>
        <w:rPr>
          <w:rFonts w:ascii="Times New Roman;serif" w:hAnsi="Times New Roman;serif"/>
          <w:b/>
          <w:color w:val="000000"/>
          <w:sz w:val="28"/>
        </w:rPr>
        <w:t>OCTAVE INTELLIGENCE PLC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DEED POLL INDEMNITY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BENEFIT OF DIRECTORS AND CERTAIN OFFICERS PERFORMING STATUTORY FUNCTIONS</w:t>
      </w:r>
    </w:p>
    <w:p>
      <w:pPr>
        <w:pStyle w:val="TextBody"/>
        <w:bidi w:val="0"/>
        <w:spacing w:lineRule="auto" w:line="288" w:before="0" w:after="470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w:t>
      </w:r>
    </w:p>
    <w:p>
      <w:pPr>
        <w:pStyle w:val="TextBody"/>
        <w:bidi w:val="0"/>
        <w:spacing w:before="0" w:after="0"/>
        <w:jc w:val="center"/>
        <w:rPr/>
      </w:pPr>
      <w:r>
        <w:rPr/>
        <w:drawing>
          <wp:inline distT="0" distB="0" distL="0" distR="0">
            <wp:extent cx="1371600" cy="114300"/>
            <wp:effectExtent l="0" t="0" r="0" b="0"/>
            <wp:docPr id="18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 descr=""/>
                    <pic:cNvPicPr>
                      <a:picLocks noChangeAspect="1" noChangeArrowheads="1"/>
                    </pic:cNvPicPr>
                  </pic:nvPicPr>
                  <pic:blipFill>
                    <a:blip r:embed="rId2"/>
                    <a:stretch>
                      <a:fillRect/>
                    </a:stretch>
                  </pic:blipFill>
                  <pic:spPr bwMode="auto">
                    <a:xfrm>
                      <a:off x="0" y="0"/>
                      <a:ext cx="1371600" cy="1143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2"/>
        </w:rPr>
        <w:t>THIS DEED POLL INDEMNITY</w:t>
      </w:r>
      <w:r>
        <w:rPr>
          <w:color w:val="000000"/>
        </w:rPr>
        <w:t xml:space="preserve"> </w:t>
      </w:r>
      <w:r>
        <w:rPr>
          <w:rFonts w:ascii="Times New Roman;serif" w:hAnsi="Times New Roman;serif"/>
          <w:b w:val="false"/>
          <w:color w:val="000000"/>
          <w:sz w:val="22"/>
        </w:rPr>
        <w:t>(this “</w:t>
      </w:r>
      <w:r>
        <w:rPr>
          <w:rFonts w:ascii="Times New Roman;serif" w:hAnsi="Times New Roman;serif"/>
          <w:b/>
          <w:color w:val="000000"/>
          <w:sz w:val="22"/>
        </w:rPr>
        <w:t>Deed</w:t>
      </w:r>
      <w:r>
        <w:rPr>
          <w:color w:val="000000"/>
        </w:rPr>
        <w:t>”</w:t>
      </w:r>
      <w:r>
        <w:rPr>
          <w:rFonts w:ascii="Times New Roman;serif" w:hAnsi="Times New Roman;serif"/>
          <w:b w:val="false"/>
          <w:color w:val="000000"/>
          <w:sz w:val="22"/>
        </w:rPr>
        <w:t xml:space="preserve">) dated                                                    2026, </w:t>
      </w:r>
    </w:p>
    <w:p>
      <w:pPr>
        <w:pStyle w:val="TextBody"/>
        <w:bidi w:val="0"/>
        <w:spacing w:lineRule="auto" w:line="288" w:before="0" w:after="240"/>
        <w:jc w:val="both"/>
        <w:rPr/>
      </w:pPr>
      <w:r>
        <w:rPr>
          <w:rFonts w:ascii="Times New Roman;serif" w:hAnsi="Times New Roman;serif"/>
          <w:b/>
          <w:color w:val="000000"/>
          <w:sz w:val="22"/>
        </w:rPr>
        <w:t>IS MADE BY OCTAVE INTELLIGENCE PLC</w:t>
      </w:r>
      <w:r>
        <w:rPr>
          <w:rFonts w:ascii="Times New Roman;serif" w:hAnsi="Times New Roman;serif"/>
          <w:b w:val="false"/>
          <w:color w:val="000000"/>
          <w:sz w:val="22"/>
        </w:rPr>
        <w:t>, with its registered office at 10 Earlsfort Terrace, Dublin 2, D02 T380, Ireland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jc w:val="both"/>
        <w:rPr/>
      </w:pPr>
      <w:r>
        <w:rPr>
          <w:rFonts w:ascii="Times New Roman;serif" w:hAnsi="Times New Roman;serif"/>
          <w:b/>
          <w:color w:val="000000"/>
          <w:sz w:val="22"/>
        </w:rPr>
        <w:t>IN CONSIDERATION</w:t>
      </w:r>
      <w:r>
        <w:rPr>
          <w:color w:val="000000"/>
        </w:rPr>
        <w:t xml:space="preserve"> </w:t>
      </w:r>
      <w:r>
        <w:rPr>
          <w:rFonts w:ascii="Times New Roman;serif" w:hAnsi="Times New Roman;serif"/>
          <w:b w:val="false"/>
          <w:color w:val="000000"/>
          <w:sz w:val="22"/>
        </w:rPr>
        <w:t>of each Beneficiary (as defined below) continuing to serve Octave, the Company agrees and undertakes as follows:</w:t>
      </w:r>
    </w:p>
    <w:p>
      <w:pPr>
        <w:pStyle w:val="TextBody"/>
        <w:bidi w:val="0"/>
        <w:spacing w:lineRule="auto" w:line="288" w:before="0" w:after="220"/>
        <w:ind w:left="0" w:right="0" w:hanging="720"/>
        <w:jc w:val="both"/>
        <w:rPr/>
      </w:pPr>
      <w:r>
        <w:rPr>
          <w:rFonts w:ascii="Times New Roman;serif" w:hAnsi="Times New Roman;serif"/>
          <w:b w:val="false"/>
          <w:color w:val="000000"/>
          <w:sz w:val="22"/>
        </w:rPr>
        <w:t>1.    </w:t>
      </w:r>
      <w:r>
        <w:rPr>
          <w:rFonts w:ascii="Times New Roman;serif" w:hAnsi="Times New Roman;serif"/>
          <w:b/>
          <w:color w:val="000000"/>
          <w:sz w:val="22"/>
        </w:rPr>
        <w:t>DEFINITIONS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    In this Deed the following expressions shall, unless the context otherwise requires, have the following meanings:</w:t>
      </w:r>
    </w:p>
    <w:tbl>
      <w:tblPr>
        <w:tblW w:w="10205" w:type="dxa"/>
        <w:jc w:val="left"/>
        <w:tblInd w:w="0" w:type="dxa"/>
        <w:tblLayout w:type="fixed"/>
        <w:tblCellMar>
          <w:top w:w="28" w:type="dxa"/>
          <w:left w:w="28" w:type="dxa"/>
          <w:bottom w:w="28" w:type="dxa"/>
          <w:right w:w="28" w:type="dxa"/>
        </w:tblCellMar>
      </w:tblPr>
      <w:tblGrid>
        <w:gridCol w:w="545"/>
        <w:gridCol w:w="417"/>
        <w:gridCol w:w="418"/>
        <w:gridCol w:w="2581"/>
        <w:gridCol w:w="2581"/>
        <w:gridCol w:w="3663"/>
      </w:tblGrid>
      <w:tr>
        <w:trPr/>
        <w:tc>
          <w:tcPr>
            <w:tcW w:w="54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Additional Enterprise</w:t>
            </w:r>
          </w:p>
        </w:tc>
        <w:tc>
          <w:tcPr>
            <w:tcW w:w="882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means any foreign or domestic corporation (other than the Company), partnership, joint venture, trust, employee benefit plan or other enterprise that a Beneficiary is or was serving as a director, officer, secretary, trustee, general partner, managing member, fiduciary, board of directors’ committee member, employee or agent at the request of the Company or SubCo or a direct or indirect subsidiary of the Company.</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Beneficiary</w:t>
            </w:r>
          </w:p>
        </w:tc>
        <w:tc>
          <w:tcPr>
            <w:tcW w:w="882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person who:</w:t>
            </w:r>
          </w:p>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    is or becomes:</w:t>
            </w:r>
          </w:p>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    a director of the Company; or</w:t>
            </w:r>
          </w:p>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    any other officer (as such term is defined below) of the Company; or</w:t>
            </w:r>
          </w:p>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    was:</w:t>
            </w:r>
          </w:p>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    a director of the Company; or</w:t>
            </w:r>
          </w:p>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    any other officer (as such term is defined below) of the Company</w:t>
            </w:r>
          </w:p>
          <w:p>
            <w:pPr>
              <w:pStyle w:val="TableContents"/>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from July 24, 2025;</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that this shall not include (A) any person who becomes a director or an officer at a time when the Company is a subsidiary of another company or (B) any person in respect of whom the Board resolves before they become a director or officer of the Company that they will not have the benefit of this Deed.</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Board</w:t>
            </w:r>
          </w:p>
        </w:tc>
        <w:tc>
          <w:tcPr>
            <w:tcW w:w="882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the Board of Directors of the Company.</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85" name="Frame1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90"/>
        <w:gridCol w:w="342"/>
        <w:gridCol w:w="344"/>
        <w:gridCol w:w="3018"/>
        <w:gridCol w:w="2530"/>
        <w:gridCol w:w="3581"/>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Corporate Status</w:t>
            </w:r>
          </w:p>
        </w:tc>
        <w:tc>
          <w:tcPr>
            <w:tcW w:w="9129"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describes the status of a person who is or was a director or officer of the Company or a director, officer, secretary, employee, agent or fiduciary of an Additional Enterprise, as applicable.</w:t>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Expenses</w:t>
            </w:r>
          </w:p>
        </w:tc>
        <w:tc>
          <w:tcPr>
            <w:tcW w:w="912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shall include all reasonable attorneys’ fees, retainers, court costs, transcript costs, fees of experts, witness fees, travel expenses, duplicating costs, printing and binding costs, telephone charges, postage, delivery service fees, and any federal, state, local or foreign taxes imposed on the Beneficiary as a result of the actual or deemed receipt of any payments under this Deed, excise taxes and related penalties, and all other reasonable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any such expenses incurred in connection with any appeal resulting from any Proceeding and any federal state, local or foreign taxes imposed on the Beneficiary as a result of the actual or deemed receipt of any payments under this Deed including, without limitation, the premium, security for, and other costs relating to any cost bond, supersedeas bond, or other appeal bond or its equivalent, (ii) any such expenses incurred in connection with recovery under any directors’ and officers’ liability insurance policies maintained by the Company, SubCo or the applicable Additional Enterprise, regardless of whether the Beneficiary is ultimately determined to be entitled to such indemnification, advancement or expenses or insurance recovery, as the case may be, and (iii) for purposes of Clause 4.7 (</w:t>
            </w:r>
            <w:r>
              <w:rPr>
                <w:rFonts w:ascii="Times New Roman;serif" w:hAnsi="Times New Roman;serif"/>
                <w:b w:val="false"/>
                <w:i/>
                <w:color w:val="000000"/>
                <w:sz w:val="22"/>
              </w:rPr>
              <w:t>Adjudication</w:t>
            </w:r>
            <w:r>
              <w:rPr>
                <w:rFonts w:ascii="Times New Roman;serif" w:hAnsi="Times New Roman;serif"/>
                <w:b w:val="false"/>
                <w:color w:val="000000"/>
                <w:sz w:val="22"/>
              </w:rPr>
              <w:t xml:space="preserve">) only, any such expenses incurred by a Beneficiary in connection with the interpretation, enforcement or defense of the Beneficiary’s rights under this Deed, the Constitution of the Company or under any directors’ and officers’ liability insurance policies maintained by the Company, by litigation or otherwise. </w:t>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Exchange Act</w:t>
            </w:r>
          </w:p>
        </w:tc>
        <w:tc>
          <w:tcPr>
            <w:tcW w:w="9129"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the U.S. Securities Exchange Act of 1934, as amended.</w:t>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6" name="Frame1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3"/>
        <w:gridCol w:w="433"/>
        <w:gridCol w:w="434"/>
        <w:gridCol w:w="2586"/>
        <w:gridCol w:w="2586"/>
        <w:gridCol w:w="3673"/>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Independent Counsel</w:t>
            </w:r>
          </w:p>
        </w:tc>
        <w:tc>
          <w:tcPr>
            <w:tcW w:w="884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means a law firm, or a member of a law firm, that is experienced in matters of corporation law and neither at present is, nor within the five (5) years prior to appointment hereunder has been, retained to represent (i) the Company, SubCo, a relevant Additional Enterprise or the Beneficiary in any matter material to either such party (other than with respect to matters concerning the Beneficiary under this Deed,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SubCo or the Beneficiary in an action to determine the Beneficiary’s rights under this Deed.</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Octave </w:t>
            </w:r>
          </w:p>
        </w:tc>
        <w:tc>
          <w:tcPr>
            <w:tcW w:w="8845" w:type="dxa"/>
            <w:gridSpan w:val="3"/>
            <w:tcBorders/>
            <w:tcMar>
              <w:top w:w="0" w:type="dxa"/>
              <w:left w:w="0" w:type="dxa"/>
              <w:bottom w:w="0" w:type="dxa"/>
              <w:right w:w="0" w:type="dxa"/>
            </w:tcMar>
            <w:vAlign w:val="center"/>
          </w:tcPr>
          <w:p>
            <w:pPr>
              <w:pStyle w:val="TableContents"/>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shall be construed to include Octave Intelligence plc and any of its Subsidiaries</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officer</w:t>
            </w:r>
          </w:p>
        </w:tc>
        <w:tc>
          <w:tcPr>
            <w:tcW w:w="884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means (i) an officer within the meaning of the Companies Act 2014 (excluding any statutory auditor, examiner, receiver or liquidator); and (ii) an “executive officer” of the Company as such term is defined under Rule 3b-7 promulgated under the Exchange Act.</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Proceeding</w:t>
            </w:r>
          </w:p>
        </w:tc>
        <w:tc>
          <w:tcPr>
            <w:tcW w:w="8845" w:type="dxa"/>
            <w:gridSpan w:val="3"/>
            <w:tcBorders/>
            <w:tcMar>
              <w:top w:w="0" w:type="dxa"/>
              <w:left w:w="0" w:type="dxa"/>
              <w:bottom w:w="0" w:type="dxa"/>
              <w:right w:w="0" w:type="dxa"/>
            </w:tcMar>
            <w:vAlign w:val="center"/>
          </w:tcPr>
          <w:p>
            <w:pPr>
              <w:pStyle w:val="TableContents"/>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any threatened, pending or completed action, suit, litigation, claim, counterclaim, cross claim, arbitration, mediation, alternate dispute resolution mechanism, investigation, inquiry, administrative hearing or any other actual, threatened or completed proceeding, whether brought by or in the right of the Company, SubCo or the applicable Additional Enterprise, as the case may be, or otherwise and whether civil, criminal, administrative or investigative, including any appeal therefrom; or</w:t>
            </w:r>
          </w:p>
          <w:p>
            <w:pPr>
              <w:pStyle w:val="TableContents"/>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any inquiry, hearing, tribunal or investigation, whether conducted by Company, SubCo or any other party, that the Beneficiary in good faith believes might lead to (A) the institution of any action, suit, litigation, proceeding, arbitration or alternative dispute resolution mechanism (whether civil, criminal, administrative, investigative or other); or (B) adverse consequences or findings in respect of the Beneficiary.</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7" name="Frame1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69"/>
        <w:gridCol w:w="589"/>
        <w:gridCol w:w="592"/>
        <w:gridCol w:w="2620"/>
        <w:gridCol w:w="2371"/>
        <w:gridCol w:w="3364"/>
      </w:tblGrid>
      <w:tr>
        <w:trPr/>
        <w:tc>
          <w:tcPr>
            <w:tcW w:w="66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SubCo</w:t>
            </w:r>
          </w:p>
        </w:tc>
        <w:tc>
          <w:tcPr>
            <w:tcW w:w="8355" w:type="dxa"/>
            <w:gridSpan w:val="3"/>
            <w:tcBorders/>
            <w:tcMar>
              <w:top w:w="0" w:type="dxa"/>
              <w:left w:w="0" w:type="dxa"/>
              <w:bottom w:w="0" w:type="dxa"/>
              <w:right w:w="0" w:type="dxa"/>
            </w:tcMar>
            <w:vAlign w:val="center"/>
          </w:tcPr>
          <w:p>
            <w:pPr>
              <w:pStyle w:val="TableContents"/>
              <w:bidi w:val="0"/>
              <w:spacing w:lineRule="auto" w:line="288" w:before="0" w:after="240"/>
              <w:jc w:val="both"/>
              <w:rPr>
                <w:color w:val="000000"/>
              </w:rPr>
            </w:pPr>
            <w:r>
              <w:rPr>
                <w:color w:val="000000"/>
              </w:rPr>
              <w:t> </w:t>
            </w:r>
            <w:r>
              <w:rPr>
                <w:rFonts w:ascii="Times New Roman;serif" w:hAnsi="Times New Roman;serif"/>
                <w:b w:val="false"/>
                <w:color w:val="000000"/>
                <w:sz w:val="22"/>
              </w:rPr>
              <w:t>Intergraph Corporation, a Delaware corporation.</w:t>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SubCo Indemnification Agreement </w:t>
            </w:r>
          </w:p>
        </w:tc>
        <w:tc>
          <w:tcPr>
            <w:tcW w:w="835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 indemnification agreement entered into between SubCo and a director or officer of the Company from time to time.</w:t>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835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shall have the same meaning as in the Companies Act 2014.</w:t>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to the fullest extent permitted by law</w:t>
            </w:r>
          </w:p>
        </w:tc>
        <w:tc>
          <w:tcPr>
            <w:tcW w:w="835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purposes of this Deed, the meaning of the phrase “to the fullest extent permitted by law” shall include, but not be limited to: (i) to the fullest extent permitted by the provisions of Irish law and/or the Constitution of the Company and/or (as the case may be) the Constitution of any of the Company’s Subsidiaries; and (ii) to the fullest extent authorised or permitted by any amendments to or replacements of Irish law and/or the Constitution of the Company adopted after the date of this Deed that increase the extent to which a company may indemnify its directors or officers.</w:t>
            </w:r>
          </w:p>
        </w:tc>
      </w:tr>
    </w:tbl>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1.2    In this Deed, unless otherwise specified: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references to Clauses are to clauses of this Deed;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    a reference to any statute or statutory provision or statutory instrument shall be construed as a reference to the same as it may have been, or may from time to time be, amended, modified, or re-enacted;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references to a “person” shall be construed so as to include any individual, firm, company, government, state or agency of a state, local or municipal authority or government body or any joint venture, association or partnership (whether or not having separate legal personality);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headings to Clauses are for convenience only and do not affect the interpretation of this Deed; 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(e)    general words shall not be given a restrictive meaning by reason of the fact that they are followed by particular examples intended to be embraced by the general words. </w:t>
      </w:r>
    </w:p>
    <w:p>
      <w:pPr>
        <w:pStyle w:val="TextBody"/>
        <w:bidi w:val="0"/>
        <w:spacing w:lineRule="auto" w:line="288" w:before="0" w:after="220"/>
        <w:ind w:left="0" w:right="0" w:hanging="720"/>
        <w:jc w:val="both"/>
        <w:rPr/>
      </w:pPr>
      <w:r>
        <w:rPr>
          <w:rFonts w:ascii="Times New Roman;serif" w:hAnsi="Times New Roman;serif"/>
          <w:b w:val="false"/>
          <w:color w:val="000000"/>
          <w:sz w:val="22"/>
        </w:rPr>
        <w:t>2.    </w:t>
      </w:r>
      <w:r>
        <w:rPr>
          <w:rFonts w:ascii="Times New Roman;serif" w:hAnsi="Times New Roman;serif"/>
          <w:b/>
          <w:color w:val="000000"/>
          <w:sz w:val="22"/>
        </w:rPr>
        <w:t>D&amp;O INSURANCE AND AGREEMENT TO INDEMNIFY</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shall hold harmless and indemnify a Beneficiary under the terms of this Deed to the fullest extent permitted by law, as such may be amended from time to time. In furtherance of the foregoing indemnification, and without limiting the generality thereof:</w:t>
      </w:r>
    </w:p>
    <w:p>
      <w:pPr>
        <w:pStyle w:val="TextBody"/>
        <w:bidi w:val="0"/>
        <w:spacing w:lineRule="auto" w:line="288" w:before="0" w:after="220"/>
        <w:ind w:left="0" w:right="0" w:hanging="720"/>
        <w:jc w:val="both"/>
        <w:rPr/>
      </w:pPr>
      <w:r>
        <w:rPr>
          <w:rFonts w:ascii="Times New Roman;serif" w:hAnsi="Times New Roman;serif"/>
          <w:b w:val="false"/>
          <w:color w:val="000000"/>
          <w:sz w:val="22"/>
        </w:rPr>
        <w:t>2.1    </w:t>
      </w:r>
      <w:r>
        <w:rPr>
          <w:rFonts w:ascii="Times New Roman;serif" w:hAnsi="Times New Roman;serif"/>
          <w:b/>
          <w:color w:val="000000"/>
          <w:sz w:val="22"/>
        </w:rPr>
        <w:t>General Agreement</w:t>
      </w:r>
    </w:p>
    <w:p>
      <w:pPr>
        <w:pStyle w:val="TextBody"/>
        <w:bidi w:val="0"/>
        <w:spacing w:lineRule="auto" w:line="288" w:before="0" w:after="22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Proceedings Other Than Proceedings by or in the Right of the Company,</w:t>
      </w:r>
      <w:r>
        <w:rPr>
          <w:color w:val="000000"/>
        </w:rPr>
        <w:t xml:space="preserve"> </w:t>
      </w:r>
      <w:r>
        <w:rPr>
          <w:rFonts w:ascii="Times New Roman;serif" w:hAnsi="Times New Roman;serif"/>
          <w:b w:val="false"/>
          <w:color w:val="000000"/>
          <w:sz w:val="22"/>
          <w:u w:val="single"/>
        </w:rPr>
        <w:t>SubCo or an Additional Enterprise</w:t>
      </w:r>
      <w:r>
        <w:rPr>
          <w:rFonts w:ascii="Times New Roman;serif" w:hAnsi="Times New Roman;serif"/>
          <w:b w:val="false"/>
          <w:color w:val="000000"/>
          <w:sz w:val="22"/>
        </w:rPr>
        <w:t xml:space="preserve">. The Beneficiary shall be entitled to the rights of indemnification provided in this Clause 2.1(a) if, by reason of, in </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88" name="Frame1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whole or in part (or arising in whole or in part out of), the Beneficiary’s Corporate Status, the Beneficiary was, is, becomes or is threatened to be made, a party to or other participant in any Proceeding, other than a Proceeding by or in the right of the Company, SubCo or the applicable Additional Enterprise, as the case may be. Pursuant to this Clause 2.1(a), the Beneficiary shall be indemnified against all Expenses, judgments, fines and amounts paid in settlement actually and reasonably incurred by the Beneficiary, or on the Beneficiary’s behalf, to the fullest extent permitted by law in connection with such Proceeding or any claim, issue or matter therein, if the Beneficiary acted in good faith and in a manner the Beneficiary reasonably believed to be in or not opposed to the best interests of the Company, SubCo or the applicable Additional Enterprise, as the case may be, and with respect to any criminal proceeding, had no reasonable cause to believe the Beneficiary’s conduct was unlawful.</w:t>
      </w:r>
    </w:p>
    <w:p>
      <w:pPr>
        <w:pStyle w:val="TextBody"/>
        <w:bidi w:val="0"/>
        <w:spacing w:lineRule="auto" w:line="288" w:before="0" w:after="22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Proceedings by or in the Right of the Company, SubCo or an Additional</w:t>
      </w:r>
      <w:r>
        <w:rPr>
          <w:color w:val="000000"/>
        </w:rPr>
        <w:t xml:space="preserve"> </w:t>
      </w:r>
      <w:r>
        <w:rPr>
          <w:rFonts w:ascii="Times New Roman;serif" w:hAnsi="Times New Roman;serif"/>
          <w:b w:val="false"/>
          <w:color w:val="000000"/>
          <w:sz w:val="22"/>
          <w:u w:val="single"/>
        </w:rPr>
        <w:t>Enterprise</w:t>
      </w:r>
      <w:r>
        <w:rPr>
          <w:rFonts w:ascii="Times New Roman;serif" w:hAnsi="Times New Roman;serif"/>
          <w:b w:val="false"/>
          <w:color w:val="000000"/>
          <w:sz w:val="22"/>
        </w:rPr>
        <w:t>. A Beneficiary shall be entitled to the rights of indemnification provided in this Clause 2.1(b) if, by reason of, in whole or in part (or arising in whole or in part out of), the Beneficiary’s Corporate Status, the Beneficiary is, or is threatened to be made, a party to or participant in any Proceeding brought by or in the right of the Company, SubCo or the applicable Additional Enterprise, as the case may be. Pursuant to this Clause 2.1(b), the Beneficiary shall be indemnified against all Expenses actually and reasonably incurred by the Beneficiary, or on the Beneficiary’s behalf, to the fullest extent permitted by law in connection with such Proceeding if the Beneficiary acted in good faith and in a manner the Beneficiary reasonably believed to be in or not opposed to the best interests of the Company, SubCo or the applicable Additional Enterprise, as the case may be; provided, however, that if applicable law so provides, no indemnification against such Expenses shall be made in respect of any claim, issue or matter in such Proceeding as to which the Beneficiary shall have been adjudged to be liable to the Company, SubCo or the applicable Additional Enterprise unless and to the extent that the court in which such Proceeding was brought shall determine upon application that, despite the adjudication of liability but in view of all the circumstances of the case, such person is fairly and reasonably entitled to indemnity for such Expenses which such court shall deem proper.</w:t>
      </w:r>
    </w:p>
    <w:p>
      <w:pPr>
        <w:pStyle w:val="TextBody"/>
        <w:bidi w:val="0"/>
        <w:spacing w:lineRule="auto" w:line="288" w:before="0" w:after="220"/>
        <w:ind w:left="0" w:right="0" w:hanging="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Indemnification for Expenses of a Witness</w:t>
      </w:r>
      <w:r>
        <w:rPr>
          <w:rFonts w:ascii="Times New Roman;serif" w:hAnsi="Times New Roman;serif"/>
          <w:b w:val="false"/>
          <w:color w:val="000000"/>
          <w:sz w:val="22"/>
        </w:rPr>
        <w:t>. Notwithstanding any other provision of this Deed, to the extent that a Beneficiary is, by reason of, in whole or in part (or arising in whole or in part out of), the Beneficiary’s Corporate Status, a witness, or is made (or asked) to respond to discovery requests, in any Proceeding to which the Beneficiary is not a party, the Beneficiary shall be indemnified by the Company against all Expenses actually and reasonably incurred by the Beneficiary, or on the Beneficiary’s behalf, in connection therewith to the fullest extent permitted by law.</w:t>
      </w:r>
    </w:p>
    <w:p>
      <w:pPr>
        <w:pStyle w:val="TextBody"/>
        <w:bidi w:val="0"/>
        <w:spacing w:lineRule="auto" w:line="288" w:before="0" w:after="220"/>
        <w:ind w:left="0" w:right="0" w:hanging="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Information</w:t>
      </w:r>
      <w:r>
        <w:rPr>
          <w:rFonts w:ascii="Times New Roman;serif" w:hAnsi="Times New Roman;serif"/>
          <w:b w:val="false"/>
          <w:color w:val="000000"/>
          <w:sz w:val="22"/>
        </w:rPr>
        <w:t xml:space="preserve">. In connection with any Proceeding to which a Beneficiary is entitled to indemnification by the Company hereunder, the Company shall provide the Beneficiary with such reasonable assistance including reasonable access rights to information, documents and records of the Company as is reasonably necessary to enable the Beneficiary to prepare for and/or defend themselves against any such Proceeding (subject to any legally binding obligations of confidentiality undertaken by the Company to any third parties,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89" name="Frame1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and provided that the Company shall not be obliged to disclose commercially sensitive information to the Beneficiary if he or she is no longer a director, officer, secretary or employee of the Company, SubCo or an Additional Enterprise, as the case may be).</w:t>
      </w:r>
    </w:p>
    <w:p>
      <w:pPr>
        <w:pStyle w:val="TextBody"/>
        <w:bidi w:val="0"/>
        <w:spacing w:lineRule="auto" w:line="288" w:before="0" w:after="220"/>
        <w:ind w:left="0" w:right="0" w:hanging="720"/>
        <w:jc w:val="both"/>
        <w:rPr/>
      </w:pPr>
      <w:r>
        <w:rPr>
          <w:rFonts w:ascii="Times New Roman;serif" w:hAnsi="Times New Roman;serif"/>
          <w:b w:val="false"/>
          <w:color w:val="000000"/>
          <w:sz w:val="22"/>
        </w:rPr>
        <w:t>2.2    </w:t>
      </w:r>
      <w:r>
        <w:rPr>
          <w:rFonts w:ascii="Times New Roman;serif" w:hAnsi="Times New Roman;serif"/>
          <w:b/>
          <w:color w:val="000000"/>
          <w:sz w:val="22"/>
        </w:rPr>
        <w:t>Liability Insurance.</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To the extent that the Company, SubCo or the applicable Additional Enterprise maintains an insurance policy or policies providing liability insurance for directors, officers, secretaries, employees, agents or fiduciaries of the Company, any of its subsidiaries, including SubCo, or any Additional Enterprise that such person serves at the request of the Company, the Beneficiary shall be covered by such policy or policies in accordance with its or their terms to the maximum extent of the coverage available for any director, officer, secretary, employee, agent or fiduciary under such policy or policies.</w:t>
      </w:r>
    </w:p>
    <w:p>
      <w:pPr>
        <w:pStyle w:val="TextBody"/>
        <w:bidi w:val="0"/>
        <w:spacing w:lineRule="auto" w:line="288" w:before="0" w:after="220"/>
        <w:ind w:left="0" w:right="0" w:hanging="720"/>
        <w:jc w:val="both"/>
        <w:rPr/>
      </w:pPr>
      <w:r>
        <w:rPr>
          <w:rFonts w:ascii="Times New Roman;serif" w:hAnsi="Times New Roman;serif"/>
          <w:b w:val="false"/>
          <w:color w:val="000000"/>
          <w:sz w:val="22"/>
        </w:rPr>
        <w:t>2.3    </w:t>
      </w:r>
      <w:r>
        <w:rPr>
          <w:rFonts w:ascii="Times New Roman;serif" w:hAnsi="Times New Roman;serif"/>
          <w:b/>
          <w:color w:val="000000"/>
          <w:sz w:val="22"/>
        </w:rPr>
        <w:t>Mandatory Indemnification.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Notwithstanding any other provision of this Deed, to the extent that a Beneficiary is, by reason of, in whole or in part (or arising in whole or in part out of), the Beneficiary’s Corporate Status, a party to (or participant in) and is successful, on the merits or otherwise, in any Proceeding, the Beneficiary shall be indemnified by the Company to the fullest extent permitted by law, as such may be amended from time to time, against all Expenses actually and reasonably incurred by the Beneficiary, or on the Beneficiary’s behalf, in connection therewith.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If a Beneficiary is not wholly successful in such Proceeding but is successful, on the merits or otherwise, as to one or more (but less than all) claims, issues or matters in such Proceeding, the Company shall indemnify the Beneficiary against all Expenses actually and reasonably incurred by the Beneficiary, or on the Beneficiary’s behalf, in connection with each successfully resolved claim, issue or matter.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For purposes of this Clause 2.3(c) and without limitation, the termination of any claim, issue or matter in such a Proceeding by dismissal, with or without prejudice, shall be deemed to be a successful result as to such claim, issue or matter.</w:t>
      </w:r>
    </w:p>
    <w:p>
      <w:pPr>
        <w:pStyle w:val="TextBody"/>
        <w:bidi w:val="0"/>
        <w:spacing w:lineRule="auto" w:line="288" w:before="0" w:after="220"/>
        <w:ind w:left="0" w:right="0" w:hanging="720"/>
        <w:jc w:val="both"/>
        <w:rPr/>
      </w:pPr>
      <w:r>
        <w:rPr>
          <w:rFonts w:ascii="Times New Roman;serif" w:hAnsi="Times New Roman;serif"/>
          <w:b w:val="false"/>
          <w:color w:val="000000"/>
          <w:sz w:val="22"/>
        </w:rPr>
        <w:t>2.4    </w:t>
      </w:r>
      <w:r>
        <w:rPr>
          <w:rFonts w:ascii="Times New Roman;serif" w:hAnsi="Times New Roman;serif"/>
          <w:b/>
          <w:color w:val="000000"/>
          <w:sz w:val="22"/>
        </w:rPr>
        <w:t>Partial Indemnification.</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If the Beneficiary is entitled under any provision of this Deed to indemnification by the Company for some or a portion of Expenses but not, however, for the total amount thereof, the Company shall nevertheless indemnify the Beneficiary for the portion thereof to which the Beneficiary is entitled, including, but not limited to successfully resolved claims in any Proceeding.</w:t>
      </w:r>
    </w:p>
    <w:p>
      <w:pPr>
        <w:pStyle w:val="TextBody"/>
        <w:bidi w:val="0"/>
        <w:spacing w:lineRule="auto" w:line="288" w:before="0" w:after="220"/>
        <w:ind w:left="0" w:right="0" w:hanging="720"/>
        <w:jc w:val="both"/>
        <w:rPr/>
      </w:pPr>
      <w:r>
        <w:rPr>
          <w:rFonts w:ascii="Times New Roman;serif" w:hAnsi="Times New Roman;serif"/>
          <w:b w:val="false"/>
          <w:color w:val="000000"/>
          <w:sz w:val="22"/>
        </w:rPr>
        <w:t>2.5    </w:t>
      </w:r>
      <w:r>
        <w:rPr>
          <w:rFonts w:ascii="Times New Roman;serif" w:hAnsi="Times New Roman;serif"/>
          <w:b/>
          <w:color w:val="000000"/>
          <w:sz w:val="22"/>
        </w:rPr>
        <w:t>Prohibited Indemnification.</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Notwithstanding any provision in this Deed, the Company shall not be obliged to make any indemnity in connection with any claim made against a Beneficiary: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for which payment has actually been made to or on behalf of a Beneficiary under any insurance policy or other indemnity provision, except with respect </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0" name="Frame1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to any excess beyond the amount paid under any such insurance policy or other indemnity provision, provided, that the foregoing shall not affect the rights of the Beneficiary; or</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for (i) an accounting of profits made from the purchase and sale (or sale and purchase) by a Beneficiary of securities of the Company within the meaning of Section 16(b) of the Exchange Act or similar provisions of state statutory law or common law, (ii) any reimbursement of the Company by the Beneficiary of any bonus or other incentive-based or equity-based compensation or of any profits realized by the Beneficiary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the Beneficiary of securities in violation of Section 306 of the Sarbanes-Oxley Act) or (iii) any reimbursement of the Company by the Beneficiary of any compensation pursuant to any compensation recoupment or claw-back policy adopted by the Company or the compensation committee of the Board, including but not limited to any such policy adopted to comply with stock exchange listing requirements implementing Section 10D of the Exchange Act; or</w:t>
      </w:r>
    </w:p>
    <w:p>
      <w:pPr>
        <w:pStyle w:val="TextBody"/>
        <w:bidi w:val="0"/>
        <w:spacing w:lineRule="auto" w:line="288" w:before="0" w:after="220"/>
        <w:ind w:left="0" w:right="0" w:hanging="720"/>
        <w:jc w:val="both"/>
        <w:rPr/>
      </w:pPr>
      <w:r>
        <w:rPr>
          <w:rFonts w:ascii="Times New Roman;serif" w:hAnsi="Times New Roman;serif"/>
          <w:b w:val="false"/>
          <w:color w:val="000000"/>
          <w:sz w:val="22"/>
        </w:rPr>
        <w:t>(c)    in connection with any Proceeding (or any part of any Proceeding) initiated by a Beneficiary, including any Proceeding (or any part of any Proceeding) initiated by a Beneficiary against the Company, any of its subsidiaries and/or any Additional Enterprise, or any director, officer, secretary, agent, employee, fiduciary or other indemnitee of such entities, unless (i) the Board or the Additional Enterprise, as the case may be, authorized the Proceeding (or any part of any Proceeding) prior to its initiation, (ii) such indemnity payment arises in connection with any mandatory counterclaim or cross claim brought or raised by the Beneficiary in any Proceeding (or any part of any Proceeding), (iii) the Proceeding is initiated by the Beneficiary pursuant to Beneficiary’s rights under Clause 4.7 (</w:t>
      </w:r>
      <w:r>
        <w:rPr>
          <w:rFonts w:ascii="Times New Roman;serif" w:hAnsi="Times New Roman;serif"/>
          <w:b w:val="false"/>
          <w:i/>
          <w:color w:val="000000"/>
          <w:sz w:val="22"/>
        </w:rPr>
        <w:t>Adjudication</w:t>
      </w:r>
      <w:r>
        <w:rPr>
          <w:rFonts w:ascii="Times New Roman;serif" w:hAnsi="Times New Roman;serif"/>
          <w:b w:val="false"/>
          <w:color w:val="000000"/>
          <w:sz w:val="22"/>
        </w:rPr>
        <w:t xml:space="preserve">) of this Deed or (iv) the Company elects to provide the indemnification pursuant to the powers vested in the Company under applicable law; or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if a court of competent jurisdiction by a final and non-appealable judgment, shall determine that such indemnification is not permitted under applicable law.</w:t>
      </w:r>
    </w:p>
    <w:p>
      <w:pPr>
        <w:pStyle w:val="TextBody"/>
        <w:bidi w:val="0"/>
        <w:spacing w:lineRule="auto" w:line="288" w:before="0" w:after="220"/>
        <w:ind w:left="0" w:right="0" w:hanging="720"/>
        <w:jc w:val="both"/>
        <w:rPr/>
      </w:pPr>
      <w:r>
        <w:rPr>
          <w:rFonts w:ascii="Times New Roman;serif" w:hAnsi="Times New Roman;serif"/>
          <w:b w:val="false"/>
          <w:color w:val="000000"/>
          <w:sz w:val="22"/>
        </w:rPr>
        <w:t>2.6    </w:t>
      </w:r>
      <w:r>
        <w:rPr>
          <w:rFonts w:ascii="Times New Roman;serif" w:hAnsi="Times New Roman;serif"/>
          <w:b w:val="false"/>
          <w:color w:val="000000"/>
          <w:sz w:val="22"/>
          <w:u w:val="single"/>
        </w:rPr>
        <w:t>Expenses Advances</w:t>
      </w:r>
      <w:r>
        <w:rPr>
          <w:rFonts w:ascii="Times New Roman;serif" w:hAnsi="Times New Roman;serif"/>
          <w:b w:val="false"/>
          <w:color w:val="000000"/>
          <w:sz w:val="22"/>
        </w:rPr>
        <w:t xml:space="preserve">. Notwithstanding any other provision of this Deed but subject to the last sentence of this Clause 2.6, upon receipt of an undertaking by or on behalf of a Beneficiary to repay such amounts if it shall ultimately be determined that Beneficiary is not entitled to be indemnified by the Company, the Company shall advance all Expenses actually and reasonably incurred by or on behalf of the Beneficiary in connection with any Proceeding by reason of the Beneficiary’s Corporate Status within thirty (30) days after the receipt by the Company of a statement or statements from the Beneficiary requesting such advance or advances from time to time, whether prior to or after final disposition of such Proceeding. Such statement or statements shall reasonably evidence the Expenses incurred by the Beneficiary. Any advances and undertakings to repay pursuant to this Clause 2.6 shall be unsecured and interest free and not conditioned on the Beneficiary’s ability to </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1" name="Frame1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repay such advances. This Clause 2.6 shall not apply to any claim made by a Beneficiary for which indemnity is excluded pursuant to this Deed.</w:t>
      </w:r>
    </w:p>
    <w:p>
      <w:pPr>
        <w:pStyle w:val="TextBody"/>
        <w:bidi w:val="0"/>
        <w:spacing w:lineRule="auto" w:line="288" w:before="0" w:after="220"/>
        <w:ind w:left="0" w:right="0" w:hanging="720"/>
        <w:jc w:val="both"/>
        <w:rPr/>
      </w:pPr>
      <w:r>
        <w:rPr>
          <w:rFonts w:ascii="Times New Roman;serif" w:hAnsi="Times New Roman;serif"/>
          <w:b w:val="false"/>
          <w:color w:val="000000"/>
          <w:sz w:val="22"/>
        </w:rPr>
        <w:t>3.    </w:t>
      </w:r>
      <w:r>
        <w:rPr>
          <w:rFonts w:ascii="Times New Roman;serif" w:hAnsi="Times New Roman;serif"/>
          <w:b/>
          <w:color w:val="000000"/>
          <w:sz w:val="22"/>
        </w:rPr>
        <w:t>EXHAUSTION OF REMEDIES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    The SubCo Indemnification Agreement provides that: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Prior to making a written demand on SubCo for indemnification pursuant to the SubCo Indemnification Agreement or making a request for the advancement of Expenses pursuant to Section 2(f) of the SubCo Indemnification Agreement, the Beneficiary shall first seek such indemnification or advancement of Expenses, as applicable, from the applicable Additional Enterprise and/or under any applicable insurance policy of the applicable Additional Enterprise.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    If such indemnification or advancement of Expenses, as applicable, is not available to the Beneficiary from the applicable Additional Enterprise, the Beneficiary shall seek such indemnification or advancement of Expenses, as applicable, under this Deed and/or under any applicable insurance policy of the Company and, to the extent unavailable thereunder, request that the Company consider in its discretion whether to make such indemnification or advancement of Expenses, as applicable.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In the event that requests for indemnification or advancement of Expenses, as applicable, made by the Beneficiary pursuant to Section 3(a) and Section 3(b) of the SubCo Indemnification Agreement are refused, or in the event that an agreement to pay indemnification or advancement of such Expenses is not received within thirty (30) days of the latest request of the Beneficiary of the applicable insurer or entity and the Beneficiary’s request of the applicable Additional Enterprise or the Company as provided in Section 3(a) and Section 3(b) of the SubCo Indemnification Agreement, the Beneficiary may make written demand on SubCo for indemnification or request for the advancement of Expenses pursuant to the SubCo Indemnification Agreement.</w:t>
      </w:r>
    </w:p>
    <w:p>
      <w:pPr>
        <w:pStyle w:val="TextBody"/>
        <w:bidi w:val="0"/>
        <w:spacing w:lineRule="auto" w:line="288" w:before="0" w:after="220"/>
        <w:ind w:left="0" w:right="0" w:hanging="720"/>
        <w:jc w:val="both"/>
        <w:rPr/>
      </w:pPr>
      <w:r>
        <w:rPr>
          <w:rFonts w:ascii="Times New Roman;serif" w:hAnsi="Times New Roman;serif"/>
          <w:b w:val="false"/>
          <w:color w:val="000000"/>
          <w:sz w:val="22"/>
        </w:rPr>
        <w:t>4.    </w:t>
      </w:r>
      <w:r>
        <w:rPr>
          <w:rFonts w:ascii="Times New Roman;serif" w:hAnsi="Times New Roman;serif"/>
          <w:b/>
          <w:color w:val="000000"/>
          <w:sz w:val="22"/>
        </w:rPr>
        <w:t>INDEMNIFICATION PROCESS AND APPEAL</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It is the intent of the Company to secure for the Beneficiary rights of indemnity to the fullest extent permitted by law. Accordingly, the following procedures and presumptions shall apply in the event of any question as to whether the Beneficiary is entitled to indemnification under this Deed: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4.1    To obtain indemnification under this Deed, the Beneficiary shall submit, in accordance with Clause 6.12, a written request to the Company and SubCo, including therein or therewith such documentation and information as is reasonably available to the Beneficiary and is reasonably necessary to determine whether and to what extent the Beneficiary is entitled to indemnification in accordance with Clause 4.2. Notwithstanding the foregoing, any failure of the Beneficiary to provide such a request in accordance with this Clause 4.1, or to provide such a request in a timely fashion, shall not relieve the Company of any liability that it may have to the Beneficiary unless, and to the extent that, such failure actually and materially prejudices the interests of the Company, SubCo or the relevant Additional Enterprise, as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2" name="Frame1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4.2    Upon written request by the Beneficiary for indemnification pursuant to the first sentence of Clause 4.1 hereof, a determination with respect to the Beneficiary’s entitlement thereto shall be made by the Company, or, if the Company so directs, by Independent Counsel, selected in accordance with Clause 4.3 hereof, in a written opinion to the Board, a copy of which shall be delivered to the and the Company in accordance with Section 16 (Notices) of the SubCo Indemnification Agreement.</w:t>
      </w:r>
    </w:p>
    <w:p>
      <w:pPr>
        <w:pStyle w:val="TextBody"/>
        <w:bidi w:val="0"/>
        <w:spacing w:lineRule="auto" w:line="288" w:before="0" w:after="220"/>
        <w:ind w:left="0" w:right="0" w:hanging="720"/>
        <w:jc w:val="both"/>
        <w:rPr/>
      </w:pPr>
      <w:r>
        <w:rPr>
          <w:rFonts w:ascii="Times New Roman;serif" w:hAnsi="Times New Roman;serif"/>
          <w:b w:val="false"/>
          <w:color w:val="000000"/>
          <w:sz w:val="22"/>
        </w:rPr>
        <w:t>4.3    If the determination of entitlement to indemnification is to be made by an Independent Counsel pursuant to Clause 4.2 hereof, Independent Counsel shall be selected as provided in this Clause 4.3. The Company may select Independent Counsel and the Company shall give written notice of such selection to the Beneficiary promptly after such selection by the Company. The Beneficiary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“Independent Counsel” as defined in Clause 1 (Definitions) of this Deed,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of competent jurisdiction has determined that such objection is without merit. If, within twenty (20) days after submission by the Beneficiary of a written request for indemnification pursuant to Clause 4.1 hereof, no Independent Counsel shall have been selected and not objected to, either the Company or the Beneficiary may petition any court located in the country of Ireland (an “</w:t>
      </w:r>
      <w:r>
        <w:rPr>
          <w:rFonts w:ascii="Times New Roman;serif" w:hAnsi="Times New Roman;serif"/>
          <w:b/>
          <w:color w:val="000000"/>
          <w:sz w:val="22"/>
        </w:rPr>
        <w:t>Irish Court</w:t>
      </w:r>
      <w:r>
        <w:rPr>
          <w:color w:val="000000"/>
        </w:rPr>
        <w:t>”</w:t>
      </w:r>
      <w:r>
        <w:rPr>
          <w:rFonts w:ascii="Times New Roman;serif" w:hAnsi="Times New Roman;serif"/>
          <w:b w:val="false"/>
          <w:color w:val="000000"/>
          <w:sz w:val="22"/>
        </w:rPr>
        <w:t xml:space="preserve">) having subject matter jurisdiction thereof for resolution of any objection which shall have been made by the Beneficiary to the Company’s selection of Independent Counsel, as the case may be, and/or for the appointment as Independent Counsel of a person selected by the court or by such other person as the court shall designate, and the person with respect to whom all objections are so resolved or the person so appointed shall act as Independent Counsel hereunder. The Company shall pay any and all reasonable fees and expenses of Independent Counsel incurred by such Independent Counsel in connection with acting pursuant hereto, and the Company shall pay all reasonable fees and expenses incurred by the Company and the Beneficiary incident to the procedures of this Clause 4.3, regardless of the manner in which such Independent Counsel was selected or appointed.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4.4    In making a determination with respect to entitlement to indemnification hereunder, the person or persons or entity making such determination shall presume that the Beneficiary is entitled to indemnification under this Deed. Anyone seeking to overcome this presumption shall have the burden of proof and the burden of persuasion by clear and convincing evidence. Neither the failure of the Company (including by an appointed Independent Counsel) to have made a determination prior to the commencement of any Proceeding pursuant to this Deed that indemnification is proper in the circumstances because the Beneficiary has met the applicable standard of conduct, nor an actual determination by the Company (including by an appointed Independent Counsel) that Beneficiary has not met such applicable standard of conduct, shall be a defense to such Proceeding or create a presumption that the Beneficiary has not met the applicable standard of conduct.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4.5    If the person, persons or entity empowered or selected under Clause 4.2 or Clause 4.3, as the case may be, to determine whether the Beneficiary is entitled to </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3" name="Frame1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indemnification shall not have made a determination within ninety (90) days of the later date upon which the Company respectively received the request therefor, the requisite determination of entitlement to indemnification shall be deemed to have been made and the Beneficary shall be entitled to such indemnification absent (i) a misstatement by the Beneficiary of a material fact, or an omission of a material fact necessary to make the Beneficiary’s statement not materially misleading, in connection with the request for indemnification, or (ii) a prohibition of such indemnification under applicable law; provided, however, that such ninety (90)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4.6    The Beneficiary shall cooperate with the person, persons or entity making such determination with respect to the Beneficiary’s entitlement to indemnification, including providing to such person, persons or entity upon reasonable advance request any documentation or information which is not privileged or otherwise protected from disclosure and which is reasonably available to the Beneficiary and reasonably necessary to such determination. The Company and any Independent Counsel appointed pursuant to this deed shall act reasonably and in good faith in making a determination regarding the Beneficiary’s entitlement to indemnification under this Deed. Any costs or Expenses (including attorneys’ fees and disbursements) incurred by the Beneficiary in so cooperating with the person, persons or entity making such determination shall be borne by the Company (irrespective of the determination as to the Beneficiary’s entitlement to indemnification), and the Company hereby indemnifies and agrees to hold the Beneficiary harmless therefrom.</w:t>
      </w:r>
    </w:p>
    <w:p>
      <w:pPr>
        <w:pStyle w:val="TextBody"/>
        <w:bidi w:val="0"/>
        <w:spacing w:lineRule="auto" w:line="288" w:before="0" w:after="220"/>
        <w:ind w:left="0" w:right="0" w:hanging="720"/>
        <w:jc w:val="both"/>
        <w:rPr/>
      </w:pPr>
      <w:r>
        <w:rPr>
          <w:rFonts w:ascii="Times New Roman;serif" w:hAnsi="Times New Roman;serif"/>
          <w:b w:val="false"/>
          <w:color w:val="000000"/>
          <w:sz w:val="22"/>
        </w:rPr>
        <w:t>4.7    </w:t>
      </w:r>
      <w:r>
        <w:rPr>
          <w:rFonts w:ascii="Times New Roman;serif" w:hAnsi="Times New Roman;serif"/>
          <w:b/>
          <w:color w:val="000000"/>
          <w:sz w:val="22"/>
        </w:rPr>
        <w:t>Adjudication</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In the event that (i) a determination is made pursuant to the foregoing sub-sections of this Clause 4 that a Beneficiary is not entitled to indemnification under this Deed, (ii) advancement of Expenses is not timely made pursuant to Clause 2.6 (Expenses Advances) of this Deed, (iii) determination of entitlement to indemnification is not made pursuant to this Clause 4 within one hundred and twenty (120) days after the later date upon which the Company and SubCo respectively received the request for indemnification, (iv) payment of indemnification is not made pursuant to Clause 2.3 (Mandatory Indemnification), Clause 2.4 (Partial Indemnification), Clause 2.1(c) (Indemnification for Expenses of a Witness), or the last sentence of Clause 4.6 of this Deed within thirty (30) days after receipt by the Company of a written request therefor, or (v) payment of indemnification is not made pursuant to Clause 2.1 (Proceedings Other Than Proceedings by or in the Right of the Company, SubCo or an Additional Enterprise) and 2.1(b) (Proceedings by or in the Right of Company, SubCo or an Additional Enterprise) of this Deed within thirty (30) days after a determination has been made that a Beneficiary is entitled to indemnification or such determination is deemed to have been made pursuant to this Clause 4, the Beneficiary shall be entitled to commence litigation in an Irish Court of such Beneficiary’s entitlement to such indemnification. The Beneficiary shall commence such proceeding seeking an adjudication within one hundred eighty (180) days following the date on which Beneficiary first has the right to commence such proceeding pursuant to this Clause 4.7. The Company shall not oppose the Company’s right to seek any such adjudication.</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4"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In the event that a determination shall have been made pursuant to Clause 4.2 that a Beneficiary is not entitled to indemnification, any judicial proceeding commenced pursuant to this Clause 4.7 shall be conducted in all respects as a de novo determination on the merits, and the Beneficiary shall not be prejudiced by reason of the adverse determination under Clause 4.2.</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If a determination shall have been made pursuant to Clause 4.2 that a Beneficiary is entitled to indemnification, the Company shall be bound by such determination in any judicial proceeding commenced pursuant to this Clause 4.7, absent (i) a misstatement by the Beneficiary of a material fact, or an omission of a material fact necessary to make the Beneficiary’s misstatement not materially misleading in connection with the application for indemnification, or (ii) a prohibition of such indemnification under applicable law.</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In the event that a Beneficiary, pursuant to this Clause 4.7, seeks a judicial adjudication of such Beneficiary’s rights under, or to recover damages for breach of, this Deed, or to recover under any directors’ and officers’ liability insurance policies maintained by the Company, the Company shall pay on the Beneficiary’s behalf, in advance, any and all Expenses actually and reasonably incurred by the Beneficiary in such judicial adjudication, regardless of whether the Beneficiary ultimately is determined to be entitled to such indemnification, advancement of Expenses or insurance recovery.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It is the intent of the Company that, to the fullest extent permitted by law, the Beneficiary not be required to incur legal fees or other Expenses associated with the interpretation, enforcement or defense of the Beneficiary’s rights under this Deed by litigation or otherwise because the cost and expense thereof would substantially detract from the benefits intended to be extended to the Beneficiary hereunder. The Company shall indemnify the Beneficiary against any and all Expenses actually and reasonably incurred by or on behalf of the Beneficiary in connection with any action brought by the Beneficiary to enforce its rights to indemnification and/or for the advancement of Expenses under this Deed or any directors’ and officers’ liability insurance policies maintained by the Company, regardless of whether the Beneficiary ultimately is determined to be entitled to such indemnification to the fullest extent permitted by applicable laws, advancement of Expenses or insurance recovery, as the case may be.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in this Deed to the contrary, no determination as to entitlement to indemnification under this Deed shall be required to be made prior to the final disposition of the Proceeding.</w:t>
      </w:r>
    </w:p>
    <w:p>
      <w:pPr>
        <w:pStyle w:val="TextBody"/>
        <w:bidi w:val="0"/>
        <w:spacing w:lineRule="auto" w:line="288" w:before="0" w:after="220"/>
        <w:ind w:left="0" w:right="0" w:hanging="720"/>
        <w:jc w:val="both"/>
        <w:rPr/>
      </w:pPr>
      <w:r>
        <w:rPr>
          <w:rFonts w:ascii="Times New Roman;serif" w:hAnsi="Times New Roman;serif"/>
          <w:b w:val="false"/>
          <w:color w:val="000000"/>
          <w:sz w:val="22"/>
        </w:rPr>
        <w:t>5.    </w:t>
      </w:r>
      <w:r>
        <w:rPr>
          <w:rFonts w:ascii="Times New Roman;serif" w:hAnsi="Times New Roman;serif"/>
          <w:b/>
          <w:color w:val="000000"/>
          <w:sz w:val="22"/>
        </w:rPr>
        <w:t>NOTIFICATION AND DEFENSE OF PROCEEDING</w:t>
      </w:r>
    </w:p>
    <w:p>
      <w:pPr>
        <w:pStyle w:val="TextBody"/>
        <w:bidi w:val="0"/>
        <w:spacing w:lineRule="auto" w:line="288" w:before="0" w:after="220"/>
        <w:ind w:left="0" w:right="0" w:hanging="720"/>
        <w:jc w:val="both"/>
        <w:rPr/>
      </w:pPr>
      <w:r>
        <w:rPr>
          <w:rFonts w:ascii="Times New Roman;serif" w:hAnsi="Times New Roman;serif"/>
          <w:b w:val="false"/>
          <w:color w:val="000000"/>
          <w:sz w:val="22"/>
        </w:rPr>
        <w:t>5.1    </w:t>
      </w:r>
      <w:r>
        <w:rPr>
          <w:rFonts w:ascii="Times New Roman;serif" w:hAnsi="Times New Roman;serif"/>
          <w:b/>
          <w:color w:val="000000"/>
          <w:sz w:val="22"/>
        </w:rPr>
        <w:t>Notice</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The Beneficiary shall promptly notify the Company and SubCo in writing in accordance with Clause 6.12 upon being served with or otherwise receiving any summons, citation, subpoena, complaint, indictment, information or other document relating to any Proceeding or matter which may be subject to indemnification covered hereunder. The failure to so notify the Company or SubCo shall not relieve the Company of any obligation which it may have to the Beneficiary under this Deed or otherwise unless and only to the extent that such failure or delay materially prejudices </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5" name="Frame1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interest of the Company, SubCo or the relevant Additional Enterprise, as applicable.</w:t>
      </w:r>
    </w:p>
    <w:p>
      <w:pPr>
        <w:pStyle w:val="TextBody"/>
        <w:bidi w:val="0"/>
        <w:spacing w:lineRule="auto" w:line="288" w:before="0" w:after="220"/>
        <w:ind w:left="0" w:right="0" w:hanging="720"/>
        <w:jc w:val="both"/>
        <w:rPr/>
      </w:pPr>
      <w:r>
        <w:rPr>
          <w:rFonts w:ascii="Times New Roman;serif" w:hAnsi="Times New Roman;serif"/>
          <w:b w:val="false"/>
          <w:color w:val="000000"/>
          <w:sz w:val="22"/>
        </w:rPr>
        <w:t>5.2    </w:t>
      </w:r>
      <w:r>
        <w:rPr>
          <w:rFonts w:ascii="Times New Roman;serif" w:hAnsi="Times New Roman;serif"/>
          <w:b/>
          <w:color w:val="000000"/>
          <w:sz w:val="22"/>
        </w:rPr>
        <w:t>Defense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With respect to any Proceeding as to which a Beneficiary notifies the Company and SubCo of the commencement thereof, the Company will be entitled to participate in the Proceeding at its own expense and except as otherwise provided below, to the extent the Company so wishes, it may assume the defense thereof with counsel reasonably satisfactory to the Beneficiary.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    After notice from the Company to a Beneficiary of its election to assume the defense of any Proceeding, the Company shall not be liable to such Beneficiary under this Deed or otherwise for any Expenses subsequently incurred by such Beneficiary in connection with the defense of such Proceeding other than reasonable costs of investigation or as otherwise provided below. Each Beneficiary shall have the right to employ legal counsel in such Proceeding, but all Expenses related thereto incurred after notice from the Company of its assumption of the defense shall be at the Beneficiary’s expense unless: (i) the employment of legal counsel by the Beneficiary has been authorised by the Company, (ii) the Beneficiary has reasonably determined that there may be a conflict of interest between the Beneficiary and the Company in the defense of the Proceeding, or (iii) the Company shall not in fact have employed counsel to assume the defense of such Proceeding, in each of which cases all Expenses of the Beneficiary in connection with such Proceeding shall be borne by the Company.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Notwithstanding the foregoing, the Company or SubCo, as applicable, shall not be entitled to assume the defense of any Proceeding (i) brought by or on behalf of the Company or SubCo or the applicable Additional Enterprise, as the case may be, or (ii) where the Beneficiary has reasonably determined that there may be a conflict of interest between the Beneficiary and the Company or SubCo, as applicable, in the defense of the Proceeding (it being specified, for the avoidance of doubt, that the Company or SubCo, as applicable, may assume defense of any such Proceeding described in this sentence with the Beneficiary’s consent, provided that any such consent shall not affect the rights of the Beneficiary under this Clause (c)).</w:t>
      </w:r>
    </w:p>
    <w:p>
      <w:pPr>
        <w:pStyle w:val="TextBody"/>
        <w:bidi w:val="0"/>
        <w:spacing w:lineRule="auto" w:line="288" w:before="0" w:after="220"/>
        <w:ind w:left="0" w:right="0" w:hanging="720"/>
        <w:jc w:val="both"/>
        <w:rPr/>
      </w:pPr>
      <w:r>
        <w:rPr>
          <w:rFonts w:ascii="Times New Roman;serif" w:hAnsi="Times New Roman;serif"/>
          <w:b w:val="false"/>
          <w:color w:val="000000"/>
          <w:sz w:val="22"/>
        </w:rPr>
        <w:t>5.3    </w:t>
      </w:r>
      <w:r>
        <w:rPr>
          <w:rFonts w:ascii="Times New Roman;serif" w:hAnsi="Times New Roman;serif"/>
          <w:b/>
          <w:color w:val="000000"/>
          <w:sz w:val="22"/>
        </w:rPr>
        <w:t>Settlement of Claims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shall not be liable to indemnify a Beneficiary under this Deed or otherwise for any amounts paid in settlement of any Proceeding effected without the Company’s written consent, such consent not to be unreasonably withheld. The Company shall not, and shall not permit SubCo to, settle any Proceeding in any manner that would impose any liability, penalty or limitation on a Beneficiary without the Beneficiary’s written consent, such consent not to be unreasonably withheld. The Company’s liability hereunder shall not be excused if assumption of the defense of the Proceeding by the Company was barred by this Deed.</w:t>
      </w:r>
    </w:p>
    <w:p>
      <w:pPr>
        <w:pStyle w:val="TextBody"/>
        <w:bidi w:val="0"/>
        <w:spacing w:lineRule="auto" w:line="288" w:before="0" w:after="220"/>
        <w:ind w:left="0" w:right="0" w:hanging="720"/>
        <w:jc w:val="both"/>
        <w:rPr/>
      </w:pPr>
      <w:r>
        <w:rPr>
          <w:rFonts w:ascii="Times New Roman;serif" w:hAnsi="Times New Roman;serif"/>
          <w:b w:val="false"/>
          <w:color w:val="000000"/>
          <w:sz w:val="22"/>
        </w:rPr>
        <w:t>6.    </w:t>
      </w:r>
      <w:r>
        <w:rPr>
          <w:rFonts w:ascii="Times New Roman;serif" w:hAnsi="Times New Roman;serif"/>
          <w:b/>
          <w:color w:val="000000"/>
          <w:sz w:val="22"/>
        </w:rPr>
        <w:t>MISCELLANEOUS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6.1    The rights of indemnification as provided by this Deed shall not be deemed exclusive of any other rights to which the Beneficiary may at any time be entitled under </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6" name="Frame1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applicable law, the Constitution of the Company, the organisational documents of SubCo, the SubCo Indemnification Agreement, any agreement, a resolution of the Board or SubCo Board or otherwise. No amendment, alteration or repeal of this Deed or of any provision hereof shall limit or restrict any right of a Beneficiary under this Agreement in respect of any action taken or omitted by such Beneficiary in the Beneficiary’s Corporate Status prior to such amendment, alteration or repeal.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6.2    To the extent that a change (or a change in the interpretation) of applicable law, whether by statute or judicial decision, permits greater indemnification than would be afforded currently under the Constitution of the Company, the organisational documents of SubCo, the SubCo Indemnification Agreement or this Deed, it is the intent of the Company that each Beneficiary enjoy by this Deed the greater benefits so afforded by such change.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6.3    The benefit of this Deed shall be personal to each Beneficiary and may not be assigned by a Beneficiary save with the prior written consent of the Company. All agreements and obligations of the Company contained herein shall continue during the period the Beneficiary is a director or officer of the Company (or is or was serving at the request of the Company as a director, officer, secretary, employee, agent or fiduciary of an Additional Enterprise) and shall continue thereafter so long as the Beneficiary shall be subject to any Proceeding (or any proceeding commenced under Clause 4.7 (Adjudication)) by reason of the Beneficiary’s Corporate Status, whether initiated during or after the period the Beneficiary is a director or officer of the Company (or is or was serving at the request of the Company as a director, officer, secretary employee, agent or fiduciary of an Additional Enterprise) and whether or not the Beneficiary is acting or serving in any such capacity at the time any liability or Expense is incurred for which indemnification can be provided under this Deed.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6.4    No supplement, modification, or amendment of this Deed shall be binding unless executed in writing by the Company. No waiver of any of the provisions of this Deed shall be binding unless in the form of writing signed by the party against whom enforcement of the waiver is sought, and no such waiver shall operate as a continuing waiver. Except as specifically provided herein, no failure to exercise or any delay in exercising any right or remedy hereunder shall constitute a waiver thereof.</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6.5    In the event of payment under this Deed, the Company shall be subrogated to the extent of such payment to all of the rights of recovery of a Beneficiary, who shall execute all papers required and shall do everything that may be necessary to secure such rights, including the execution of such documents necessary to enable the Company effectively to bring suit to enforce such rights.</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6.6    The Company shall not be liable under this Deed to make any payment in connection with any claim made by a Beneficiary to the extent the Beneficiary has otherwise received payment (under any insurance policy, the Constitution of the Company and/or (as the case may be) the Constitution of any of the Company’s Subsidiaries (including without limitation the organisational documents of SubCo), the SubCo </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60655"/>
                <wp:effectExtent l="0" t="0" r="0" b="0"/>
                <wp:wrapNone/>
                <wp:docPr id="197" name="Frame1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Indemnification Agreement or otherwise) of the amounts otherwise indemnifiable hereunder.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6.7    The Company’s obligation to indemnify or advance Expenses hereunder to a Beneficiary who is or was serving at the request of the Company as a director, officer, secretary, employee, agent or fiduciary of an Additional Enterprise shall be reduced by any amount the Beneficiary has actually received as indemnification or advancement of Expenses from such Additional Enterprise.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6.8    This Deed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or SubCo), assigns, spouses, heirs, executors and personal and legal representatives. </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6.9    If any provision of this Deed is held to be illegal, invalid or unenforceable under any present or future law, and if the rights or obligations of any party under this Deed shall be materially and adversely affected thereby, (i) such provision shall be fully severable, (ii) this Deed shall be construed and enforced as if such illegal, invalid, or unenforceable provision has never comprised a part hereof, and (iii) the remaining provisions of this Deed shall remain in full force and effect and shall not be affected by the illegal, invalid or unenforceable provision or by its severance herefrom. Further, the invalidity or unenforceability of any provision hereof as to either a Beneficiary or the Company shall in no way affect the validity or enforceability of any provision hereof as to the other. Without limiting the generality of the foregoing, this Deed is intended to confer upon a Beneficiary indemnification rights to the fullest extent permitted by law. In the event any provision hereof conflicts with any applicable law, such provision shall be deemed modified, consistent with the aforementioned intent, to the extent necessary to resolve such conflict.</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6.10    If any provision (or portion thereof) of this Deed shall be held by a court of competent jurisdiction to be invalid, void, or otherwise unenforceable, the remaining provisions shall remain enforceable to the fullest extent permitted by law. Furthermore, to the fullest extent possible, the provisions of this Deed (including, without limitation, each portion of this Deed containing any provision held to be invalid, void, or otherwise unenforceable that is not itself invalid, void or unenforceable) shall be construed so as to give effect to the intent manifested by the provision held invalid, void or unenforceable.</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6.11    This Deed shall be governed by and construed and enforced in accordance with the laws of Ireland.</w:t>
      </w:r>
    </w:p>
    <w:p>
      <w:pPr>
        <w:pStyle w:val="TextBody"/>
        <w:bidi w:val="0"/>
        <w:spacing w:lineRule="auto" w:line="288"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6.12    All notices, demands, and other communications required or permitted hereunder shall be made in writing and shall be deemed to have been duly given if (i) delivered by hand, against receipt, or (ii) when sent by confirmed electronic mail, or (iii) mailed, postage prepaid, certified or registered mail, return receipt requested, and addressed to the Company at: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Octave Intelligence plc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305 Intergraph Way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Madison, Alabama 35758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Attention:    Anthony P. Zana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60655"/>
                <wp:effectExtent l="0" t="0" r="0" b="0"/>
                <wp:wrapNone/>
                <wp:docPr id="198" name="Frame1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Sullivan &amp; Cromwell LLP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125 Broad Street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NY 10004-2498</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United States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Sullivan &amp; Cromwell LLP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 New Fetter Lane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London, EC4A 1AN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United Kingdom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Evan S. Simpson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Alan J. Fishman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Arthur Cox LLP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Ten Earlsfort Terrace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Dublin 2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Ireland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D02 T380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Maura McLaughlin</w: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And (unless otherwise notified to the Company in writing) to each Beneficiary at the address registered with the Register of Companies in respect of the Beneficiary’s appointment as a director or officer of the Company.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Notice of change of address shall be effective only when given in accordance with this Clause. All notices complying with this Clause shall be deemed to have been received on the date of hand delivery or if sent by confirmed electronic mail during normal business hours of the recipient, and if not so confirmed, then on the next business day, or on the fifth business day after mailing.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60655"/>
                <wp:effectExtent l="0" t="0" r="0" b="0"/>
                <wp:wrapNone/>
                <wp:docPr id="199" name="Frame1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190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this Deed has been executed as a Deed Poll for the benefit of each Beneficiary on the date first written above.</w:t>
      </w:r>
    </w:p>
    <w:tbl>
      <w:tblPr>
        <w:tblW w:w="6743" w:type="dxa"/>
        <w:jc w:val="left"/>
        <w:tblInd w:w="0" w:type="dxa"/>
        <w:tblLayout w:type="fixed"/>
        <w:tblCellMar>
          <w:top w:w="28" w:type="dxa"/>
          <w:left w:w="28" w:type="dxa"/>
          <w:bottom w:w="28" w:type="dxa"/>
          <w:right w:w="28" w:type="dxa"/>
        </w:tblCellMar>
      </w:tblPr>
      <w:tblGrid>
        <w:gridCol w:w="1240"/>
        <w:gridCol w:w="1088"/>
        <w:gridCol w:w="1092"/>
        <w:gridCol w:w="109"/>
        <w:gridCol w:w="109"/>
        <w:gridCol w:w="109"/>
        <w:gridCol w:w="874"/>
        <w:gridCol w:w="874"/>
        <w:gridCol w:w="876"/>
        <w:gridCol w:w="109"/>
        <w:gridCol w:w="109"/>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GIVEN</w:t>
            </w:r>
            <w:r>
              <w:rPr>
                <w:color w:val="000000"/>
              </w:rPr>
              <w:t xml:space="preserve"> </w:t>
            </w:r>
            <w:r>
              <w:rPr>
                <w:rFonts w:ascii="Times New Roman;serif" w:hAnsi="Times New Roman;serif"/>
                <w:b w:val="false"/>
                <w:color w:val="000000"/>
                <w:sz w:val="22"/>
              </w:rPr>
              <w:t>under the common seal of</w:t>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OCTAVE INTELLIGENCE PLC</w:t>
            </w:r>
          </w:p>
          <w:p>
            <w:pPr>
              <w:pStyle w:val="TableContents"/>
              <w:bidi w:val="0"/>
              <w:spacing w:lineRule="auto" w:line="288" w:before="0" w:after="0"/>
              <w:jc w:val="both"/>
              <w:rPr/>
            </w:pPr>
            <w:r>
              <w:rPr>
                <w:rFonts w:ascii="Times New Roman;serif" w:hAnsi="Times New Roman;serif"/>
                <w:b w:val="false"/>
                <w:color w:val="000000"/>
                <w:sz w:val="22"/>
              </w:rPr>
              <w:t xml:space="preserve">and </w:t>
            </w:r>
            <w:r>
              <w:rPr>
                <w:rFonts w:ascii="Times New Roman;serif" w:hAnsi="Times New Roman;serif"/>
                <w:b/>
                <w:color w:val="000000"/>
                <w:sz w:val="22"/>
              </w:rPr>
              <w:t>DELIVERED</w:t>
            </w:r>
            <w:r>
              <w:rPr>
                <w:color w:val="000000"/>
              </w:rPr>
              <w:t xml:space="preserve"> </w:t>
            </w:r>
            <w:r>
              <w:rPr>
                <w:rFonts w:ascii="Times New Roman;serif" w:hAnsi="Times New Roman;serif"/>
                <w:b w:val="false"/>
                <w:color w:val="000000"/>
                <w:sz w:val="22"/>
              </w:rPr>
              <w:t xml:space="preserve">as a </w:t>
            </w:r>
            <w:r>
              <w:rPr>
                <w:rFonts w:ascii="Times New Roman;serif" w:hAnsi="Times New Roman;serif"/>
                <w:b/>
                <w:color w:val="000000"/>
                <w:sz w:val="22"/>
              </w:rPr>
              <w:t>DEED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Duly Authorised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Duly Authorised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10.5</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60655"/>
                <wp:effectExtent l="0" t="0" r="0" b="0"/>
                <wp:wrapNone/>
                <wp:docPr id="200" name="Frame1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INDEMNIFICATION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INDEMNIFICATION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as of [          ] by and between Intergraph Corporation,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           ]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is a wholly owned subsidiary of Octave Intelligence PLC, a public limited company incorporated in Ireland (the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each of the Company and Parent recognize that directors and officers in service to corporations or business enterprises, as well as Secretaries thereof, are being increasingly subjected to expensive and time-consuming litigation relating to, among other things, matters that traditionally would have been brought only against the Company or business enterprise itself;</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it is essential to the Company and Parent to retain and attract as directors, officers and secretaries the most capable persons available and, generally speaking, highly competent persons have become more reluctant to serve corporations as directors, officers or secretaries unless they are provided with adequate protection through insurance or adequate indemnification against inordinate risks of claims and actions against them arising out of their service to and activities on behalf of the corporation;</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hereby requests that the Indemnitee continue to serve, or serve, as the case may be, as [a director][an Officer][the Secretary] of Parent;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Company hereby requests that the Indemnitee continue to serve, or serve, as the case may be, as a director, officer, secretary, agent, employee or fiduciary of one or more Additional Enterprises (as defined below) as Parent, on behalf of the Company, has designated or may from time to time designate;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By-laws of the Company, dated as of [          ] (such By-laws, as amended from time to time, the “</w:t>
      </w:r>
      <w:r>
        <w:rPr>
          <w:rFonts w:ascii="Times New Roman;serif" w:hAnsi="Times New Roman;serif"/>
          <w:b/>
          <w:color w:val="000000"/>
          <w:sz w:val="24"/>
        </w:rPr>
        <w:t>By-laws</w:t>
      </w:r>
      <w:r>
        <w:rPr>
          <w:color w:val="000000"/>
        </w:rPr>
        <w:t>”</w:t>
      </w:r>
      <w:r>
        <w:rPr>
          <w:rFonts w:ascii="Times New Roman;serif" w:hAnsi="Times New Roman;serif"/>
          <w:b w:val="false"/>
          <w:color w:val="000000"/>
          <w:sz w:val="24"/>
        </w:rPr>
        <w:t>) authorize the Company to provide indemnification of individuals serving at the request of the Company as directors, officers, employees and agents of another corporation, partnership, joint venture, trust or other enterprise and contemplate that agreements with respect to indemnification may be entered into between the Company, on the one hand, and, without limitation, such individuals, on the other hand;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light of the foregoing considerations, the board of directors of the Company (the “</w:t>
      </w:r>
      <w:r>
        <w:rPr>
          <w:rFonts w:ascii="Times New Roman;serif" w:hAnsi="Times New Roman;serif"/>
          <w:b/>
          <w:color w:val="000000"/>
          <w:sz w:val="24"/>
        </w:rPr>
        <w:t>Company Board</w:t>
      </w:r>
      <w:r>
        <w:rPr>
          <w:color w:val="000000"/>
        </w:rPr>
        <w:t>”</w:t>
      </w:r>
      <w:r>
        <w:rPr>
          <w:rFonts w:ascii="Times New Roman;serif" w:hAnsi="Times New Roman;serif"/>
          <w:b w:val="false"/>
          <w:color w:val="000000"/>
          <w:sz w:val="24"/>
        </w:rPr>
        <w:t>) has determined that it is reasonable, prudent and necessary and in the best interests of the Company and Parent, its sole stockholder, that the Company contractually obligate itself to indemnify, and to advance expenses on behalf of, Indemnitee to the fullest extent permitted by law so that they will serve, continue to serve and/or take on additional service for or on behalf of the Company, Parent, and/or Additional Enterprises, free from undue concern that they will not be so indemnified; and</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this Agreement is a supplement to and in furtherance of, without limitation, the By-laws, or the separate deed of indemnification of Parent for the benefit of Indemnitee (the “</w:t>
      </w:r>
      <w:r>
        <w:rPr>
          <w:rFonts w:ascii="Times New Roman;serif" w:hAnsi="Times New Roman;serif"/>
          <w:b/>
          <w:color w:val="000000"/>
          <w:sz w:val="24"/>
        </w:rPr>
        <w:t>Deed Poll</w:t>
      </w:r>
      <w:r>
        <w:rPr>
          <w:color w:val="000000"/>
        </w:rPr>
        <w:t>”</w:t>
      </w:r>
      <w:r>
        <w:rPr>
          <w:rFonts w:ascii="Times New Roman;serif" w:hAnsi="Times New Roman;serif"/>
          <w:b w:val="false"/>
          <w:color w:val="000000"/>
          <w:sz w:val="24"/>
        </w:rPr>
        <w:t>) and the Memorandum and Articles of Association of Parent (the “</w:t>
      </w:r>
      <w:r>
        <w:rPr>
          <w:rFonts w:ascii="Times New Roman;serif" w:hAnsi="Times New Roman;serif"/>
          <w:b/>
          <w:color w:val="000000"/>
          <w:sz w:val="24"/>
        </w:rPr>
        <w:t>Parent Articles</w:t>
      </w:r>
      <w:r>
        <w:rPr>
          <w:color w:val="000000"/>
        </w:rPr>
        <w:t>”</w:t>
      </w:r>
      <w:r>
        <w:rPr>
          <w:rFonts w:ascii="Times New Roman;serif" w:hAnsi="Times New Roman;serif"/>
          <w:b w:val="false"/>
          <w:color w:val="000000"/>
          <w:sz w:val="24"/>
        </w:rPr>
        <w:t>) and any resolutions adopted by the Company Board or board of directors of Parent (the “</w:t>
      </w:r>
      <w:r>
        <w:rPr>
          <w:rFonts w:ascii="Times New Roman;serif" w:hAnsi="Times New Roman;serif"/>
          <w:b/>
          <w:color w:val="000000"/>
          <w:sz w:val="24"/>
        </w:rPr>
        <w:t>Parent</w:t>
      </w:r>
      <w:r>
        <w:rPr>
          <w:color w:val="000000"/>
        </w:rPr>
        <w:t xml:space="preserv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and shall not be deemed a substitute therefor, nor diminish or abrogate any rights of Indemnitee to indemnification, advancement of expenses and/or insurance provided by Parent and/or certain of its affiliates.</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intending to be legally bound hereby, the parties agree, with effect from the Effective Date,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Certain Definitions and Interpretation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Definitions:</w:t>
      </w:r>
    </w:p>
    <w:p>
      <w:pPr>
        <w:pStyle w:val="TextBody"/>
        <w:bidi w:val="0"/>
        <w:spacing w:lineRule="auto" w:line="288" w:before="0" w:after="240"/>
        <w:jc w:val="both"/>
        <w:rPr/>
      </w:pPr>
      <w:r>
        <w:rPr>
          <w:color w:val="000000"/>
        </w:rPr>
        <w:t>“</w:t>
      </w:r>
      <w:r>
        <w:rPr>
          <w:rFonts w:ascii="Times New Roman;serif" w:hAnsi="Times New Roman;serif"/>
          <w:b/>
          <w:color w:val="000000"/>
          <w:sz w:val="24"/>
        </w:rPr>
        <w:t>Additional Enterprise</w:t>
      </w:r>
      <w:r>
        <w:rPr>
          <w:color w:val="000000"/>
        </w:rPr>
        <w:t xml:space="preserve">” </w:t>
      </w:r>
      <w:r>
        <w:rPr>
          <w:rFonts w:ascii="Times New Roman;serif" w:hAnsi="Times New Roman;serif"/>
          <w:b w:val="false"/>
          <w:color w:val="000000"/>
          <w:sz w:val="24"/>
        </w:rPr>
        <w:t>means any foreign or domestic corporation (other than Parent), partnership, joint venture, trust, employee benefit plan or other enterprise that Indemnitee is or was serving as a director, officer, secretary, trustee, general partner, managing member, fiduciary, board of directors’ committee member, employee or agent at the request of the Company, or Parent, or a direct or indirect subsidiary of Parent.</w:t>
      </w:r>
    </w:p>
    <w:p>
      <w:pPr>
        <w:pStyle w:val="TextBody"/>
        <w:bidi w:val="0"/>
        <w:spacing w:lineRule="auto" w:line="288" w:before="0" w:after="240"/>
        <w:jc w:val="both"/>
        <w:rPr/>
      </w:pP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except (i) a Saturday or a Sunday, or (ii) any other day on which commercial banking institutions in the State of Delaware are authorized or directed by law to close.</w:t>
      </w:r>
    </w:p>
    <w:p>
      <w:pPr>
        <w:pStyle w:val="TextBody"/>
        <w:bidi w:val="0"/>
        <w:spacing w:lineRule="auto" w:line="288" w:before="0" w:after="240"/>
        <w:jc w:val="both"/>
        <w:rPr/>
      </w:pPr>
      <w:r>
        <w:rPr>
          <w:color w:val="000000"/>
        </w:rPr>
        <w:t>“</w:t>
      </w:r>
      <w:r>
        <w:rPr>
          <w:rFonts w:ascii="Times New Roman;serif" w:hAnsi="Times New Roman;serif"/>
          <w:b/>
          <w:color w:val="000000"/>
          <w:sz w:val="24"/>
        </w:rPr>
        <w:t>By-laws</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Board</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Corporate Status</w:t>
      </w:r>
      <w:r>
        <w:rPr>
          <w:color w:val="000000"/>
        </w:rPr>
        <w:t xml:space="preserve">” </w:t>
      </w:r>
      <w:r>
        <w:rPr>
          <w:rFonts w:ascii="Times New Roman;serif" w:hAnsi="Times New Roman;serif"/>
          <w:b w:val="false"/>
          <w:color w:val="000000"/>
          <w:sz w:val="24"/>
        </w:rPr>
        <w:t>describes the status of a person who is or was a director, Officer or the Secretary of Parent or a director, officer, secretary, employee, agent or fiduciary of an Additional Enterprise, as applicable.</w:t>
      </w:r>
    </w:p>
    <w:p>
      <w:pPr>
        <w:pStyle w:val="TextBody"/>
        <w:bidi w:val="0"/>
        <w:spacing w:lineRule="auto" w:line="288" w:before="0" w:after="240"/>
        <w:jc w:val="both"/>
        <w:rPr/>
      </w:pPr>
      <w:r>
        <w:rPr>
          <w:color w:val="000000"/>
        </w:rPr>
        <w:t>“</w:t>
      </w:r>
      <w:r>
        <w:rPr>
          <w:rFonts w:ascii="Times New Roman;serif" w:hAnsi="Times New Roman;serif"/>
          <w:b/>
          <w:color w:val="000000"/>
          <w:sz w:val="24"/>
        </w:rPr>
        <w:t>Deed Poll</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Delaware Court</w:t>
      </w:r>
      <w:r>
        <w:rPr>
          <w:color w:val="000000"/>
        </w:rPr>
        <w:t xml:space="preserve">” </w:t>
      </w:r>
      <w:r>
        <w:rPr>
          <w:rFonts w:ascii="Times New Roman;serif" w:hAnsi="Times New Roman;serif"/>
          <w:b w:val="false"/>
          <w:color w:val="000000"/>
          <w:sz w:val="24"/>
        </w:rPr>
        <w:t>has the meaning given to such term in Section 15 (</w:t>
      </w:r>
      <w:r>
        <w:rPr>
          <w:rFonts w:ascii="Times New Roman;serif" w:hAnsi="Times New Roman;serif"/>
          <w:b w:val="false"/>
          <w:i/>
          <w:color w:val="000000"/>
          <w:sz w:val="24"/>
        </w:rPr>
        <w:t>Governing Law and Consent to Jurisdiction</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DGCL</w:t>
      </w:r>
      <w:r>
        <w:rPr>
          <w:color w:val="000000"/>
        </w:rPr>
        <w:t xml:space="preserve">” </w:t>
      </w:r>
      <w:r>
        <w:rPr>
          <w:rFonts w:ascii="Times New Roman;serif" w:hAnsi="Times New Roman;serif"/>
          <w:b w:val="false"/>
          <w:color w:val="000000"/>
          <w:sz w:val="24"/>
        </w:rPr>
        <w:t>has the meaning given to such term in Section 4 (</w:t>
      </w:r>
      <w:r>
        <w:rPr>
          <w:rFonts w:ascii="Times New Roman;serif" w:hAnsi="Times New Roman;serif"/>
          <w:b w:val="false"/>
          <w:i/>
          <w:color w:val="000000"/>
          <w:sz w:val="24"/>
        </w:rPr>
        <w:t>Indemnification Process and Appeal</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means [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has the meaning given to such term in Section 2(e)(2) (</w:t>
      </w:r>
      <w:r>
        <w:rPr>
          <w:rFonts w:ascii="Times New Roman;serif" w:hAnsi="Times New Roman;serif"/>
          <w:b w:val="false"/>
          <w:i/>
          <w:color w:val="000000"/>
          <w:sz w:val="24"/>
        </w:rPr>
        <w:t>Prohibited Indemnification</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Expenses</w:t>
      </w:r>
      <w:r>
        <w:rPr>
          <w:color w:val="000000"/>
        </w:rPr>
        <w:t xml:space="preserve">” </w:t>
      </w:r>
      <w:r>
        <w:rPr>
          <w:rFonts w:ascii="Times New Roman;serif" w:hAnsi="Times New Roman;serif"/>
          <w:b w:val="false"/>
          <w:color w:val="000000"/>
          <w:sz w:val="24"/>
        </w:rPr>
        <w:t>shall include all reasonable attorneys’ fees, retainers, court costs, transcript costs, fees of experts, witness fees, travel expenses, duplicating costs, printing and binding costs, telephone charges, postage, delivery service fees, and any federal, state, local or foreign taxes imposed on the Indemnitee as a result of the actual or deemed receipt of any payments under this Agreement, excise taxes and related penalties, and all other reasonable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any such expenses incurred in connection with any appeal resulting from any Proceeding and any federal state, local or foreign taxes imposed on Indemnitee as a result of the actual or deemed receipt of any payments under this Agreement, including, without limitation, the premium, security for, and other costs relating to any cost bond, supersedeas bond, or other appeal bond or its equivalent, (ii) any such expenses incurred in connection with recovery under any directors’ and officers’ liability insurance policies maintained by Parent, the Company or the applicable Additional Enterprise, regardless of whether Indemnitee is ultimately determined to be entitled to such indemnification, advancement or expenses or insurance recovery, as the case may be, and (iii) for purposes of Section 4(g) (</w:t>
      </w:r>
      <w:r>
        <w:rPr>
          <w:rFonts w:ascii="Times New Roman;serif" w:hAnsi="Times New Roman;serif"/>
          <w:b w:val="false"/>
          <w:i/>
          <w:color w:val="000000"/>
          <w:sz w:val="24"/>
        </w:rPr>
        <w:t>Adjudication</w:t>
      </w:r>
      <w:r>
        <w:rPr>
          <w:rFonts w:ascii="Times New Roman;serif" w:hAnsi="Times New Roman;serif"/>
          <w:b w:val="false"/>
          <w:color w:val="000000"/>
          <w:sz w:val="24"/>
        </w:rPr>
        <w:t>) only, any such expenses incurred by Indemnitee in connection with the interpretation, enforcement or defense of Indemnitee’s rights under this Agreement, the By-laws or under any directors’ and officers’ liability insurance policies maintained by Parent, by litigation or otherwise.</w:t>
      </w:r>
    </w:p>
    <w:p>
      <w:pPr>
        <w:pStyle w:val="TextBody"/>
        <w:bidi w:val="0"/>
        <w:spacing w:lineRule="auto" w:line="288" w:before="0" w:after="240"/>
        <w:jc w:val="both"/>
        <w:rPr/>
      </w:pPr>
      <w:r>
        <w:rPr>
          <w:color w:val="000000"/>
        </w:rPr>
        <w:t>“</w:t>
      </w:r>
      <w:r>
        <w:rPr>
          <w:rFonts w:ascii="Times New Roman;serif" w:hAnsi="Times New Roman;serif"/>
          <w:b/>
          <w:color w:val="000000"/>
          <w:sz w:val="24"/>
        </w:rPr>
        <w:t>Indemnitee</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Independent Counsel</w:t>
      </w:r>
      <w:r>
        <w:rPr>
          <w:color w:val="000000"/>
        </w:rPr>
        <w:t xml:space="preserve">” </w:t>
      </w:r>
      <w:r>
        <w:rPr>
          <w:rFonts w:ascii="Times New Roman;serif" w:hAnsi="Times New Roman;serif"/>
          <w:b w:val="false"/>
          <w:color w:val="000000"/>
          <w:sz w:val="24"/>
        </w:rPr>
        <w:t xml:space="preserve">means a law firm, or a member of a law firm, that is experienced in matters of corporation law and neither at present is, nor within the five (5) years prior to appointment hereunder has been, retained to represent (i) the Company, Parent, relevant Additional Enterprise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Parent or Indemnitee in an action to determine Indemnitee’s rights under this Agreement. </w:t>
      </w:r>
    </w:p>
    <w:p>
      <w:pPr>
        <w:pStyle w:val="TextBody"/>
        <w:bidi w:val="0"/>
        <w:spacing w:lineRule="auto" w:line="288" w:before="0" w:after="240"/>
        <w:jc w:val="both"/>
        <w:rPr/>
      </w:pPr>
      <w:r>
        <w:rPr>
          <w:color w:val="000000"/>
        </w:rPr>
        <w:t>“</w:t>
      </w:r>
      <w:r>
        <w:rPr>
          <w:rFonts w:ascii="Times New Roman;serif" w:hAnsi="Times New Roman;serif"/>
          <w:b/>
          <w:color w:val="000000"/>
          <w:sz w:val="24"/>
        </w:rPr>
        <w:t>Officer</w:t>
      </w:r>
      <w:r>
        <w:rPr>
          <w:color w:val="000000"/>
        </w:rPr>
        <w:t xml:space="preserve">” </w:t>
      </w:r>
      <w:r>
        <w:rPr>
          <w:rFonts w:ascii="Times New Roman;serif" w:hAnsi="Times New Roman;serif"/>
          <w:b w:val="false"/>
          <w:color w:val="000000"/>
          <w:sz w:val="24"/>
        </w:rPr>
        <w:t xml:space="preserve">means “executive officer” as defined in Rule 3b-7 of the Exchange Act. </w:t>
      </w:r>
    </w:p>
    <w:p>
      <w:pPr>
        <w:pStyle w:val="TextBody"/>
        <w:bidi w:val="0"/>
        <w:spacing w:lineRule="auto" w:line="288" w:before="0" w:after="240"/>
        <w:jc w:val="both"/>
        <w:rPr/>
      </w:pPr>
      <w:r>
        <w:rPr>
          <w:color w:val="000000"/>
        </w:rPr>
        <w:t>“</w:t>
      </w:r>
      <w:r>
        <w:rPr>
          <w:rFonts w:ascii="Times New Roman;serif" w:hAnsi="Times New Roman;serif"/>
          <w:b/>
          <w:color w:val="000000"/>
          <w:sz w:val="24"/>
        </w:rPr>
        <w:t>Parent</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Parent Articles</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Parent Board</w:t>
      </w:r>
      <w:r>
        <w:rPr>
          <w:color w:val="000000"/>
        </w:rPr>
        <w:t xml:space="preserve">” </w:t>
      </w:r>
      <w:r>
        <w:rPr>
          <w:rFonts w:ascii="Times New Roman;serif" w:hAnsi="Times New Roman;serif"/>
          <w:b w:val="false"/>
          <w:color w:val="000000"/>
          <w:sz w:val="24"/>
        </w:rPr>
        <w:t>has the meaning given to such term in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Proceeding</w:t>
      </w:r>
      <w:r>
        <w:rPr>
          <w:color w:val="000000"/>
        </w:rPr>
        <w:t xml:space="preserve">” </w:t>
      </w:r>
      <w:r>
        <w:rPr>
          <w:rFonts w:ascii="Times New Roman;serif" w:hAnsi="Times New Roman;serif"/>
          <w:b w:val="false"/>
          <w:color w:val="000000"/>
          <w:sz w:val="24"/>
        </w:rPr>
        <w:t>means (i) any threatened, pending or completed action, suit, litigation, claim, counterclaim, cross claim, arbitration, mediation, alternate dispute resolution mechanism, investigation, inquiry, administrative hearing or any other actual, threatened or completed proceeding, whether brought by or in the right of the Company, Parent or the applicable Additional Enterprise, as the case may be, or otherwise and whether civil, criminal, administrative or investigative, including any appeal therefrom, in which Indemnitee was, is or will be involved as a party or otherwise, by reason of Indemnitee’s Corporate Status, by reason of any action taken by Indemnitee, or of any inaction on Indemnitee’s part, while acting in Indemnitee’s Corporate Status and (ii) any inquiry, hearing, tribunal or investigation, whether conducted by Company, Parent or any other party, that Indemnitee in good faith believes might lead to (A) the institution of any action, suit, litigation, proceeding, arbitration or alternative dispute resolution mechanism (whether civil, criminal, administrative, investigative or other); or (B) adverse consequences or findings in respect of the Indemnitee; in each case whether or not Indemnitee is acting or serving in any such capacity at the time any liability or Expense is incurred for which indemnification, reimbursement or advancement of Expenses can be provided under this Agreement (including, without limitation, all liability arising out of the negligence or active or passive wrongdoing of Indemnitee). The definition of “Proceeding” shall include any such proceeding pending on or before the Effective Date of this Agreement but shall exclude one initiated by an Indemnitee pursuant to Section 4(g) (</w:t>
      </w:r>
      <w:r>
        <w:rPr>
          <w:rFonts w:ascii="Times New Roman;serif" w:hAnsi="Times New Roman;serif"/>
          <w:b w:val="false"/>
          <w:i/>
          <w:color w:val="000000"/>
          <w:sz w:val="24"/>
        </w:rPr>
        <w:t>Adjudication</w:t>
      </w:r>
      <w:r>
        <w:rPr>
          <w:rFonts w:ascii="Times New Roman;serif" w:hAnsi="Times New Roman;serif"/>
          <w:b w:val="false"/>
          <w:color w:val="000000"/>
          <w:sz w:val="24"/>
        </w:rPr>
        <w:t>) of this Agreement to enforce Indemnitee’s rights under this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Sarbanes-Oxley Act</w:t>
      </w:r>
      <w:r>
        <w:rPr>
          <w:color w:val="000000"/>
        </w:rPr>
        <w:t xml:space="preserve">” </w:t>
      </w:r>
      <w:r>
        <w:rPr>
          <w:rFonts w:ascii="Times New Roman;serif" w:hAnsi="Times New Roman;serif"/>
          <w:b w:val="false"/>
          <w:color w:val="000000"/>
          <w:sz w:val="24"/>
        </w:rPr>
        <w:t>has the meaning given to such term in Section 2(e)(2) (</w:t>
      </w:r>
      <w:r>
        <w:rPr>
          <w:rFonts w:ascii="Times New Roman;serif" w:hAnsi="Times New Roman;serif"/>
          <w:b w:val="false"/>
          <w:i/>
          <w:color w:val="000000"/>
          <w:sz w:val="24"/>
        </w:rPr>
        <w:t>Prohibited Indemnification</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Secretary</w:t>
      </w:r>
      <w:r>
        <w:rPr>
          <w:color w:val="000000"/>
        </w:rPr>
        <w:t xml:space="preserve">” </w:t>
      </w:r>
      <w:r>
        <w:rPr>
          <w:rFonts w:ascii="Times New Roman;serif" w:hAnsi="Times New Roman;serif"/>
          <w:b w:val="false"/>
          <w:color w:val="000000"/>
          <w:sz w:val="24"/>
        </w:rPr>
        <w:t>means the corporate secretary of an entity.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Interpretation</w:t>
      </w:r>
      <w:r>
        <w:rPr>
          <w:rFonts w:ascii="Times New Roman;serif" w:hAnsi="Times New Roman;serif"/>
          <w:b w:val="false"/>
          <w:color w:val="000000"/>
          <w:sz w:val="24"/>
        </w:rPr>
        <w:t>. In this Agreement unless otherwise specified: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references to Section are to clauses of this Agreement;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a reference to any statute or statutory provision or statutory instrument shall be construed as a reference to the same as it may have been, or may from time to time be, amended, modified, or re-enacted;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3.    references to a “person” shall be construed so as to include any individual, firm, company, government, state or agency of a federal, state, local or municipal authority or government body or any joint venture, association or partnership (whether or not having separate legal personality);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the headings of the paragraphs of this Agreement are inserted for convenience only and shall not be deemed to constitute part of this Agreement or to affect the construction thereof;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5.    words importing the singular number include the plural and vice versa, words importing any gender include all genders, the term “including” means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without limiting the generality of the foregoing” and the term “third party” means any person other than the Parent, the Company, an Additional Enterprise and the Indemnitee.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D&amp;O Insurance and Agreement to Indemnify</w:t>
      </w:r>
      <w:r>
        <w:rPr>
          <w:rFonts w:ascii="Times New Roman;serif" w:hAnsi="Times New Roman;serif"/>
          <w:b w:val="false"/>
          <w:color w:val="000000"/>
          <w:sz w:val="24"/>
        </w:rPr>
        <w:t>. The Company hereby agrees to hold harmless and indemnify Indemnitee to the fullest extent permitted by law, as such may be amended from time to time. In furtherance of the foregoing indemnification, and without limiting the generality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General Agreement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Proceedings Other Than Proceedings by or in the Right of Parent,</w:t>
      </w:r>
      <w:r>
        <w:rPr>
          <w:color w:val="000000"/>
        </w:rPr>
        <w:t xml:space="preserve"> </w:t>
      </w:r>
      <w:r>
        <w:rPr>
          <w:rFonts w:ascii="Times New Roman;serif" w:hAnsi="Times New Roman;serif"/>
          <w:b w:val="false"/>
          <w:color w:val="000000"/>
          <w:sz w:val="24"/>
          <w:u w:val="single"/>
        </w:rPr>
        <w:t>the Company or Additional Enterprise</w:t>
      </w:r>
      <w:r>
        <w:rPr>
          <w:rFonts w:ascii="Times New Roman;serif" w:hAnsi="Times New Roman;serif"/>
          <w:b w:val="false"/>
          <w:color w:val="000000"/>
          <w:sz w:val="24"/>
        </w:rPr>
        <w:t>. Indemnitee shall be entitled to the rights of indemnification provided in this Section 2(a)(1) if, by reason of, in whole or in part (or arising in whole or in part out of), Indemnitee’s Corporate Status, the Indemnitee was, is, becomes or is threatened to be made, a party to or other participant in any Proceeding, other than a Proceeding by or in the right of Parent, the Company or the applicable Additional Enterprise, as the case may be. Pursuant to this Section 2(a)(1), Indemnitee shall be indemnified against all Expenses, judgments, fines and amounts paid in settlement actually and reasonably incurred by Indemnitee, or on Indemnitee’s behalf, in connection with such Proceeding or any claim, issue or matter therein, if the Indemnitee acted in good faith and in a manner the Indemnitee reasonably believed to be in or not opposed to the best interests of Parent, the Company or the applicable Additional Enterprise, as the case may be, and with respect to any criminal proceeding, had no reasonable cause to believe the Indemnitee’s conduct was unlawful.</w:t>
      </w:r>
    </w:p>
    <w:p>
      <w:pPr>
        <w:pStyle w:val="TextBody"/>
        <w:bidi w:val="0"/>
        <w:spacing w:lineRule="auto" w:line="288" w:before="0" w:after="240"/>
        <w:ind w:left="0" w:right="0" w:firstLine="216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Proceedings by or in the Right of the Parent, the Company or</w:t>
      </w:r>
      <w:r>
        <w:rPr>
          <w:color w:val="000000"/>
        </w:rPr>
        <w:t xml:space="preserve"> </w:t>
      </w:r>
      <w:r>
        <w:rPr>
          <w:rFonts w:ascii="Times New Roman;serif" w:hAnsi="Times New Roman;serif"/>
          <w:b w:val="false"/>
          <w:color w:val="000000"/>
          <w:sz w:val="24"/>
          <w:u w:val="single"/>
        </w:rPr>
        <w:t>Additional Enterprise</w:t>
      </w:r>
      <w:r>
        <w:rPr>
          <w:rFonts w:ascii="Times New Roman;serif" w:hAnsi="Times New Roman;serif"/>
          <w:b w:val="false"/>
          <w:color w:val="000000"/>
          <w:sz w:val="24"/>
        </w:rPr>
        <w:t xml:space="preserve">. Indemnitee shall be entitled to the rights of indemnification provided in this Section 2(a)(2) if, by reason of, in whole or in part (or arising in whole or in part out of), Indemnitee’s Corporate Status, the Indemnitee is, or is threatened to be made, a party to or participant in any Proceeding brought by or in the right of Parent, the Company or the applicable Additional Enterprise, as the case may be. Pursuant to this Section 2(a)(2),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Parent, the Company or the applicable Additional Enterprise, as the case may be; </w:t>
      </w:r>
      <w:r>
        <w:rPr>
          <w:rFonts w:ascii="Times New Roman;serif" w:hAnsi="Times New Roman;serif"/>
          <w:b w:val="false"/>
          <w:i/>
          <w:color w:val="000000"/>
          <w:sz w:val="24"/>
        </w:rPr>
        <w:t>provided, however</w:t>
      </w:r>
      <w:r>
        <w:rPr>
          <w:rFonts w:ascii="Times New Roman;serif" w:hAnsi="Times New Roman;serif"/>
          <w:b w:val="false"/>
          <w:color w:val="000000"/>
          <w:sz w:val="24"/>
        </w:rPr>
        <w:t>, that if applicable law so provides, no indemnification against such Expenses shall be made in respect of any claim, issue or matter in such Proceeding as to which Indemnitee shall have been adjudged to be liable to Parent, the Company or the applicable Additional Enterprise unless and to the extent that the court in which such Proceeding was brought shall determine upon application that, despite the adjudication of liability but in view of all the circumstances of the case, such person is fairly and reasonably entitled to indemnity for such Expenses which such court shall deem proper.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Indemnification for Expenses of a Witness</w:t>
      </w:r>
      <w:r>
        <w:rPr>
          <w:rFonts w:ascii="Times New Roman;serif" w:hAnsi="Times New Roman;serif"/>
          <w:b w:val="false"/>
          <w:color w:val="000000"/>
          <w:sz w:val="24"/>
        </w:rPr>
        <w:t xml:space="preserve">. Notwithstanding any other provision of this Agreement, to the extent that Indemnitee is, by reason of, in whole or in part (or arising in whole or in part out of), Indemnitee’s Corporate Status, a witness, or is made (or asked) to respond to discovery requests, in any Proceeding to which Indemnitee is not a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party, Indemnitee shall be indemnified by the Company against all Expenses actually and reasonably incurred by Indemnitee, or on Indemnitee’s behalf, in connection therewith.</w:t>
      </w:r>
    </w:p>
    <w:p>
      <w:pPr>
        <w:pStyle w:val="TextBody"/>
        <w:bidi w:val="0"/>
        <w:spacing w:lineRule="auto" w:line="288" w:before="0" w:after="240"/>
        <w:ind w:left="0" w:right="0" w:firstLine="216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Information</w:t>
      </w:r>
      <w:r>
        <w:rPr>
          <w:rFonts w:ascii="Times New Roman;serif" w:hAnsi="Times New Roman;serif"/>
          <w:b w:val="false"/>
          <w:color w:val="000000"/>
          <w:sz w:val="24"/>
        </w:rPr>
        <w:t>. In connection with any Proceeding to which the Indemnitee is entitled to indemnification by the Company hereunder, the Company shall provide the Indemnitee with such reasonable assistance including reasonable access rights to information, documents and records of the Company as is reasonably necessary to enable the Indemnitee to prepare for and/or defend themselves against any such Proceeding (subject to any legally binding obligations of confidentiality undertaken by the Company to any third parties, and provided that the Company shall not be obliged to disclose commercially sensitive information to the Indemnitee if he or is no longer a director, officer, secretary or employee of the Company, the Parent or an Additional Enterprise, as the case may be).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Liability Insurance.</w:t>
      </w:r>
      <w:r>
        <w:rPr>
          <w:color w:val="000000"/>
        </w:rPr>
        <w:t xml:space="preserve"> </w:t>
      </w:r>
      <w:r>
        <w:rPr>
          <w:rFonts w:ascii="Times New Roman;serif" w:hAnsi="Times New Roman;serif"/>
          <w:b w:val="false"/>
          <w:color w:val="000000"/>
          <w:sz w:val="24"/>
        </w:rPr>
        <w:t xml:space="preserve">To the extent that Parent, Company or the applicable Additional Enterprise maintains an insurance policy or policies providing liability insurance for directors, officers, secretaries, employees, agents or fiduciaries of Parent, any of its subsidiaries, including the Company, or any Additional Enterprise that such person serves at the request of the Company, Indemnitee shall be covered by such policy or policies in accordance with its or their terms to the maximum extent of the coverage available for any director, officer, secretary, employee, agent or fiduciary under such policy or policies.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Mandatory Indemnification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1.    Notwithstanding any other provision of this Agreement, to the extent that Indemnitee is, by reason of, in whole or in part (or arising in whole or in part out of), Indemnitee’s Corporate Status, a party to (or participant in) and is successful, on the merits or otherwise, in any Proceeding, Indemnitee shall be indemnified by the Company to the maximum extent permitted by law, as such may be amended from time to time, against all Expenses actually and reasonably incurred by Indemnitee, or on Indemnitee’s behalf, in connection therewith.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3.    For purposes of this </w:t>
      </w:r>
      <w:r>
        <w:rPr>
          <w:rFonts w:ascii="Times New Roman;serif" w:hAnsi="Times New Roman;serif"/>
          <w:b w:val="false"/>
          <w:color w:val="000000"/>
          <w:sz w:val="24"/>
          <w:u w:val="single"/>
        </w:rPr>
        <w:t>Section 4(c)</w:t>
      </w:r>
      <w:r>
        <w:rPr>
          <w:color w:val="000000"/>
        </w:rPr>
        <w:t xml:space="preserve"> </w:t>
      </w:r>
      <w:r>
        <w:rPr>
          <w:rFonts w:ascii="Times New Roman;serif" w:hAnsi="Times New Roman;serif"/>
          <w:b w:val="false"/>
          <w:color w:val="000000"/>
          <w:sz w:val="24"/>
        </w:rPr>
        <w:t>and without limitation, the termination of any claim, issue or matter in such a Proceeding by dismissal, with or without prejudice, shall be deemed to be a successful result as to such claim, issue or matter.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Partial Indemnification</w:t>
      </w:r>
      <w:r>
        <w:rPr>
          <w:rFonts w:ascii="Times New Roman;serif" w:hAnsi="Times New Roman;serif"/>
          <w:b w:val="false"/>
          <w:color w:val="000000"/>
          <w:sz w:val="24"/>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 including, but not limited to successfully resolved claims in any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Prohibited Indemnification</w:t>
      </w:r>
      <w:r>
        <w:rPr>
          <w:rFonts w:ascii="Times New Roman;serif" w:hAnsi="Times New Roman;serif"/>
          <w:b w:val="false"/>
          <w:color w:val="000000"/>
          <w:sz w:val="24"/>
        </w:rPr>
        <w:t>. Notwithstanding any provision in this Agreement, the Company shall not be obligated under this Agreement to make any indemnity in connection with any claim made against Indemnitee: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1.    for which payment has actually been made to or on behalf of Indemnitee under any insurance policy or other indemnity provision, except with respect to any excess beyond the amount paid under any such insurance policy or other indemnity provision,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the foregoing shall not affect the rights of Indemnitee;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2.    for (i) an accounting of profits made from the purchase and sale (or sale and purchase) by Indemnitee of securities of the Company within the meaning of Section 16(b) of the Securities Exchange Act of 1934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as amended,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serif" w:hAnsi="Times New Roman;serif"/>
          <w:b/>
          <w:color w:val="000000"/>
          <w:sz w:val="24"/>
        </w:rPr>
        <w:t>Sarbanes-Oxley Act</w:t>
      </w:r>
      <w:r>
        <w:rPr>
          <w:color w:val="000000"/>
        </w:rPr>
        <w:t>”</w:t>
      </w:r>
      <w:r>
        <w:rPr>
          <w:rFonts w:ascii="Times New Roman;serif" w:hAnsi="Times New Roman;serif"/>
          <w:b w:val="false"/>
          <w:color w:val="000000"/>
          <w:sz w:val="24"/>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Parent or the compensation committee of the Parent Board, including but not limited to any such policy adopted to comply with stock exchange listing requirements implementing Section 10D of the Exchange Act;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3.    in connection with any Proceeding (or any part of any Proceeding) initiated by Indemnitee, including any Proceeding (or any part of any Proceeding) initiated by Indemnitee against Parent, any of its subsidiaries and/or any Additional Enterprise, or any director, officer, secretary, agent, employee, fiduciary or other indemnitee of such entities, unless (i) the Parent Board or the Additional Enterprise, as the case may be, authorized the Proceeding (or any part of any Proceeding) prior to its initiation, (ii) such indemnity payment arises in connection with any mandatory counterclaim or cross claim brought or raised by Indemnitee in any Proceeding (or any part of any Proceeding), (iii) the Proceeding is initiated by Indemnitee pursuant to Indemnitee’s rights under Section 4(g) (</w:t>
      </w:r>
      <w:r>
        <w:rPr>
          <w:rFonts w:ascii="Times New Roman;serif" w:hAnsi="Times New Roman;serif"/>
          <w:b w:val="false"/>
          <w:i/>
          <w:color w:val="000000"/>
          <w:sz w:val="24"/>
        </w:rPr>
        <w:t>Adjudication</w:t>
      </w:r>
      <w:r>
        <w:rPr>
          <w:rFonts w:ascii="Times New Roman;serif" w:hAnsi="Times New Roman;serif"/>
          <w:b w:val="false"/>
          <w:color w:val="000000"/>
          <w:sz w:val="24"/>
        </w:rPr>
        <w:t xml:space="preserve">) of this Agreement or (iv) the Company elects to provide the indemnification pursuant to the powers vested in the Company under applicable law; or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if a court of competent jurisdiction by a final and non-appealable judgment, shall determine that such indemnification is not permitted under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Expenses Advances</w:t>
      </w:r>
      <w:r>
        <w:rPr>
          <w:rFonts w:ascii="Times New Roman;serif" w:hAnsi="Times New Roman;serif"/>
          <w:b w:val="false"/>
          <w:color w:val="000000"/>
          <w:sz w:val="24"/>
        </w:rPr>
        <w:t xml:space="preserve">. Notwithstanding any other provision of this Agreement but subject to the last sentence of this </w:t>
      </w:r>
      <w:r>
        <w:rPr>
          <w:rFonts w:ascii="Times New Roman;serif" w:hAnsi="Times New Roman;serif"/>
          <w:b w:val="false"/>
          <w:color w:val="000000"/>
          <w:sz w:val="24"/>
          <w:u w:val="single"/>
        </w:rPr>
        <w:t>Section 2(f)</w:t>
      </w:r>
      <w:r>
        <w:rPr>
          <w:rFonts w:ascii="Times New Roman;serif" w:hAnsi="Times New Roman;serif"/>
          <w:b w:val="false"/>
          <w:color w:val="000000"/>
          <w:sz w:val="24"/>
        </w:rPr>
        <w:t xml:space="preserve">, upon receipt of an undertaking by or on behalf of Indemnitee to repay such amounts if it shall ultimately be determined that Indemnitee is not entitled to be indemnified by the Company, the Company shall advance all Expenses actually and reasonably incurred by or on behalf of Indemnitee in connection with any Proceeding by reason of Indemnitee’s Corporate Status within thirty (30) days after the receipt by the Company of a statement or statements from Indemnitee requesting such advance or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advances from time to time, whether prior to or after final disposition of such Proceeding. Such statement or statements shall reasonably evidence the Expenses incurred by Indemnitee. Any advances and undertakings to repay pursuant to this </w:t>
      </w:r>
      <w:r>
        <w:rPr>
          <w:rFonts w:ascii="Times New Roman;serif" w:hAnsi="Times New Roman;serif"/>
          <w:b w:val="false"/>
          <w:color w:val="000000"/>
          <w:sz w:val="24"/>
          <w:u w:val="single"/>
        </w:rPr>
        <w:t>Section 2(f)</w:t>
      </w:r>
      <w:r>
        <w:rPr>
          <w:color w:val="000000"/>
        </w:rPr>
        <w:t xml:space="preserve"> </w:t>
      </w:r>
      <w:r>
        <w:rPr>
          <w:rFonts w:ascii="Times New Roman;serif" w:hAnsi="Times New Roman;serif"/>
          <w:b w:val="false"/>
          <w:color w:val="000000"/>
          <w:sz w:val="24"/>
        </w:rPr>
        <w:t xml:space="preserve">shall be unsecured and interest free and not conditioned on Indemnitee’s ability to repay such advances. This </w:t>
      </w:r>
      <w:r>
        <w:rPr>
          <w:rFonts w:ascii="Times New Roman;serif" w:hAnsi="Times New Roman;serif"/>
          <w:b w:val="false"/>
          <w:color w:val="000000"/>
          <w:sz w:val="24"/>
          <w:u w:val="single"/>
        </w:rPr>
        <w:t>Section 2(f)</w:t>
      </w:r>
      <w:r>
        <w:rPr>
          <w:color w:val="000000"/>
        </w:rPr>
        <w:t xml:space="preserve"> </w:t>
      </w:r>
      <w:r>
        <w:rPr>
          <w:rFonts w:ascii="Times New Roman;serif" w:hAnsi="Times New Roman;serif"/>
          <w:b w:val="false"/>
          <w:color w:val="000000"/>
          <w:sz w:val="24"/>
        </w:rPr>
        <w:t>shall not apply to any claim made by Indemnitee for which indemnity is excluded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Exhaustion of Remedies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Prior to making written demand on the Company for indemnification pursuant to this Agreement or making a request for the advancement of Expenses pursuant to </w:t>
      </w:r>
      <w:r>
        <w:rPr>
          <w:rFonts w:ascii="Times New Roman;serif" w:hAnsi="Times New Roman;serif"/>
          <w:b w:val="false"/>
          <w:color w:val="000000"/>
          <w:sz w:val="24"/>
          <w:u w:val="single"/>
        </w:rPr>
        <w:t>Section 2(f)</w:t>
      </w:r>
      <w:r>
        <w:rPr>
          <w:rFonts w:ascii="Times New Roman;serif" w:hAnsi="Times New Roman;serif"/>
          <w:b w:val="false"/>
          <w:color w:val="000000"/>
          <w:sz w:val="24"/>
        </w:rPr>
        <w:t>, Indemnitee shall first seek such indemnification or advancement of Expenses, as applicable, from the applicable Additional Enterprise and/or under any applicable insurance policy of the applicable Additional Enterprise.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If such indemnification or advancement of Expenses, as applicable, is not available to Indemnitee from the applicable Additional Enterprise, Indemnitee shall seek such indemnification or advancement of Expenses, as applicable, under the Deed Poll and/or under any applicable insurance policy of Parent and, to the extent unavailable thereunder, request that Parent consider in its discretion whether to make such indemnification or advancement of Expenses, as applicable. Indemnitee acknowledges that Parent may require, as a condition to making any indemnification or advancing Expenses, as applicable, that Indemnitee enter into an agreement providing for such indemnification or advancement of Expenses, as applicable, to be made subject to substantially the same terms and conditions applicable to an indemnification or advancement of Expenses, as applicable, by the Company hereunder (including, without limitation, conditioning any advancement of Expenses upon delivery to Parent of an undertaking of the type described in the first sentence of </w:t>
      </w:r>
      <w:r>
        <w:rPr>
          <w:rFonts w:ascii="Times New Roman;serif" w:hAnsi="Times New Roman;serif"/>
          <w:b w:val="false"/>
          <w:color w:val="000000"/>
          <w:sz w:val="24"/>
          <w:u w:val="single"/>
        </w:rPr>
        <w:t>Section 2(f)</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In the event that requests for indemnification or advancement of Expenses, as applicable, made by Indemnitee pursuant to Section 3(a) and Section 3(b) are refused, or in the event that an agreement to pay indemnification or advancement of such Expenses is not received within thirty (30) days of the latest request of Indemnitee of the applicable insurer or entity and Indemnitee’s request of the applicable Additional Enterprise or Parent as provided in Section 3(a) and Section 3(b), Indemnitee may make written demand on the Company for indemnification or request for the advancement of Expenses pursuant to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Indemnification Process and Appeal</w:t>
      </w:r>
      <w:r>
        <w:rPr>
          <w:rFonts w:ascii="Times New Roman;serif" w:hAnsi="Times New Roman;serif"/>
          <w:b w:val="false"/>
          <w:color w:val="000000"/>
          <w:sz w:val="24"/>
        </w:rPr>
        <w:t>. It is the intent of this Agreement to secure for Indemnitee rights of indemnity that are as favorable as may be permitted under the General Corporation Law of the State of Delaware (“</w:t>
      </w:r>
      <w:r>
        <w:rPr>
          <w:rFonts w:ascii="Times New Roman;serif" w:hAnsi="Times New Roman;serif"/>
          <w:b/>
          <w:color w:val="000000"/>
          <w:sz w:val="24"/>
        </w:rPr>
        <w:t>DGCL</w:t>
      </w:r>
      <w:r>
        <w:rPr>
          <w:color w:val="000000"/>
        </w:rPr>
        <w:t>”</w:t>
      </w:r>
      <w:r>
        <w:rPr>
          <w:rFonts w:ascii="Times New Roman;serif" w:hAnsi="Times New Roman;serif"/>
          <w:b w:val="false"/>
          <w:color w:val="000000"/>
          <w:sz w:val="24"/>
        </w:rPr>
        <w:t>) and public policy of the State of Delaware. Accordingly, the parties agree that the following procedures and presumptions shall apply in the event of any question as to whether Indemnitee is entitled to indemnification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To obtain indemnification under this Agreement, Indemnitee shall submit, in accordance with Section 16 (</w:t>
      </w:r>
      <w:r>
        <w:rPr>
          <w:rFonts w:ascii="Times New Roman;serif" w:hAnsi="Times New Roman;serif"/>
          <w:b w:val="false"/>
          <w:i/>
          <w:color w:val="000000"/>
          <w:sz w:val="24"/>
        </w:rPr>
        <w:t>Notices</w:t>
      </w:r>
      <w:r>
        <w:rPr>
          <w:rFonts w:ascii="Times New Roman;serif" w:hAnsi="Times New Roman;serif"/>
          <w:b w:val="false"/>
          <w:color w:val="000000"/>
          <w:sz w:val="24"/>
        </w:rPr>
        <w:t xml:space="preserve">), a written request to Parent and the Company, including therein or therewith such documentation and information as is reasonably available to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Indemnitee and is reasonably necessary to determine whether and to what extent Indemnitee is entitled to indemnification in accordance with Section 4(b). Notwithstanding the foregoing, any failure of Indemnitee to provide such a request in accordance with this </w:t>
      </w:r>
      <w:r>
        <w:rPr>
          <w:rFonts w:ascii="Times New Roman;serif" w:hAnsi="Times New Roman;serif"/>
          <w:b w:val="false"/>
          <w:color w:val="000000"/>
          <w:sz w:val="24"/>
          <w:u w:val="single"/>
        </w:rPr>
        <w:t>Section 4(a)</w:t>
      </w:r>
      <w:r>
        <w:rPr>
          <w:rFonts w:ascii="Times New Roman;serif" w:hAnsi="Times New Roman;serif"/>
          <w:b w:val="false"/>
          <w:color w:val="000000"/>
          <w:sz w:val="24"/>
        </w:rPr>
        <w:t xml:space="preserve">, or to provide such a request in a timely fashion, shall not relieve the Company of any liability that it may have to Indemnitee unless, and to the extent that, such failure actually and materially prejudices the interests of the Company, Parent or the relevant Additional Enterprise, as applicable.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The Company elects that, upon written request by Indemnitee for indemnification pursuant to the first sentence of Section 4(a) hereof, a determination with respect to Indemnitee’s entitlement thereto shall be made by Parent, in its capacity as sole stockholder of the Company, or, if Parent so directs, by Independent Counsel, selected in accordance with Section 4(c) hereof, in a written opinion to the Parent Board, a copy of which shall be delivered to the Indemnitee and the Company in accordance with Section 16 (</w:t>
      </w:r>
      <w:r>
        <w:rPr>
          <w:rFonts w:ascii="Times New Roman;serif" w:hAnsi="Times New Roman;serif"/>
          <w:b w:val="false"/>
          <w:i/>
          <w:color w:val="000000"/>
          <w:sz w:val="24"/>
        </w:rPr>
        <w:t>Notices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If the determination of entitlement to indemnification is to be made by an Independent Counsel pursuant to Section 4(b) hereof, Independent Counsel shall be selected as provided in this Section 4(c). The Company agrees that Parent may select Independent Counsel and the Company shall give written notice of such selection to Indemnitee promptly after such selection has been communicated to the Company by Parent. Indemnitee may, within ten (10) days after such written notice of selection shall have been given, deliver to the Company and Parent a written objection to such selection;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such objection may be asserted only on the ground that the Independent Counsel so selected does not meet the requirements of “Independent Counsel” as defined in Section 1 (</w:t>
      </w:r>
      <w:r>
        <w:rPr>
          <w:rFonts w:ascii="Times New Roman;serif" w:hAnsi="Times New Roman;serif"/>
          <w:b w:val="false"/>
          <w:i/>
          <w:color w:val="000000"/>
          <w:sz w:val="24"/>
        </w:rPr>
        <w:t>Certain Definitions and Interpretations</w:t>
      </w:r>
      <w:r>
        <w:rPr>
          <w:rFonts w:ascii="Times New Roman;serif" w:hAnsi="Times New Roman;serif"/>
          <w:b w:val="false"/>
          <w:color w:val="000000"/>
          <w:sz w:val="24"/>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4(a)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Parent’s or the Company’s selection of Independent Counsel, as the case may be, and/or for the appointment as Independent Counsel of a person selected by the court or by such other person as the court shall designate, and the person with respect to whom all objections are so resolved or the person so appointed shall act as Independent Counsel hereunder. The Company shall pay any and all reasonable fees and expenses of Independent Counsel incurred by such Independent Counsel in connection with acting pursuant hereto, and the Company shall pay all reasonable fees and expenses incurred by the Company and the Indemnitee incident to the procedures of this Section 4(c), regardless of the manner in which such Independent Counsel was selected or appointed.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In making a determination with respect to entitlement to indemnification hereunder, the person or persons or entity making such determination shall presume that Indemnitee is entitled to indemnification under this Agreement. Anyone seeking to overcome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presumption shall have the burden of proof and the burden of persuasion by clear and convincing evidence. Neither the failure of Parent (including by an appointed Independent Counsel) to have made a determination prior to the commencement of any Proceeding pursuant to this Agreement that indemnification is proper in the circumstances because Indemnitee has met the applicable standard of conduct, nor an actual determination by Parent (including by an appointed Independent Counsel) that Indemnitee has not met such applicable standard of conduct, shall be a defense to such Proceeding or create a presumption that Indemnitee has not met the applicable standard of conduct.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If the person, persons or entity empowered or selected under Section 4(b) or Section 4(c), as the case may be, to determine whether Indemnitee is entitled to indemnification shall not have made a determination within ninety (90) days of the later date upon which the Company and Parent respectively received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serif" w:hAnsi="Times New Roman;serif"/>
          <w:b w:val="false"/>
          <w:i/>
          <w:color w:val="000000"/>
          <w:sz w:val="24"/>
        </w:rPr>
        <w:t>provided, however</w:t>
      </w:r>
      <w:r>
        <w:rPr>
          <w:rFonts w:ascii="Times New Roman;serif" w:hAnsi="Times New Roman;serif"/>
          <w:b w:val="false"/>
          <w:color w:val="000000"/>
          <w:sz w:val="24"/>
        </w:rPr>
        <w:t>, that such ninety (90)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Parent and any Independent Counsel appointed pursuant to this Agreement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Adjudication.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1.    In the event that (i) a determination is made pursuant to the foregoing sub-sections of this Section 4 that Indemnitee is not entitled to indemnification under this Agreement, (ii) advancement of Expenses is not timely made pursuant to Section 2(f) (</w:t>
      </w:r>
      <w:r>
        <w:rPr>
          <w:rFonts w:ascii="Times New Roman;serif" w:hAnsi="Times New Roman;serif"/>
          <w:b w:val="false"/>
          <w:i/>
          <w:color w:val="000000"/>
          <w:sz w:val="24"/>
        </w:rPr>
        <w:t>Expenses Advances</w:t>
      </w:r>
      <w:r>
        <w:rPr>
          <w:rFonts w:ascii="Times New Roman;serif" w:hAnsi="Times New Roman;serif"/>
          <w:b w:val="false"/>
          <w:color w:val="000000"/>
          <w:sz w:val="24"/>
        </w:rPr>
        <w:t>) of this Agreement, (iii) determination of entitlement to indemnification is not made pursuant to this Section 4 within one hundred and twenty (120) days after the later date upon which the Company and Parent respectively received the request for indemnification, (iv) payment of indemnification is not made pursuant to Sections 2(c) (</w:t>
      </w:r>
      <w:r>
        <w:rPr>
          <w:rFonts w:ascii="Times New Roman;serif" w:hAnsi="Times New Roman;serif"/>
          <w:b w:val="false"/>
          <w:i/>
          <w:color w:val="000000"/>
          <w:sz w:val="24"/>
        </w:rPr>
        <w:t>Mandatory Indemnification</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2(d) (</w:t>
      </w:r>
      <w:r>
        <w:rPr>
          <w:rFonts w:ascii="Times New Roman;serif" w:hAnsi="Times New Roman;serif"/>
          <w:b w:val="false"/>
          <w:i/>
          <w:color w:val="000000"/>
          <w:sz w:val="24"/>
        </w:rPr>
        <w:t>Partial Indemnification</w:t>
      </w:r>
      <w:r>
        <w:rPr>
          <w:rFonts w:ascii="Times New Roman;serif" w:hAnsi="Times New Roman;serif"/>
          <w:b w:val="false"/>
          <w:color w:val="000000"/>
          <w:sz w:val="24"/>
        </w:rPr>
        <w:t>), 2(a)(3) (</w:t>
      </w:r>
      <w:r>
        <w:rPr>
          <w:rFonts w:ascii="Times New Roman;serif" w:hAnsi="Times New Roman;serif"/>
          <w:b w:val="false"/>
          <w:i/>
          <w:color w:val="000000"/>
          <w:sz w:val="24"/>
        </w:rPr>
        <w:t>Indemnification for Expenses of a Witness</w:t>
      </w:r>
      <w:r>
        <w:rPr>
          <w:rFonts w:ascii="Times New Roman;serif" w:hAnsi="Times New Roman;serif"/>
          <w:b w:val="false"/>
          <w:color w:val="000000"/>
          <w:sz w:val="24"/>
        </w:rPr>
        <w:t>), or the last sentence of Section 4(f) (</w:t>
      </w:r>
      <w:r>
        <w:rPr>
          <w:rFonts w:ascii="Times New Roman;serif" w:hAnsi="Times New Roman;serif"/>
          <w:b w:val="false"/>
          <w:i/>
          <w:color w:val="000000"/>
          <w:sz w:val="24"/>
        </w:rPr>
        <w:t>Indemnification Process and Appeal</w:t>
      </w:r>
      <w:r>
        <w:rPr>
          <w:rFonts w:ascii="Times New Roman;serif" w:hAnsi="Times New Roman;serif"/>
          <w:b w:val="false"/>
          <w:color w:val="000000"/>
          <w:sz w:val="24"/>
        </w:rPr>
        <w:t>) of this Agreement within thirty (30) days after receipt by the Company of a written request therefor, or (v) payment of indemnification is not made pursuant to Sections 2(a)(1) (</w:t>
      </w:r>
      <w:r>
        <w:rPr>
          <w:rFonts w:ascii="Times New Roman;serif" w:hAnsi="Times New Roman;serif"/>
          <w:b w:val="false"/>
          <w:i/>
          <w:color w:val="000000"/>
          <w:sz w:val="24"/>
        </w:rPr>
        <w:t>Proceedings Other Than Proceedings by or in the Right of Parent, the Company or Additional Enterprise</w:t>
      </w:r>
      <w:r>
        <w:rPr>
          <w:rFonts w:ascii="Times New Roman;serif" w:hAnsi="Times New Roman;serif"/>
          <w:b w:val="false"/>
          <w:color w:val="000000"/>
          <w:sz w:val="24"/>
        </w:rPr>
        <w:t>) and 2(a)(2) (</w:t>
      </w:r>
      <w:r>
        <w:rPr>
          <w:rFonts w:ascii="Times New Roman;serif" w:hAnsi="Times New Roman;serif"/>
          <w:b w:val="false"/>
          <w:i/>
          <w:color w:val="000000"/>
          <w:sz w:val="24"/>
        </w:rPr>
        <w:t>Proceedings by or in the Right of the Parent, the Company or Additional Enterprise</w:t>
      </w:r>
      <w:r>
        <w:rPr>
          <w:rFonts w:ascii="Times New Roman;serif" w:hAnsi="Times New Roman;serif"/>
          <w:b w:val="false"/>
          <w:color w:val="000000"/>
          <w:sz w:val="24"/>
        </w:rPr>
        <w:t>) of this Agreement within thirty (30) days after a determination has been made that Indemnitee is entitled to indemnification or such determination is deemed to have been made pursuant to this Section 4,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Section 4(g). The Company shall not oppose Indemnitee’s right to seek any such adjudication.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2.    In the event that a determination shall have been made pursuant to Section 4(b) that Indemnitee is not entitled to indemnification, any judicial proceeding commenced pursuant to this Section 4(g) shall be conducted in all respects as a </w:t>
      </w:r>
      <w:r>
        <w:rPr>
          <w:rFonts w:ascii="Times New Roman;serif" w:hAnsi="Times New Roman;serif"/>
          <w:b w:val="false"/>
          <w:i/>
          <w:color w:val="000000"/>
          <w:sz w:val="24"/>
        </w:rPr>
        <w:t>de novo</w:t>
      </w:r>
      <w:r>
        <w:rPr>
          <w:color w:val="000000"/>
        </w:rPr>
        <w:t xml:space="preserve"> </w:t>
      </w:r>
      <w:r>
        <w:rPr>
          <w:rFonts w:ascii="Times New Roman;serif" w:hAnsi="Times New Roman;serif"/>
          <w:b w:val="false"/>
          <w:color w:val="000000"/>
          <w:sz w:val="24"/>
        </w:rPr>
        <w:t>determination on the merits, and Indemnitee shall not be prejudiced by reason of the adverse determination under Section 4(b).</w:t>
      </w:r>
    </w:p>
    <w:p>
      <w:pPr>
        <w:pStyle w:val="TextBody"/>
        <w:bidi w:val="0"/>
        <w:spacing w:lineRule="auto" w:line="288" w:before="0" w:after="240"/>
        <w:ind w:left="0" w:right="0" w:firstLine="2160"/>
        <w:jc w:val="both"/>
        <w:rPr/>
      </w:pPr>
      <w:r>
        <w:rPr>
          <w:rFonts w:ascii="Times New Roman;serif" w:hAnsi="Times New Roman;serif"/>
          <w:b w:val="false"/>
          <w:color w:val="000000"/>
          <w:sz w:val="24"/>
        </w:rPr>
        <w:t>3.    If a determination shall have been made pursuant to Section 4(b)</w:t>
      </w:r>
      <w:r>
        <w:rPr>
          <w:color w:val="000000"/>
          <w:u w:val="single"/>
        </w:rPr>
        <w:t xml:space="preserve"> </w:t>
      </w:r>
      <w:r>
        <w:rPr>
          <w:rFonts w:ascii="Times New Roman;serif" w:hAnsi="Times New Roman;serif"/>
          <w:b w:val="false"/>
          <w:color w:val="000000"/>
          <w:sz w:val="24"/>
        </w:rPr>
        <w:t>that Indemnitee is entitled to indemnification, the Company shall be bound by such determination in any judicial proceeding commenced pursuant to this Section 4(g),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In the event that Indemnitee, pursuant to this Section 4(g), seeks a judicial adjudication of Indemnitee’s rights under, or to recover damages for breach of, this Agreement, or to recover under any directors’ and officers’ liability insurance policies maintained by Parent, the Company shall pay on Indemnitee’s behalf, in advance, any and all Expenses actually and reasonably incurred by Indemnitee in such judicial adjudication, regardless of whether Indemnitee ultimately is determined to be entitled to such indemnification, advancement of Expenses or insurance recovery.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5.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indemnify Indemnitee against any and all Expenses actually and reasonably incurred by or on behalf of Indemnitee in connection with any action brought by Indemnitee to enforce its rights to indemnification and/or for the advancement of Expenses under this Agreement or any directors’ and officers’ liability insurance policies maintained by Parent, regardless of whether Indemnitee ultimately is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determined to be entitled to such indemnification to the fullest extent permitted by applicable laws, advancement of Expenses or insurance recovery, as the case may be.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6.    Notwithstanding anything in this Agreement to the contrary, no determination as to entitlement to indemnification under this Agreement shall be required to be made prior to the final disposition of the Proceeding.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Notification and Defense of Proceeding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Notice</w:t>
      </w:r>
      <w:r>
        <w:rPr>
          <w:rFonts w:ascii="Times New Roman;serif" w:hAnsi="Times New Roman;serif"/>
          <w:b w:val="false"/>
          <w:color w:val="000000"/>
          <w:sz w:val="24"/>
        </w:rPr>
        <w:t>. Without derogating from Section 4(a) (</w:t>
      </w:r>
      <w:r>
        <w:rPr>
          <w:rFonts w:ascii="Times New Roman;serif" w:hAnsi="Times New Roman;serif"/>
          <w:b w:val="false"/>
          <w:i/>
          <w:color w:val="000000"/>
          <w:sz w:val="24"/>
        </w:rPr>
        <w:t>Indemnification Process and Appeal</w:t>
      </w:r>
      <w:r>
        <w:rPr>
          <w:rFonts w:ascii="Times New Roman;serif" w:hAnsi="Times New Roman;serif"/>
          <w:b w:val="false"/>
          <w:color w:val="000000"/>
          <w:sz w:val="24"/>
        </w:rPr>
        <w:t>), Indemnitee agrees promptly to notify Parent and the Company in writing, in accordance with Section 16 (</w:t>
      </w:r>
      <w:r>
        <w:rPr>
          <w:rFonts w:ascii="Times New Roman;serif" w:hAnsi="Times New Roman;serif"/>
          <w:b w:val="false"/>
          <w:i/>
          <w:color w:val="000000"/>
          <w:sz w:val="24"/>
        </w:rPr>
        <w:t>Notices</w:t>
      </w:r>
      <w:r>
        <w:rPr>
          <w:rFonts w:ascii="Times New Roman;serif" w:hAnsi="Times New Roman;serif"/>
          <w:b w:val="false"/>
          <w:color w:val="000000"/>
          <w:sz w:val="24"/>
        </w:rPr>
        <w:t>), upon being served with or otherwise receiving any summons, citation, subpoena, complaint, indictment, information or other document relating to any Proceeding or matter which may be subject to indemnification covered hereunder. The failure to so notify the Company and Parent shall not relieve the Company of any obligation which it may have to Indemnitee under this Agreement or otherwise unless and only to the extent that such failure or delay materially prejudices the interests of the Company, Parent or the relevant Additional Enterprise,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Defense</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With respect to any Proceeding as to which Indemnitee notifies the Company and Parent of the commencement thereof, the Company and Parent will be entitled to participate in the Proceeding at their own expense and except as otherwise provided herein, to the extent the Company or Parent, as applicable, so wishes, it may assume the defense thereof with counsel reasonably satisfactory to Indemnitee.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2.    After notice from the Company or Parent to the Indemnitee of either’s election to assume the defense of any Proceeding, the Company shall not be liable to the Indemnitee hereunder or otherwise for any Expenses subsequently incurred by the Indemnitee in connection with the defense of such Proceeding other than reasonable costs of investigation or as otherwise provided below. The Indemnitee shall have the right to employ legal counsel in such Proceeding, but all Expenses related thereto incurred after notice from the Company or Parent of its assumption of the defense shall be at the Indemnitee’s expense unless: (i) the employment of legal counsel by the Indemnitee has been authorized by the Company, (ii) the Indemnitee has reasonably determined that there may be a conflict of interest between the Indemnitee and the Company or Parent in the defense of the Proceeding, or (iii) the Company or Parent shall not in fact have employed counsel to assume the defense of such Proceeding, in each of which cases all Expenses of the Indemnitee in connection with such Proceeding shall be borne by the Company.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3.    Notwithstanding the foregoing, the Company or Parent, as applicable, shall not be entitled to assume the defense of any Proceeding (i) brought by or on behalf of the Parent, the Company or the applicable Additional Enterprise, as the case may be, or (ii) where Indemnitee has reasonably determined that there may be a conflict of interest between Indemnitee and the Company or Parent, as applicable, in the defense of the Proceeding (it being specified, for the avoidance of doubt, that the Company or Parent, as applicable, may assume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defense of any such Proceeding described in this sentence with Indemnitee’s consent, provided that any such consent shall not affect the rights of Indemnitee under this Section 5(b)).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Settlement of Claims</w:t>
      </w:r>
      <w:r>
        <w:rPr>
          <w:rFonts w:ascii="Times New Roman;serif" w:hAnsi="Times New Roman;serif"/>
          <w:b w:val="false"/>
          <w:color w:val="000000"/>
          <w:sz w:val="24"/>
        </w:rPr>
        <w:t>. The Company shall not be liable to indemnify Indemnitee under this Agreement or otherwise for any amounts paid in settlement of any Proceeding effected without the Company’s written consent, such consent not to be unreasonably withheld. The Company agrees that it shall not, and shall not permit Parent to, settle any Proceeding in any manner that would impose any liability, penalty or limitation on Indemnitee without Indemnitee’s written consent, such consent not to be unreasonably withheld. The Company’s liability hereunder shall not be excused if assumption of the defense of the Proceeding by the Company or Parent was barred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Non-Exclusivity; Changes in Law.</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rights of indemnification as provided by this Agreement shall not be deemed exclusive of any other rights to which Indemnitee may at any time be entitled under applicable law, the By-laws, the Deed Poll, Parent Articles, any agreement, a resolution of the Parent Board or Company Board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To the extent that a change in (or a change in the interpretation of) the DGCL, whether by statute or judicial decision, permits greater indemnification than would be afforded currently under the By-laws, the Deed Poll, the Parent Articles or this Agreement, it is the intent of the parties hereto that Indemnitee shall enjoy by this Agreement the greater benefits so afforded by such change. </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Continuation of Contractual Indemnity</w:t>
      </w:r>
      <w:r>
        <w:rPr>
          <w:rFonts w:ascii="Times New Roman;serif" w:hAnsi="Times New Roman;serif"/>
          <w:b w:val="false"/>
          <w:color w:val="000000"/>
          <w:sz w:val="24"/>
        </w:rPr>
        <w:t>. All agreements and obligations of the Company contained herein shall continue during the period Indemnitee is [a director][an Officer][the Secretary] of Parent (or is or was serving at the request of the Company as a director, officer, secretary, employee, agent or fiduciary of an Additional Enterprise) and shall continue thereafter so long as Indemnitee shall be subject to any Proceeding (or any proceeding commenced under Section 4(g) (</w:t>
      </w:r>
      <w:r>
        <w:rPr>
          <w:rFonts w:ascii="Times New Roman;serif" w:hAnsi="Times New Roman;serif"/>
          <w:b w:val="false"/>
          <w:i/>
          <w:color w:val="000000"/>
          <w:sz w:val="24"/>
        </w:rPr>
        <w:t>Adjudication</w:t>
      </w:r>
      <w:r>
        <w:rPr>
          <w:rFonts w:ascii="Times New Roman;serif" w:hAnsi="Times New Roman;serif"/>
          <w:b w:val="false"/>
          <w:color w:val="000000"/>
          <w:sz w:val="24"/>
        </w:rPr>
        <w:t xml:space="preserve">)) by reason of Indemnitee’s Corporate Status, whether initiated during or after the period Indemnitee is [a director][an Officer][the Secretary] of Parent (or is or was serving at the request of the Company as a director, officer, secretary employee, agent or fiduciary of an Additional Enterprise) and whether or not Indemnitee is acting or serving in any such capacity at the time any liability or Expense is incurred for which indemnification can be provided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Contribution</w:t>
      </w:r>
      <w:r>
        <w:rPr>
          <w:rFonts w:ascii="Times New Roman;serif" w:hAnsi="Times New Roman;serif"/>
          <w:b w:val="false"/>
          <w:color w:val="000000"/>
          <w:sz w:val="24"/>
        </w:rPr>
        <w:t>. To the fullest extent permissible under applicable law, if the indemnification provided for in this Agreement is unavailable to Indemnitee for any reason whatsoever (other than pursuant to the terms hereof), the Company, in lieu of indemnifying Indemnitee, shall contribute to the amount incurred by Indemnitee, whether for judgments, fines, excise taxes, amounts paid or to be paid in settlement and/or for Expenses, in connection with any claim, including, without limitation, claims for contribution that may be brought against Indemnitee by directors, officers, employees or agents (other than Indemnitee) of Parent or an Additional Enterprise, as the case may be, who may be jointly liable with Indemnitee, relating to an indemnifiable event under this Agreement, in such proportion as is deemed fair and reasonable in light of all of the circumstances of such Proceeding in order to reflect (i) the relative benefits received by Parent or the Additional Enterprise, as the case may be, and the Company, on the one hand, and Indemnitee, on the other hand, as a result of the event(s) and/or transaction(s) giving cause to such Proceeding and/or (ii) the relative fault of Parent or the Additional Enterprise, as the case may be, (and their respective directors, officers, employees and agents) and the Company, on the one hand, and Indemnitee, on the other hand, in connection with such event(s) and/or transaction(s).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Enforcement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Company expressly confirms and agrees that it has entered into this Agreement and assumes the obligations imposed on it hereby in order to induce Indemnitee to continue to serve or serve (as the case may be) as [a director][an Officer][the Secretary] of Parent and, if requested to do so by the Company, to serve as a director, officer, secretary, employee, agent or fiduciary of an Additional Enterprise, and the Company acknowledges that Indemnitee is relying upon this Agreement in serving in such capacities.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Company shall not seek from a court, or agree to, a “bar order” which would have the effect of prohibiting or limiting the Indemnitee’s rights to receive advancement of Expenses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Amendment of this Agreement; Waiver</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No supplement, modification, termination, waiver or amendment of this Agreement shall be binding unless executed in writing by both of the parties hereto.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 waiver of any of the provisions of this Agreement shall be deemed or shall constitute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Subrogation.</w:t>
      </w:r>
      <w:r>
        <w:rPr>
          <w:color w:val="000000"/>
        </w:rPr>
        <w:t xml:space="preserve"> </w:t>
      </w:r>
      <w:r>
        <w:rPr>
          <w:rFonts w:ascii="Times New Roman;serif" w:hAnsi="Times New Roman;serif"/>
          <w:b w:val="false"/>
          <w:color w:val="000000"/>
          <w:sz w:val="24"/>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No Duplication of Payments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Company shall not be liable under this Agreement to make any payment of amounts otherwise indemnifiable hereunder if and to the extent that Indemnitee has otherwise actually received such payment under the Deed Poll, the Parent Articles, the By-laws, any insurance policy, contract, agreement or otherwise.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Company’s obligation to indemnify or advance Expenses hereunder to Indemnitee who is or was serving at the request of the Company as a director, officer, secretary, employee, agent or fiduciary of an Additional Enterprise shall be reduced by any amount Indemnitee has actually received as indemnification or advancement of Expenses from such Additional Enterprise.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or Parent), assigns, spouses, heirs, executors and personal and legal representatives.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is held to be illegal, invalid or unenforceable under any present or future law, and if the rights or obligations of any party under this Agreement shall be materially and adversely affected thereby, (i) such provision shall be fully severable, (ii) this Agreement shall be construed and enforced as if such illegal, invalid, or unenforceable provision has never comprised a part hereof, and (iii) the remaining provisions of this Agreement shall remain in full force and effect and shall not be affected by the illegal, invalid or unenforceable provision or by its severance herefrom. Further, the invalidity or unenforceability of any provision hereof as to either Indemnitee or the Company shall in no way affect the validity or enforceability of any provision hereof as to the other.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Governing Law and Consent to Jurisdiction.</w:t>
      </w:r>
      <w:r>
        <w:rPr>
          <w:color w:val="000000"/>
        </w:rPr>
        <w:t xml:space="preserve"> </w:t>
      </w:r>
      <w:r>
        <w:rPr>
          <w:rFonts w:ascii="Times New Roman;serif" w:hAnsi="Times New Roman;serif"/>
          <w:b w:val="false"/>
          <w:color w:val="000000"/>
          <w:sz w:val="24"/>
        </w:rPr>
        <w:t>This Agreement and the legal relations among the parties shall be governed by, and construed and enforced in accordance with, the laws of the State of Delaware, without regard to its conflict of laws rules. To the fullest extent permitted by applicable law, each party hereto irrevocably and unconditionally (i) agrees that any Proceeding arising out of or in connection with this Agreement shall be brought only in the Chancery Court of the State of Delaware (the “</w:t>
      </w:r>
      <w:r>
        <w:rPr>
          <w:rFonts w:ascii="Times New Roman;serif" w:hAnsi="Times New Roman;serif"/>
          <w:b/>
          <w:color w:val="000000"/>
          <w:sz w:val="24"/>
        </w:rPr>
        <w:t>Delaware Court</w:t>
      </w:r>
      <w:r>
        <w:rPr>
          <w:color w:val="000000"/>
        </w:rPr>
        <w:t>”</w:t>
      </w:r>
      <w:r>
        <w:rPr>
          <w:rFonts w:ascii="Times New Roman;serif" w:hAnsi="Times New Roman;serif"/>
          <w:b w:val="false"/>
          <w:color w:val="000000"/>
          <w:sz w:val="24"/>
        </w:rPr>
        <w:t xml:space="preserve">), and not in any other state or federal court in the United States of America or any court in any other country, (ii) consents to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submit to the exclusive jurisdiction of the Delaware Court for purposes of any Proceeding arising out of or in connection with this Agreement, (iii) waives any objection to the laying of venue of any such action or proceeding in the Delaware Court, and (iv) waives and agrees not to plead or to make any claim that any such action or proceeding brought in the Delaware Court has been brought in an improper or inconvenient forum.</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demands pertaining to this Agreement as well as communications given or made pursuant to this Agreement shall be in writing and shall be deemed effectively given (i) upon personal delivery to the party to be notified during a Business Day, (ii) when sent by confirmed electronic mail if sent during normal business hours of the recipient, and if not so confirmed, then on the next Business Day, (iii) five (5) Business Days after having been sent by registered or certified mail, return receipt requested, postage prepaid, or (iv) one (1) Business Day after deposit with an internationally recognized overnight courier, specifying next day delivery, with written verification of receipt. All notices and other communications shall be sent: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to the Indemnitee at: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lineRule="auto" w:line="288" w:before="0" w:after="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 [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To the Company at: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the Parent at: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Email: [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party may change its address or contact details from time to time by giving notice to that effect as provided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multiple counterparts, each of which shall be deemed an original, but all of which together shall constitute one and the same the same instrument. Counterparts may be signed by any electronic signature complying with the U.S. federal ESIGN Act of 2000 (e.g., www.docusign.com) and be delivered via electronic mail (including pdf) or other electronic transmission method, and any counterpart so delivered shall be deemed to have been duly and validly delivered and be valid and effective for all purposes.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Indemnification Agreement on and as of the day and year first above written.</w:t>
      </w:r>
    </w:p>
    <w:tbl>
      <w:tblPr>
        <w:tblW w:w="2469" w:type="dxa"/>
        <w:jc w:val="left"/>
        <w:tblInd w:w="0" w:type="dxa"/>
        <w:tblLayout w:type="fixed"/>
        <w:tblCellMar>
          <w:top w:w="28" w:type="dxa"/>
          <w:left w:w="28" w:type="dxa"/>
          <w:bottom w:w="28" w:type="dxa"/>
          <w:right w:w="28" w:type="dxa"/>
        </w:tblCellMar>
      </w:tblPr>
      <w:tblGrid>
        <w:gridCol w:w="124"/>
        <w:gridCol w:w="109"/>
        <w:gridCol w:w="109"/>
        <w:gridCol w:w="354"/>
        <w:gridCol w:w="354"/>
        <w:gridCol w:w="356"/>
        <w:gridCol w:w="230"/>
        <w:gridCol w:w="230"/>
        <w:gridCol w:w="2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98" w:type="dxa"/>
        <w:jc w:val="left"/>
        <w:tblInd w:w="0" w:type="dxa"/>
        <w:tblLayout w:type="fixed"/>
        <w:tblCellMar>
          <w:top w:w="28" w:type="dxa"/>
          <w:left w:w="28" w:type="dxa"/>
          <w:bottom w:w="28" w:type="dxa"/>
          <w:right w:w="28" w:type="dxa"/>
        </w:tblCellMar>
      </w:tblPr>
      <w:tblGrid>
        <w:gridCol w:w="124"/>
        <w:gridCol w:w="109"/>
        <w:gridCol w:w="109"/>
        <w:gridCol w:w="273"/>
        <w:gridCol w:w="273"/>
        <w:gridCol w:w="273"/>
        <w:gridCol w:w="273"/>
        <w:gridCol w:w="273"/>
        <w:gridCol w:w="3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INDEMNITEE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9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10.6</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7"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INDEMNIFICATION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INDEMNIFICATION AGREEMENT</w:t>
                      </w:r>
                    </w:p>
                  </w:txbxContent>
                </v:textbox>
                <w10:wrap type="none"/>
              </v:rect>
            </w:pict>
          </mc:Fallback>
        </mc:AlternateContent>
      </w:r>
    </w:p>
    <w:p>
      <w:pPr>
        <w:pStyle w:val="TextBody"/>
        <w:bidi w:val="0"/>
        <w:spacing w:before="0" w:after="2400"/>
        <w:jc w:val="center"/>
        <w:rPr/>
      </w:pPr>
      <w:r>
        <w:r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REGISTRATION RIGHTS AGREEMENT</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BY</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OCTAVE INTELLIGENCE PLC</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AND</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MELKER SCHÖRLING AB</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DATED AS OF [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899" w:type="dxa"/>
        <w:jc w:val="left"/>
        <w:tblInd w:w="0" w:type="dxa"/>
        <w:tblLayout w:type="fixed"/>
        <w:tblCellMar>
          <w:top w:w="28" w:type="dxa"/>
          <w:left w:w="28" w:type="dxa"/>
          <w:bottom w:w="28" w:type="dxa"/>
          <w:right w:w="28" w:type="dxa"/>
        </w:tblCellMar>
      </w:tblPr>
      <w:tblGrid>
        <w:gridCol w:w="254"/>
        <w:gridCol w:w="224"/>
        <w:gridCol w:w="224"/>
        <w:gridCol w:w="224"/>
        <w:gridCol w:w="224"/>
        <w:gridCol w:w="224"/>
        <w:gridCol w:w="1966"/>
        <w:gridCol w:w="1966"/>
        <w:gridCol w:w="2022"/>
        <w:gridCol w:w="167"/>
        <w:gridCol w:w="167"/>
        <w:gridCol w:w="237"/>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I</w:t>
            </w:r>
            <w:r>
              <w:rPr>
                <w:color w:val="000000"/>
              </w:rPr>
              <w:t xml:space="preserve"> </w:t>
            </w:r>
            <w:r>
              <w:rPr>
                <w:rFonts w:ascii="Times New Roman;serif" w:hAnsi="Times New Roman;serif"/>
                <w:b w:val="false"/>
                <w:color w:val="000000"/>
                <w:sz w:val="20"/>
              </w:rPr>
              <w:t>DEFINITIONS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Terms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Interpretive Principles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II</w:t>
            </w:r>
            <w:r>
              <w:rPr>
                <w:color w:val="000000"/>
              </w:rPr>
              <w:t xml:space="preserve"> </w:t>
            </w:r>
            <w:r>
              <w:rPr>
                <w:rFonts w:ascii="Times New Roman;serif" w:hAnsi="Times New Roman;serif"/>
                <w:b w:val="false"/>
                <w:color w:val="000000"/>
                <w:sz w:val="20"/>
              </w:rPr>
              <w:t>DEMAND REGISTRATION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Demand Registration</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Registration</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Underwritten Offerings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Priority on Demand Registrations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2.5</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Withdrawal and Cancellation of Registration</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2.6</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Statement Form</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III</w:t>
            </w:r>
            <w:r>
              <w:rPr>
                <w:color w:val="000000"/>
              </w:rPr>
              <w:t xml:space="preserve"> </w:t>
            </w:r>
            <w:r>
              <w:rPr>
                <w:rFonts w:ascii="Times New Roman;serif" w:hAnsi="Times New Roman;serif"/>
                <w:b w:val="false"/>
                <w:color w:val="000000"/>
                <w:sz w:val="20"/>
              </w:rPr>
              <w:t>PIGGYBACK REGISTRATIONS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Holder Piggyback Registration</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Priority on Piggyback Registrations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Withdrawals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Underwritten Offerings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IV</w:t>
            </w:r>
            <w:r>
              <w:rPr>
                <w:color w:val="000000"/>
              </w:rPr>
              <w:t xml:space="preserve"> </w:t>
            </w:r>
            <w:r>
              <w:rPr>
                <w:rFonts w:ascii="Times New Roman;serif" w:hAnsi="Times New Roman;serif"/>
                <w:b w:val="false"/>
                <w:color w:val="000000"/>
                <w:sz w:val="20"/>
              </w:rPr>
              <w:t>SHELF REGISTRATION</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Shelf Registration Filing</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Required Period and Shelf Registration Procedures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Underwritten Shelf Offerings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V</w:t>
            </w:r>
            <w:r>
              <w:rPr>
                <w:color w:val="000000"/>
              </w:rPr>
              <w:t xml:space="preserve"> </w:t>
            </w:r>
            <w:r>
              <w:rPr>
                <w:rFonts w:ascii="Times New Roman;serif" w:hAnsi="Times New Roman;serif"/>
                <w:b w:val="false"/>
                <w:color w:val="000000"/>
                <w:sz w:val="20"/>
              </w:rPr>
              <w:t>STANDSTILL AND SUSPENSION PERIODS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Suspension Period</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Holder Standstill Period</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VI</w:t>
            </w:r>
            <w:r>
              <w:rPr>
                <w:color w:val="000000"/>
              </w:rPr>
              <w:t xml:space="preserve"> </w:t>
            </w:r>
            <w:r>
              <w:rPr>
                <w:rFonts w:ascii="Times New Roman;serif" w:hAnsi="Times New Roman;serif"/>
                <w:b w:val="false"/>
                <w:color w:val="000000"/>
                <w:sz w:val="20"/>
              </w:rPr>
              <w:t>REGISTRATION PROCEDURES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Obligations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Holder Obligations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VII</w:t>
            </w:r>
            <w:r>
              <w:rPr>
                <w:color w:val="000000"/>
              </w:rPr>
              <w:t xml:space="preserve"> </w:t>
            </w:r>
            <w:r>
              <w:rPr>
                <w:rFonts w:ascii="Times New Roman;serif" w:hAnsi="Times New Roman;serif"/>
                <w:b w:val="false"/>
                <w:color w:val="000000"/>
                <w:sz w:val="20"/>
              </w:rPr>
              <w:t>INDEMNIFICATION</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by the Company</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7.2</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by the Holders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7.3</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Claims, Etc.</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5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Payments; Other Remedies; Primacy of Indemnification</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VIII</w:t>
            </w:r>
            <w:r>
              <w:rPr>
                <w:color w:val="000000"/>
              </w:rPr>
              <w:t xml:space="preserve"> </w:t>
            </w:r>
            <w:r>
              <w:rPr>
                <w:rFonts w:ascii="Times New Roman;serif" w:hAnsi="Times New Roman;serif"/>
                <w:b w:val="false"/>
                <w:color w:val="000000"/>
                <w:sz w:val="20"/>
              </w:rPr>
              <w:t>REGISTRATION EXPENSES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IX</w:t>
            </w:r>
            <w:r>
              <w:rPr>
                <w:color w:val="000000"/>
              </w:rPr>
              <w:t xml:space="preserve"> </w:t>
            </w:r>
            <w:r>
              <w:rPr>
                <w:rFonts w:ascii="Times New Roman;serif" w:hAnsi="Times New Roman;serif"/>
                <w:b w:val="false"/>
                <w:color w:val="000000"/>
                <w:sz w:val="20"/>
              </w:rPr>
              <w:t>RULE 144</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Article X</w:t>
            </w:r>
            <w:r>
              <w:rPr>
                <w:color w:val="000000"/>
              </w:rPr>
              <w:t xml:space="preserve"> </w:t>
            </w:r>
            <w:r>
              <w:rPr>
                <w:rFonts w:ascii="Times New Roman;serif" w:hAnsi="Times New Roman;serif"/>
                <w:b w:val="false"/>
                <w:color w:val="000000"/>
                <w:sz w:val="20"/>
              </w:rPr>
              <w:t>MISCELLANEOUS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19"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tbl>
      <w:tblPr>
        <w:tblW w:w="5035" w:type="dxa"/>
        <w:jc w:val="left"/>
        <w:tblInd w:w="0" w:type="dxa"/>
        <w:tblLayout w:type="fixed"/>
        <w:tblCellMar>
          <w:top w:w="28" w:type="dxa"/>
          <w:left w:w="28" w:type="dxa"/>
          <w:bottom w:w="28" w:type="dxa"/>
          <w:right w:w="28" w:type="dxa"/>
        </w:tblCellMar>
      </w:tblPr>
      <w:tblGrid>
        <w:gridCol w:w="124"/>
        <w:gridCol w:w="109"/>
        <w:gridCol w:w="109"/>
        <w:gridCol w:w="189"/>
        <w:gridCol w:w="189"/>
        <w:gridCol w:w="193"/>
        <w:gridCol w:w="1248"/>
        <w:gridCol w:w="1248"/>
        <w:gridCol w:w="125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Notice Generally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Successors and Assigns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Amendments; Waivers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MS Representative</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Calculations of Beneficial Ownership</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Assistance</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Third Party Beneficiaries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Injunctive Relief</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of Registration Rights; Survival</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Attorneys’ Fees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Severability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Headings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Governing Law; Jurisdiction</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Counterparts and Facsimile Execution</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Entire Agreement</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Further Assurances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0"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REGISTRATION RIGHTS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REGISTRATION RIGHTS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dated as of [       ], 2026, by and among Octave Intelligence plc, a public limited company organized under the laws of Ireland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xml:space="preserve">), and Melker Schörling AB, a corporation incorporated under the laws of Sweden, and any Permitted Assignees (as hereinafter defined) who subsequently become parties to this Agreement in accordance with the terms of this Agreement. </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W I T N E S S E T H :</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as of the date of this Agreement, the Holder owns shares of Class A common stock of Hexagon AB (“</w:t>
      </w:r>
      <w:r>
        <w:rPr>
          <w:rFonts w:ascii="Times New Roman;serif" w:hAnsi="Times New Roman;serif"/>
          <w:b w:val="false"/>
          <w:color w:val="000000"/>
          <w:sz w:val="20"/>
          <w:u w:val="single"/>
        </w:rPr>
        <w:t>Hexagon</w:t>
      </w:r>
      <w:r>
        <w:rPr>
          <w:color w:val="000000"/>
        </w:rPr>
        <w:t>”</w:t>
      </w:r>
      <w:r>
        <w:rPr>
          <w:rFonts w:ascii="Times New Roman;serif" w:hAnsi="Times New Roman;serif"/>
          <w:b w:val="false"/>
          <w:color w:val="000000"/>
          <w:sz w:val="20"/>
        </w:rPr>
        <w:t>), a corporation organized under the laws of Sweden (“</w:t>
      </w:r>
      <w:r>
        <w:rPr>
          <w:rFonts w:ascii="Times New Roman;serif" w:hAnsi="Times New Roman;serif"/>
          <w:b w:val="false"/>
          <w:color w:val="000000"/>
          <w:sz w:val="20"/>
          <w:u w:val="single"/>
        </w:rPr>
        <w:t>Hexagon Class A Shares</w:t>
      </w:r>
      <w:r>
        <w:rPr>
          <w:color w:val="000000"/>
        </w:rPr>
        <w:t>”</w:t>
      </w:r>
      <w:r>
        <w:rPr>
          <w:rFonts w:ascii="Times New Roman;serif" w:hAnsi="Times New Roman;serif"/>
          <w:b w:val="false"/>
          <w:color w:val="000000"/>
          <w:sz w:val="20"/>
        </w:rPr>
        <w:t>), and shares of Class B common stock of Hexagon (“</w:t>
      </w:r>
      <w:r>
        <w:rPr>
          <w:rFonts w:ascii="Times New Roman;serif" w:hAnsi="Times New Roman;serif"/>
          <w:b w:val="false"/>
          <w:color w:val="000000"/>
          <w:sz w:val="20"/>
          <w:u w:val="single"/>
        </w:rPr>
        <w:t>Hexagon Class B Shares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on [              ], 2026 (the “</w:t>
      </w:r>
      <w:r>
        <w:rPr>
          <w:rFonts w:ascii="Times New Roman;serif" w:hAnsi="Times New Roman;serif"/>
          <w:b w:val="false"/>
          <w:color w:val="000000"/>
          <w:sz w:val="20"/>
          <w:u w:val="single"/>
        </w:rPr>
        <w:t>Distribution Date</w:t>
      </w:r>
      <w:r>
        <w:rPr>
          <w:color w:val="000000"/>
        </w:rPr>
        <w:t>”</w:t>
      </w:r>
      <w:r>
        <w:rPr>
          <w:rFonts w:ascii="Times New Roman;serif" w:hAnsi="Times New Roman;serif"/>
          <w:b w:val="false"/>
          <w:color w:val="000000"/>
          <w:sz w:val="20"/>
        </w:rPr>
        <w:t>) the Company issued to shareholders of Hexagon, on a pro rata basis, A ordinary shares, par value $0.01 per share in the Company (the “</w:t>
      </w:r>
      <w:r>
        <w:rPr>
          <w:rFonts w:ascii="Times New Roman;serif" w:hAnsi="Times New Roman;serif"/>
          <w:b w:val="false"/>
          <w:color w:val="000000"/>
          <w:sz w:val="20"/>
          <w:u w:val="single"/>
        </w:rPr>
        <w:t>Class A Shares</w:t>
      </w:r>
      <w:r>
        <w:rPr>
          <w:color w:val="000000"/>
        </w:rPr>
        <w:t>”</w:t>
      </w:r>
      <w:r>
        <w:rPr>
          <w:rFonts w:ascii="Times New Roman;serif" w:hAnsi="Times New Roman;serif"/>
          <w:b w:val="false"/>
          <w:color w:val="000000"/>
          <w:sz w:val="20"/>
        </w:rPr>
        <w:t>) allotted to Hexagon and directed by Hexagon to the holders of Hexagon Class A Shares, and B ordinary shares, par value $0.01 per share in the Company (the “</w:t>
      </w:r>
      <w:r>
        <w:rPr>
          <w:rFonts w:ascii="Times New Roman;serif" w:hAnsi="Times New Roman;serif"/>
          <w:b w:val="false"/>
          <w:color w:val="000000"/>
          <w:sz w:val="20"/>
          <w:u w:val="single"/>
        </w:rPr>
        <w:t>Class B Shares</w:t>
      </w:r>
      <w:r>
        <w:rPr>
          <w:color w:val="000000"/>
        </w:rPr>
        <w:t>”</w:t>
      </w:r>
      <w:r>
        <w:rPr>
          <w:rFonts w:ascii="Times New Roman;serif" w:hAnsi="Times New Roman;serif"/>
          <w:b w:val="false"/>
          <w:color w:val="000000"/>
          <w:sz w:val="20"/>
        </w:rPr>
        <w:t>) allotted to Hexagon and directed by Hexagon to the holders of Hexagon Class B Shares (the “</w:t>
      </w:r>
      <w:r>
        <w:rPr>
          <w:rFonts w:ascii="Times New Roman;serif" w:hAnsi="Times New Roman;serif"/>
          <w:b w:val="false"/>
          <w:color w:val="000000"/>
          <w:sz w:val="20"/>
          <w:u w:val="single"/>
        </w:rPr>
        <w:t>Distribution</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WHEREAS, in connection with the Distribution, the Holder received the Class A Shares set forth on </w:t>
      </w:r>
      <w:r>
        <w:rPr>
          <w:rFonts w:ascii="Times New Roman;serif" w:hAnsi="Times New Roman;serif"/>
          <w:b w:val="false"/>
          <w:color w:val="000000"/>
          <w:sz w:val="20"/>
          <w:u w:val="single"/>
        </w:rPr>
        <w:t>Schedule I</w:t>
      </w:r>
      <w:r>
        <w:rPr>
          <w:color w:val="000000"/>
        </w:rPr>
        <w:t xml:space="preserve"> </w:t>
      </w:r>
      <w:r>
        <w:rPr>
          <w:rFonts w:ascii="Times New Roman;serif" w:hAnsi="Times New Roman;serif"/>
          <w:b w:val="false"/>
          <w:color w:val="000000"/>
          <w:sz w:val="20"/>
        </w:rPr>
        <w:t>attached hereto (the “</w:t>
      </w:r>
      <w:r>
        <w:rPr>
          <w:rFonts w:ascii="Times New Roman;serif" w:hAnsi="Times New Roman;serif"/>
          <w:b w:val="false"/>
          <w:color w:val="000000"/>
          <w:sz w:val="20"/>
          <w:u w:val="single"/>
        </w:rPr>
        <w:t>Distribution Class A Shares</w:t>
      </w:r>
      <w:r>
        <w:rPr>
          <w:color w:val="000000"/>
        </w:rPr>
        <w:t>”</w:t>
      </w:r>
      <w:r>
        <w:rPr>
          <w:rFonts w:ascii="Times New Roman;serif" w:hAnsi="Times New Roman;serif"/>
          <w:b w:val="false"/>
          <w:color w:val="000000"/>
          <w:sz w:val="20"/>
        </w:rPr>
        <w:t xml:space="preserve">) and the amount of Class B Shares set forth on </w:t>
      </w:r>
      <w:r>
        <w:rPr>
          <w:rFonts w:ascii="Times New Roman;serif" w:hAnsi="Times New Roman;serif"/>
          <w:b w:val="false"/>
          <w:color w:val="000000"/>
          <w:sz w:val="20"/>
          <w:u w:val="single"/>
        </w:rPr>
        <w:t>Schedule I</w:t>
      </w:r>
      <w:r>
        <w:rPr>
          <w:color w:val="000000"/>
        </w:rPr>
        <w:t xml:space="preserve"> </w:t>
      </w:r>
      <w:r>
        <w:rPr>
          <w:rFonts w:ascii="Times New Roman;serif" w:hAnsi="Times New Roman;serif"/>
          <w:b w:val="false"/>
          <w:color w:val="000000"/>
          <w:sz w:val="20"/>
        </w:rPr>
        <w:t>attached hereto (the “</w:t>
      </w:r>
      <w:r>
        <w:rPr>
          <w:rFonts w:ascii="Times New Roman;serif" w:hAnsi="Times New Roman;serif"/>
          <w:b w:val="false"/>
          <w:color w:val="000000"/>
          <w:sz w:val="20"/>
          <w:u w:val="single"/>
        </w:rPr>
        <w:t>Distribution Class B Shares</w:t>
      </w:r>
      <w:r>
        <w:rPr>
          <w:color w:val="000000"/>
        </w:rPr>
        <w:t>”</w:t>
      </w:r>
      <w:r>
        <w:rPr>
          <w:rFonts w:ascii="Times New Roman;serif" w:hAnsi="Times New Roman;serif"/>
          <w:b w:val="false"/>
          <w:color w:val="000000"/>
          <w:sz w:val="20"/>
        </w:rPr>
        <w:t xml:space="preserve">); and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WHEREAS, in connection with the Distribution, the parties hereto wish to enter into this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NOW, THEREFORE, in consideration of the covenants and agreements contained herein, the parties hereto agree as follows: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ARTICLE I </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DEFINITIONS </w:t>
      </w:r>
    </w:p>
    <w:p>
      <w:pPr>
        <w:pStyle w:val="TextBody"/>
        <w:bidi w:val="0"/>
        <w:spacing w:lineRule="auto" w:line="288" w:before="0" w:after="240"/>
        <w:ind w:left="0" w:right="0" w:firstLine="720"/>
        <w:jc w:val="left"/>
        <w:rPr/>
      </w:pPr>
      <w:r>
        <w:rPr>
          <w:rFonts w:ascii="Times New Roman;serif" w:hAnsi="Times New Roman;serif"/>
          <w:b w:val="false"/>
          <w:color w:val="010000"/>
          <w:sz w:val="20"/>
        </w:rPr>
        <w:t>1.1    </w:t>
      </w:r>
      <w:r>
        <w:rPr>
          <w:rFonts w:ascii="Times New Roman;serif" w:hAnsi="Times New Roman;serif"/>
          <w:b w:val="false"/>
          <w:color w:val="000000"/>
          <w:sz w:val="20"/>
          <w:u w:val="single"/>
        </w:rPr>
        <w:t>Defined Terms</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Agreement, the following capitalized terms (in their singular and plural forms, as applicable) have the following meanings: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Action</w:t>
      </w:r>
      <w:r>
        <w:rPr>
          <w:color w:val="000000"/>
        </w:rPr>
        <w:t xml:space="preserve">” </w:t>
      </w:r>
      <w:r>
        <w:rPr>
          <w:rFonts w:ascii="Times New Roman;serif" w:hAnsi="Times New Roman;serif"/>
          <w:b w:val="false"/>
          <w:color w:val="000000"/>
          <w:sz w:val="20"/>
        </w:rPr>
        <w:t xml:space="preserve">has the meaning assigned to such term in Section 7.3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Adverse Effect</w:t>
      </w:r>
      <w:r>
        <w:rPr>
          <w:color w:val="000000"/>
        </w:rPr>
        <w:t xml:space="preserve">” </w:t>
      </w:r>
      <w:r>
        <w:rPr>
          <w:rFonts w:ascii="Times New Roman;serif" w:hAnsi="Times New Roman;serif"/>
          <w:b w:val="false"/>
          <w:color w:val="000000"/>
          <w:sz w:val="20"/>
        </w:rPr>
        <w:t xml:space="preserve">has the meaning assigned to such term in Section 2.4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Affiliate</w:t>
      </w:r>
      <w:r>
        <w:rPr>
          <w:color w:val="000000"/>
        </w:rPr>
        <w:t xml:space="preserve">” </w:t>
      </w:r>
      <w:r>
        <w:rPr>
          <w:rFonts w:ascii="Times New Roman;serif" w:hAnsi="Times New Roman;serif"/>
          <w:b w:val="false"/>
          <w:color w:val="000000"/>
          <w:sz w:val="20"/>
        </w:rPr>
        <w:t>of a Person means any Person that, directly or indirectly, through one or more intermediaries, controls or is controlled by, or is under common control with, such other Person. For purposes of this definition, the term “control” (including the terms “</w:t>
      </w:r>
      <w:r>
        <w:rPr>
          <w:rFonts w:ascii="Times New Roman;serif" w:hAnsi="Times New Roman;serif"/>
          <w:b w:val="false"/>
          <w:color w:val="000000"/>
          <w:sz w:val="20"/>
          <w:u w:val="single"/>
        </w:rPr>
        <w:t>controlled by</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under common control with</w:t>
      </w:r>
      <w:r>
        <w:rPr>
          <w:color w:val="000000"/>
        </w:rPr>
        <w:t>”</w:t>
      </w:r>
      <w:r>
        <w:rPr>
          <w:rFonts w:ascii="Times New Roman;serif" w:hAnsi="Times New Roman;serif"/>
          <w:b w:val="false"/>
          <w:color w:val="000000"/>
          <w:sz w:val="20"/>
        </w:rPr>
        <w:t xml:space="preserve">) means the possession, direct or indirect, of the power to cause the direction of the management and policies of a Person, whether through the ownership of voting securities, by contract or otherwise.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Agreement</w:t>
      </w:r>
      <w:r>
        <w:rPr>
          <w:color w:val="000000"/>
        </w:rPr>
        <w:t xml:space="preserve">” </w:t>
      </w:r>
      <w:r>
        <w:rPr>
          <w:rFonts w:ascii="Times New Roman;serif" w:hAnsi="Times New Roman;serif"/>
          <w:b w:val="false"/>
          <w:color w:val="000000"/>
          <w:sz w:val="20"/>
        </w:rPr>
        <w:t xml:space="preserve">has the meaning assigned to such term in the introductory paragraph to this Agreement, as the same may be amended, supplemented or restated from time to time.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Bring-Down Suspension Notice</w:t>
      </w:r>
      <w:r>
        <w:rPr>
          <w:color w:val="000000"/>
        </w:rPr>
        <w:t xml:space="preserve">” </w:t>
      </w:r>
      <w:r>
        <w:rPr>
          <w:rFonts w:ascii="Times New Roman;serif" w:hAnsi="Times New Roman;serif"/>
          <w:b w:val="false"/>
          <w:color w:val="000000"/>
          <w:sz w:val="20"/>
        </w:rPr>
        <w:t xml:space="preserve">has the meaning assigned to such term in Section 5.1(b) hereof.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Business Day</w:t>
      </w:r>
      <w:r>
        <w:rPr>
          <w:color w:val="000000"/>
        </w:rPr>
        <w:t xml:space="preserve">” </w:t>
      </w:r>
      <w:r>
        <w:rPr>
          <w:rFonts w:ascii="Times New Roman;serif" w:hAnsi="Times New Roman;serif"/>
          <w:b w:val="false"/>
          <w:color w:val="000000"/>
          <w:sz w:val="20"/>
        </w:rPr>
        <w:t xml:space="preserve">means each Monday, Tuesday, Wednesday, Thursday and Friday which is not a day on which banking institutions in (a) the Borough of Manhattan, The City of New York, (b) Dublin, Ireland and (c) Stockholm, Sweden are authorized or obligated by law or executive order to close.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Commission</w:t>
      </w:r>
      <w:r>
        <w:rPr>
          <w:color w:val="000000"/>
        </w:rPr>
        <w:t xml:space="preserve">” </w:t>
      </w:r>
      <w:r>
        <w:rPr>
          <w:rFonts w:ascii="Times New Roman;serif" w:hAnsi="Times New Roman;serif"/>
          <w:b w:val="false"/>
          <w:color w:val="000000"/>
          <w:sz w:val="20"/>
        </w:rPr>
        <w:t xml:space="preserve">means the United States Securities and Exchange Commission and any successor United States federal agency or governmental authority having similar powers.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Company Indemnified Person</w:t>
      </w:r>
      <w:r>
        <w:rPr>
          <w:color w:val="000000"/>
        </w:rPr>
        <w:t xml:space="preserve">” </w:t>
      </w:r>
      <w:r>
        <w:rPr>
          <w:rFonts w:ascii="Times New Roman;serif" w:hAnsi="Times New Roman;serif"/>
          <w:b w:val="false"/>
          <w:color w:val="000000"/>
          <w:sz w:val="20"/>
        </w:rPr>
        <w:t xml:space="preserve">has the meaning assigned to such term in Section 7.2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Covered B Shares</w:t>
      </w:r>
      <w:r>
        <w:rPr>
          <w:color w:val="000000"/>
        </w:rPr>
        <w:t xml:space="preserve">” </w:t>
      </w:r>
      <w:r>
        <w:rPr>
          <w:rFonts w:ascii="Times New Roman;serif" w:hAnsi="Times New Roman;serif"/>
          <w:b w:val="false"/>
          <w:color w:val="000000"/>
          <w:sz w:val="20"/>
        </w:rPr>
        <w:t>means the Distribution Class B Shares and any Class B Shares issued upon conversion of Distribution Class A Shares in accordance with their terms.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Demand Registration</w:t>
      </w:r>
      <w:r>
        <w:rPr>
          <w:color w:val="000000"/>
        </w:rPr>
        <w:t xml:space="preserve">” </w:t>
      </w:r>
      <w:r>
        <w:rPr>
          <w:rFonts w:ascii="Times New Roman;serif" w:hAnsi="Times New Roman;serif"/>
          <w:b w:val="false"/>
          <w:color w:val="000000"/>
          <w:sz w:val="20"/>
        </w:rPr>
        <w:t xml:space="preserve">has the meaning assigned to such term in Section 2.1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Demand Request</w:t>
      </w:r>
      <w:r>
        <w:rPr>
          <w:color w:val="000000"/>
        </w:rPr>
        <w:t xml:space="preserve">” </w:t>
      </w:r>
      <w:r>
        <w:rPr>
          <w:rFonts w:ascii="Times New Roman;serif" w:hAnsi="Times New Roman;serif"/>
          <w:b w:val="false"/>
          <w:color w:val="000000"/>
          <w:sz w:val="20"/>
        </w:rPr>
        <w:t xml:space="preserve">has the meaning assigned to such term in Section 2.1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Exchange Act</w:t>
      </w:r>
      <w:r>
        <w:rPr>
          <w:color w:val="000000"/>
        </w:rPr>
        <w:t xml:space="preserve">” </w:t>
      </w:r>
      <w:r>
        <w:rPr>
          <w:rFonts w:ascii="Times New Roman;serif" w:hAnsi="Times New Roman;serif"/>
          <w:b w:val="false"/>
          <w:color w:val="000000"/>
          <w:sz w:val="20"/>
        </w:rPr>
        <w:t xml:space="preserve">means the Securities Exchange Act of 1934, as amended, or any successor statute, and the rules and regulations of the Commission thereunder.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FINRA</w:t>
      </w:r>
      <w:r>
        <w:rPr>
          <w:color w:val="000000"/>
        </w:rPr>
        <w:t xml:space="preserve">” </w:t>
      </w:r>
      <w:r>
        <w:rPr>
          <w:rFonts w:ascii="Times New Roman;serif" w:hAnsi="Times New Roman;serif"/>
          <w:b w:val="false"/>
          <w:color w:val="000000"/>
          <w:sz w:val="20"/>
        </w:rPr>
        <w:t xml:space="preserve">has the meaning assigned to such term in Section 6.1(n)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Holder</w:t>
      </w:r>
      <w:r>
        <w:rPr>
          <w:color w:val="000000"/>
        </w:rPr>
        <w:t xml:space="preserve">” </w:t>
      </w:r>
      <w:r>
        <w:rPr>
          <w:rFonts w:ascii="Times New Roman;serif" w:hAnsi="Times New Roman;serif"/>
          <w:b w:val="false"/>
          <w:color w:val="000000"/>
          <w:sz w:val="20"/>
        </w:rPr>
        <w:t xml:space="preserve">means Melker Schörling AB and any Permitted Assignee.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Indemnified Person</w:t>
      </w:r>
      <w:r>
        <w:rPr>
          <w:color w:val="000000"/>
        </w:rPr>
        <w:t xml:space="preserve">” </w:t>
      </w:r>
      <w:r>
        <w:rPr>
          <w:rFonts w:ascii="Times New Roman;serif" w:hAnsi="Times New Roman;serif"/>
          <w:b w:val="false"/>
          <w:color w:val="000000"/>
          <w:sz w:val="20"/>
        </w:rPr>
        <w:t xml:space="preserve">has the meaning assigned to such term in Section 7.1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Indemnitee</w:t>
      </w:r>
      <w:r>
        <w:rPr>
          <w:color w:val="000000"/>
        </w:rPr>
        <w:t xml:space="preserve">” </w:t>
      </w:r>
      <w:r>
        <w:rPr>
          <w:rFonts w:ascii="Times New Roman;serif" w:hAnsi="Times New Roman;serif"/>
          <w:b w:val="false"/>
          <w:color w:val="000000"/>
          <w:sz w:val="20"/>
        </w:rPr>
        <w:t xml:space="preserve">has the meaning assigned to such term in Section 7.3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Indemnitors</w:t>
      </w:r>
      <w:r>
        <w:rPr>
          <w:color w:val="000000"/>
        </w:rPr>
        <w:t xml:space="preserve">” </w:t>
      </w:r>
      <w:r>
        <w:rPr>
          <w:rFonts w:ascii="Times New Roman;serif" w:hAnsi="Times New Roman;serif"/>
          <w:b w:val="false"/>
          <w:color w:val="000000"/>
          <w:sz w:val="20"/>
        </w:rPr>
        <w:t xml:space="preserve">has the meaning assigned to such term in Section 7.5(c)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Inspectors</w:t>
      </w:r>
      <w:r>
        <w:rPr>
          <w:color w:val="000000"/>
        </w:rPr>
        <w:t xml:space="preserve">” </w:t>
      </w:r>
      <w:r>
        <w:rPr>
          <w:rFonts w:ascii="Times New Roman;serif" w:hAnsi="Times New Roman;serif"/>
          <w:b w:val="false"/>
          <w:color w:val="000000"/>
          <w:sz w:val="20"/>
        </w:rPr>
        <w:t xml:space="preserve">has the meaning assigned to such term in Section 6.1(k)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Loss</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Losses</w:t>
      </w:r>
      <w:r>
        <w:rPr>
          <w:color w:val="000000"/>
        </w:rPr>
        <w:t xml:space="preserve">” </w:t>
      </w:r>
      <w:r>
        <w:rPr>
          <w:rFonts w:ascii="Times New Roman;serif" w:hAnsi="Times New Roman;serif"/>
          <w:b w:val="false"/>
          <w:color w:val="000000"/>
          <w:sz w:val="20"/>
        </w:rPr>
        <w:t xml:space="preserve">have the meanings assigned to such terms in Section 7.1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MS Representative</w:t>
      </w:r>
      <w:r>
        <w:rPr>
          <w:color w:val="000000"/>
        </w:rPr>
        <w:t xml:space="preserve">” </w:t>
      </w:r>
      <w:r>
        <w:rPr>
          <w:rFonts w:ascii="Times New Roman;serif" w:hAnsi="Times New Roman;serif"/>
          <w:b w:val="false"/>
          <w:color w:val="000000"/>
          <w:sz w:val="20"/>
        </w:rPr>
        <w:t xml:space="preserve">means any Holder that may be designated at any time and from time to time by written notice from a Holder to the Company in accordance with Section 10.1.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Minimum Registrable Securities</w:t>
      </w:r>
      <w:r>
        <w:rPr>
          <w:color w:val="000000"/>
        </w:rPr>
        <w:t xml:space="preserve">” </w:t>
      </w:r>
      <w:r>
        <w:rPr>
          <w:rFonts w:ascii="Times New Roman;serif" w:hAnsi="Times New Roman;serif"/>
          <w:b w:val="false"/>
          <w:color w:val="000000"/>
          <w:sz w:val="20"/>
        </w:rPr>
        <w:t xml:space="preserve">means Registrable Securities that either (i) would be expected to have an aggregate value of at least fifty million dollars ($50,000,000) based on market prices prevailing at the time of the Demand Request or (ii) such lesser number that constitutes all of the Registrable Securities.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Ordinary Shares</w:t>
      </w:r>
      <w:r>
        <w:rPr>
          <w:color w:val="000000"/>
        </w:rPr>
        <w:t xml:space="preserve">” </w:t>
      </w:r>
      <w:r>
        <w:rPr>
          <w:rFonts w:ascii="Times New Roman;serif" w:hAnsi="Times New Roman;serif"/>
          <w:b w:val="false"/>
          <w:color w:val="000000"/>
          <w:sz w:val="20"/>
        </w:rPr>
        <w:t xml:space="preserve">means the Class A Shares and Class B Shares, as authorized from time to time.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Participating Holder</w:t>
      </w:r>
      <w:r>
        <w:rPr>
          <w:color w:val="000000"/>
        </w:rPr>
        <w:t xml:space="preserve">” </w:t>
      </w:r>
      <w:r>
        <w:rPr>
          <w:rFonts w:ascii="Times New Roman;serif" w:hAnsi="Times New Roman;serif"/>
          <w:b w:val="false"/>
          <w:color w:val="000000"/>
          <w:sz w:val="20"/>
        </w:rPr>
        <w:t xml:space="preserve">means any Holder on whose behalf Registrable Securities are registered pursuant to Articles II, III or IV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Permitted Assignee</w:t>
      </w:r>
      <w:r>
        <w:rPr>
          <w:color w:val="000000"/>
        </w:rPr>
        <w:t xml:space="preserve">” </w:t>
      </w:r>
      <w:r>
        <w:rPr>
          <w:rFonts w:ascii="Times New Roman;serif" w:hAnsi="Times New Roman;serif"/>
          <w:b w:val="false"/>
          <w:color w:val="000000"/>
          <w:sz w:val="20"/>
        </w:rPr>
        <w:t xml:space="preserve">means any Affiliate of Melker Schörling AB to whom Melker Schörling AB or another Holder transfers or otherwise conveys Registrable Securities (or securities convertible into Registrable Securities) and assigns this Agreement to in accordance with Section 10.2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 xml:space="preserve">means any individual, corporation, partnership, limited liability company, joint venture, association, joint-stock company, trust, unincorporated organization, government or any agency or political subdivision thereof or any other entity.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Piggyback Registration</w:t>
      </w:r>
      <w:r>
        <w:rPr>
          <w:color w:val="000000"/>
        </w:rPr>
        <w:t xml:space="preserve">” </w:t>
      </w:r>
      <w:r>
        <w:rPr>
          <w:rFonts w:ascii="Times New Roman;serif" w:hAnsi="Times New Roman;serif"/>
          <w:b w:val="false"/>
          <w:color w:val="000000"/>
          <w:sz w:val="20"/>
        </w:rPr>
        <w:t xml:space="preserve">has the meaning assigned to such term in Section 3.1 hereof.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2"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Piggyback Request</w:t>
      </w:r>
      <w:r>
        <w:rPr>
          <w:color w:val="000000"/>
        </w:rPr>
        <w:t xml:space="preserve">” </w:t>
      </w:r>
      <w:r>
        <w:rPr>
          <w:rFonts w:ascii="Times New Roman;serif" w:hAnsi="Times New Roman;serif"/>
          <w:b w:val="false"/>
          <w:color w:val="000000"/>
          <w:sz w:val="20"/>
        </w:rPr>
        <w:t xml:space="preserve">has the meaning assigned to such term in Section 3.1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Piggybacking Holders</w:t>
      </w:r>
      <w:r>
        <w:rPr>
          <w:color w:val="000000"/>
        </w:rPr>
        <w:t xml:space="preserve">” </w:t>
      </w:r>
      <w:r>
        <w:rPr>
          <w:rFonts w:ascii="Times New Roman;serif" w:hAnsi="Times New Roman;serif"/>
          <w:b w:val="false"/>
          <w:color w:val="000000"/>
          <w:sz w:val="20"/>
        </w:rPr>
        <w:t xml:space="preserve">has the meaning assigned to such term in Section 3.2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Prospectus</w:t>
      </w:r>
      <w:r>
        <w:rPr>
          <w:color w:val="000000"/>
        </w:rPr>
        <w:t xml:space="preserve">” </w:t>
      </w:r>
      <w:r>
        <w:rPr>
          <w:rFonts w:ascii="Times New Roman;serif" w:hAnsi="Times New Roman;serif"/>
          <w:b w:val="false"/>
          <w:color w:val="000000"/>
          <w:sz w:val="20"/>
        </w:rPr>
        <w:t xml:space="preserve">means the prospectus included in any Registration Statement, all amendments and supplements to such prospectus and all material incorporated by reference in such prospectus.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Records</w:t>
      </w:r>
      <w:r>
        <w:rPr>
          <w:color w:val="000000"/>
        </w:rPr>
        <w:t xml:space="preserve">” </w:t>
      </w:r>
      <w:r>
        <w:rPr>
          <w:rFonts w:ascii="Times New Roman;serif" w:hAnsi="Times New Roman;serif"/>
          <w:b w:val="false"/>
          <w:color w:val="000000"/>
          <w:sz w:val="20"/>
        </w:rPr>
        <w:t xml:space="preserve">has the meaning assigned to such term in Section 6.1(k)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register</w:t>
      </w:r>
      <w:r>
        <w:rPr>
          <w:rFonts w:ascii="Times New Roman;serif" w:hAnsi="Times New Roman;serif"/>
          <w:b w:val="false"/>
          <w:color w:val="000000"/>
          <w:sz w:val="20"/>
        </w:rPr>
        <w:t>,” “</w:t>
      </w:r>
      <w:r>
        <w:rPr>
          <w:rFonts w:ascii="Times New Roman;serif" w:hAnsi="Times New Roman;serif"/>
          <w:b w:val="false"/>
          <w:color w:val="000000"/>
          <w:sz w:val="20"/>
          <w:u w:val="single"/>
        </w:rPr>
        <w:t>registered</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registration</w:t>
      </w:r>
      <w:r>
        <w:rPr>
          <w:color w:val="000000"/>
        </w:rPr>
        <w:t xml:space="preserve">” </w:t>
      </w:r>
      <w:r>
        <w:rPr>
          <w:rFonts w:ascii="Times New Roman;serif" w:hAnsi="Times New Roman;serif"/>
          <w:b w:val="false"/>
          <w:color w:val="000000"/>
          <w:sz w:val="20"/>
        </w:rPr>
        <w:t xml:space="preserve">mean a registration effected by preparing and filing with the Commission a Registration Statement on an appropriate form in compliance with the Securities Act, and the declaration or order of the Commission of the effectiveness of such Registration Statement under the Securities Act.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Registrable Securities</w:t>
      </w:r>
      <w:r>
        <w:rPr>
          <w:color w:val="000000"/>
        </w:rPr>
        <w:t xml:space="preserve">” </w:t>
      </w:r>
      <w:r>
        <w:rPr>
          <w:rFonts w:ascii="Times New Roman;serif" w:hAnsi="Times New Roman;serif"/>
          <w:b w:val="false"/>
          <w:color w:val="000000"/>
          <w:sz w:val="20"/>
        </w:rPr>
        <w:t xml:space="preserve">means (i) Covered B Shares, (ii) any other Class B Shares acquired by the Holder directly from the Company and (iii) any securities that may be issued or distributed or be issuable in respect thereof, including by way of share dividend, share split or other similar distribution, payment in kind with respect to any interest payment, merger, consolidation, exchange offer, recapitalization or reclassification or similar transaction or exercise or conversion of any of the foregoing, in the case of each of foregoing clauses (i) and (ii) and this clause (iii), which are held by a Holder now or at any time in the future;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as to any Registrable Securities, such securities shall irrevocably cease to constitute “Registrable Securities” for purposes of this Agreement upon the earliest to occur of: (i) the date on which such securities have been disposed of pursuant an effective Registration Statement under the Securities Act, (ii) the date such securities are disposed of pursuant to Rule 144, (iii) the date falling three (3) months after the date that the Holder, together with its Affiliates and any other Person whose beneficial ownership of Ordinary Shares would be aggregated with that of the Holder pursuant to Rule 13d-3 under the Exchange Act (including any “group” within the meaning of Section 13(d)(3) of the Exchange Act), beneficially owns less than 10% of the total voting power and number of the Company’s outstanding Ordinary Shares as determined in accordance with Rule 13d-3, (iv) the date such securities are no longer outstanding or (v) the date on which such securities are freely transferable pursuant to Rule 144 without regard to volume or manner of sale restrictions.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Registration Statement</w:t>
      </w:r>
      <w:r>
        <w:rPr>
          <w:color w:val="000000"/>
        </w:rPr>
        <w:t xml:space="preserve">” </w:t>
      </w:r>
      <w:r>
        <w:rPr>
          <w:rFonts w:ascii="Times New Roman;serif" w:hAnsi="Times New Roman;serif"/>
          <w:b w:val="false"/>
          <w:color w:val="000000"/>
          <w:sz w:val="20"/>
        </w:rPr>
        <w:t xml:space="preserve">means any registration statement of the Company filed with, or to be filed with, the Commission under the rules and regulations promulgated under the Securities Act, including the Prospectus, amendments and supplements to such registration statement, including post-effective amendments, and all exhibits and all material incorporated by reference in such registration statement.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Requesting Holder(s)</w:t>
      </w:r>
      <w:r>
        <w:rPr>
          <w:color w:val="000000"/>
        </w:rPr>
        <w:t xml:space="preserve">” </w:t>
      </w:r>
      <w:r>
        <w:rPr>
          <w:rFonts w:ascii="Times New Roman;serif" w:hAnsi="Times New Roman;serif"/>
          <w:b w:val="false"/>
          <w:color w:val="000000"/>
          <w:sz w:val="20"/>
        </w:rPr>
        <w:t xml:space="preserve">has the meaning assigned to such term in Section 2.1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Rule 144</w:t>
      </w:r>
      <w:r>
        <w:rPr>
          <w:color w:val="000000"/>
        </w:rPr>
        <w:t xml:space="preserve">” </w:t>
      </w:r>
      <w:r>
        <w:rPr>
          <w:rFonts w:ascii="Times New Roman;serif" w:hAnsi="Times New Roman;serif"/>
          <w:b w:val="false"/>
          <w:color w:val="000000"/>
          <w:sz w:val="20"/>
        </w:rPr>
        <w:t xml:space="preserve">means Rule 144 (or any similar provision then in force) promulgated under the Securities Act.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Securities Act</w:t>
      </w:r>
      <w:r>
        <w:rPr>
          <w:color w:val="000000"/>
        </w:rPr>
        <w:t xml:space="preserve">” </w:t>
      </w:r>
      <w:r>
        <w:rPr>
          <w:rFonts w:ascii="Times New Roman;serif" w:hAnsi="Times New Roman;serif"/>
          <w:b w:val="false"/>
          <w:color w:val="000000"/>
          <w:sz w:val="20"/>
        </w:rPr>
        <w:t xml:space="preserve">means the Securities Act of 1933, as amended, or any successor statute, and the rules and regulations of the Commission thereunder.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Shelf Registration Statement</w:t>
      </w:r>
      <w:r>
        <w:rPr>
          <w:color w:val="000000"/>
        </w:rPr>
        <w:t xml:space="preserve">” </w:t>
      </w:r>
      <w:r>
        <w:rPr>
          <w:rFonts w:ascii="Times New Roman;serif" w:hAnsi="Times New Roman;serif"/>
          <w:b w:val="false"/>
          <w:color w:val="000000"/>
          <w:sz w:val="20"/>
        </w:rPr>
        <w:t xml:space="preserve">has the meaning assigned to such term in Section 4.1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Subsidiary</w:t>
      </w:r>
      <w:r>
        <w:rPr>
          <w:color w:val="000000"/>
        </w:rPr>
        <w:t xml:space="preserve">” </w:t>
      </w:r>
      <w:r>
        <w:rPr>
          <w:rFonts w:ascii="Times New Roman;serif" w:hAnsi="Times New Roman;serif"/>
          <w:b w:val="false"/>
          <w:color w:val="000000"/>
          <w:sz w:val="20"/>
        </w:rPr>
        <w:t xml:space="preserve">means, with respect to any Person, any entity of which securities or other ownership interests having voting power to elect a majority of the board of directors or other persons performing similar functions are directly or indirectly owned by such Person.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Suspension Notice</w:t>
      </w:r>
      <w:r>
        <w:rPr>
          <w:color w:val="000000"/>
        </w:rPr>
        <w:t xml:space="preserve">” </w:t>
      </w:r>
      <w:r>
        <w:rPr>
          <w:rFonts w:ascii="Times New Roman;serif" w:hAnsi="Times New Roman;serif"/>
          <w:b w:val="false"/>
          <w:color w:val="000000"/>
          <w:sz w:val="20"/>
        </w:rPr>
        <w:t xml:space="preserve">has the meaning assigned to such term in Section 5.1(b)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Suspension Period</w:t>
      </w:r>
      <w:r>
        <w:rPr>
          <w:color w:val="000000"/>
        </w:rPr>
        <w:t xml:space="preserve">” </w:t>
      </w:r>
      <w:r>
        <w:rPr>
          <w:rFonts w:ascii="Times New Roman;serif" w:hAnsi="Times New Roman;serif"/>
          <w:b w:val="false"/>
          <w:color w:val="000000"/>
          <w:sz w:val="20"/>
        </w:rPr>
        <w:t xml:space="preserve">has the meaning assigned to such term in Section 5.1(a) hereof.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u w:val="single"/>
        </w:rPr>
        <w:t>Underwritten Offering</w:t>
      </w:r>
      <w:r>
        <w:rPr>
          <w:color w:val="000000"/>
        </w:rPr>
        <w:t xml:space="preserve">” </w:t>
      </w:r>
      <w:r>
        <w:rPr>
          <w:rFonts w:ascii="Times New Roman;serif" w:hAnsi="Times New Roman;serif"/>
          <w:b w:val="false"/>
          <w:color w:val="000000"/>
          <w:sz w:val="20"/>
        </w:rPr>
        <w:t xml:space="preserve">means a registration in which securities of the Company are sold to an underwriter or underwriters on a firm commitment basis for reoffering to the public.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3"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10000"/>
          <w:sz w:val="20"/>
        </w:rPr>
        <w:t>1.2    </w:t>
      </w:r>
      <w:r>
        <w:rPr>
          <w:rFonts w:ascii="Times New Roman;serif" w:hAnsi="Times New Roman;serif"/>
          <w:b w:val="false"/>
          <w:color w:val="000000"/>
          <w:sz w:val="20"/>
          <w:u w:val="single"/>
        </w:rPr>
        <w:t>General Interpretive Principles</w:t>
      </w:r>
      <w:r>
        <w:rPr>
          <w:rFonts w:ascii="Times New Roman;serif" w:hAnsi="Times New Roman;serif"/>
          <w:b w:val="false"/>
          <w:color w:val="000000"/>
          <w:sz w:val="20"/>
        </w:rPr>
        <w:t>. Whenever used in this Agreement, except as otherwise expressly provided or unless the context otherwise requires, any noun or pronoun shall be deemed to include the plural as well as the singular and to cover all genders. The name assigned to this Agreement and the section captions used herein are for convenience of reference only and shall not be construed to affect the meaning, construction or effect hereof. Unless otherwise specified, the terms “hereof,” “herein,” “hereunder” and similar terms refer to this Agreement as a whole (including the exhibits and schedules hereto), and references herein to “Sections” refer to Sections of this Agreement. The words “include,” “includes” and “including,” when used in this Agreement, shall be deemed to be followed by the words “without limitation.”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DEMAND REGISTRATION </w:t>
      </w:r>
    </w:p>
    <w:p>
      <w:pPr>
        <w:pStyle w:val="TextBody"/>
        <w:bidi w:val="0"/>
        <w:spacing w:lineRule="auto" w:line="288" w:before="0" w:after="240"/>
        <w:ind w:left="0" w:right="0" w:firstLine="720"/>
        <w:jc w:val="left"/>
        <w:rPr/>
      </w:pPr>
      <w:r>
        <w:rPr>
          <w:rFonts w:ascii="Times New Roman;serif" w:hAnsi="Times New Roman;serif"/>
          <w:b w:val="false"/>
          <w:color w:val="010000"/>
          <w:sz w:val="20"/>
        </w:rPr>
        <w:t>2.1    </w:t>
      </w:r>
      <w:r>
        <w:rPr>
          <w:rFonts w:ascii="Times New Roman;serif" w:hAnsi="Times New Roman;serif"/>
          <w:b w:val="false"/>
          <w:color w:val="000000"/>
          <w:sz w:val="20"/>
          <w:u w:val="single"/>
        </w:rPr>
        <w:t>Demand Registration</w:t>
      </w:r>
      <w:r>
        <w:rPr>
          <w:rFonts w:ascii="Times New Roman;serif" w:hAnsi="Times New Roman;serif"/>
          <w:b w:val="false"/>
          <w:color w:val="000000"/>
          <w:sz w:val="20"/>
        </w:rPr>
        <w:t>. Subject to the provisions contained in this Section 2.1 and in Sections 5.1 and 5.2 hereof, any Holder or group of Holders may, from time to time following the date which is the first (1</w:t>
      </w:r>
      <w:r>
        <w:rPr>
          <w:rFonts w:ascii="Times New Roman;serif" w:hAnsi="Times New Roman;serif"/>
          <w:b w:val="false"/>
          <w:color w:val="000000"/>
          <w:sz w:val="13"/>
        </w:rPr>
        <w:t>st</w:t>
      </w:r>
      <w:r>
        <w:rPr>
          <w:rFonts w:ascii="Times New Roman;serif" w:hAnsi="Times New Roman;serif"/>
          <w:b w:val="false"/>
          <w:color w:val="000000"/>
          <w:sz w:val="20"/>
        </w:rPr>
        <w:t>) anniversary of the Distribution Date (each, a “</w:t>
      </w:r>
      <w:r>
        <w:rPr>
          <w:rFonts w:ascii="Times New Roman;serif" w:hAnsi="Times New Roman;serif"/>
          <w:b w:val="false"/>
          <w:color w:val="000000"/>
          <w:sz w:val="20"/>
          <w:u w:val="single"/>
        </w:rPr>
        <w:t>Requesting Holder</w:t>
      </w:r>
      <w:r>
        <w:rPr>
          <w:color w:val="000000"/>
        </w:rPr>
        <w:t xml:space="preserve">” </w:t>
      </w:r>
      <w:r>
        <w:rPr>
          <w:rFonts w:ascii="Times New Roman;serif" w:hAnsi="Times New Roman;serif"/>
          <w:b w:val="false"/>
          <w:color w:val="000000"/>
          <w:sz w:val="20"/>
        </w:rPr>
        <w:t>and collectively, the “</w:t>
      </w:r>
      <w:r>
        <w:rPr>
          <w:rFonts w:ascii="Times New Roman;serif" w:hAnsi="Times New Roman;serif"/>
          <w:b w:val="false"/>
          <w:color w:val="000000"/>
          <w:sz w:val="20"/>
          <w:u w:val="single"/>
        </w:rPr>
        <w:t>Requesting Holders</w:t>
      </w:r>
      <w:r>
        <w:rPr>
          <w:color w:val="000000"/>
        </w:rPr>
        <w:t>”</w:t>
      </w:r>
      <w:r>
        <w:rPr>
          <w:rFonts w:ascii="Times New Roman;serif" w:hAnsi="Times New Roman;serif"/>
          <w:b w:val="false"/>
          <w:color w:val="000000"/>
          <w:sz w:val="20"/>
        </w:rPr>
        <w:t>), make a request in writing (a “</w:t>
      </w:r>
      <w:r>
        <w:rPr>
          <w:rFonts w:ascii="Times New Roman;serif" w:hAnsi="Times New Roman;serif"/>
          <w:b w:val="false"/>
          <w:color w:val="000000"/>
          <w:sz w:val="20"/>
          <w:u w:val="single"/>
        </w:rPr>
        <w:t>Demand Request</w:t>
      </w:r>
      <w:r>
        <w:rPr>
          <w:color w:val="000000"/>
        </w:rPr>
        <w:t>”</w:t>
      </w:r>
      <w:r>
        <w:rPr>
          <w:rFonts w:ascii="Times New Roman;serif" w:hAnsi="Times New Roman;serif"/>
          <w:b w:val="false"/>
          <w:color w:val="000000"/>
          <w:sz w:val="20"/>
        </w:rPr>
        <w:t>) that the Company effect the registration under the Securities Act of at least the Minimum Registrable Securities owned by the Requesting Holder(s) (a “</w:t>
      </w:r>
      <w:r>
        <w:rPr>
          <w:rFonts w:ascii="Times New Roman;serif" w:hAnsi="Times New Roman;serif"/>
          <w:b w:val="false"/>
          <w:color w:val="000000"/>
          <w:sz w:val="20"/>
          <w:u w:val="single"/>
        </w:rPr>
        <w:t>Demand Registration</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Company shall in no event be required to effect: </w:t>
      </w:r>
    </w:p>
    <w:p>
      <w:pPr>
        <w:pStyle w:val="TextBody"/>
        <w:bidi w:val="0"/>
        <w:spacing w:lineRule="auto" w:line="288" w:before="0" w:after="240"/>
        <w:ind w:left="0" w:right="0" w:firstLine="1440"/>
        <w:jc w:val="left"/>
        <w:rPr/>
      </w:pPr>
      <w:r>
        <w:rPr>
          <w:rFonts w:ascii="Times New Roman;serif" w:hAnsi="Times New Roman;serif"/>
          <w:b w:val="false"/>
          <w:color w:val="010000"/>
          <w:sz w:val="20"/>
        </w:rPr>
        <w:t>(a)    </w:t>
      </w:r>
      <w:r>
        <w:rPr>
          <w:rFonts w:ascii="Times New Roman;serif" w:hAnsi="Times New Roman;serif"/>
          <w:b w:val="false"/>
          <w:color w:val="000000"/>
          <w:sz w:val="20"/>
        </w:rPr>
        <w:t xml:space="preserve">more than four (4) Demand Registrations in any twelve (12) month period; </w:t>
      </w:r>
    </w:p>
    <w:p>
      <w:pPr>
        <w:pStyle w:val="TextBody"/>
        <w:bidi w:val="0"/>
        <w:spacing w:lineRule="auto" w:line="288" w:before="0" w:after="240"/>
        <w:ind w:left="0" w:right="0" w:firstLine="1440"/>
        <w:jc w:val="left"/>
        <w:rPr/>
      </w:pPr>
      <w:r>
        <w:rPr>
          <w:rFonts w:ascii="Times New Roman;serif" w:hAnsi="Times New Roman;serif"/>
          <w:b w:val="false"/>
          <w:color w:val="010000"/>
          <w:sz w:val="20"/>
        </w:rPr>
        <w:t>(b)    </w:t>
      </w:r>
      <w:r>
        <w:rPr>
          <w:rFonts w:ascii="Times New Roman;serif" w:hAnsi="Times New Roman;serif"/>
          <w:b w:val="false"/>
          <w:color w:val="000000"/>
          <w:sz w:val="20"/>
        </w:rPr>
        <w:t xml:space="preserve">any Demand Registration during the period from sixty (60) calendar days prior to and sixty (60) calendar days after the date of effectiveness of any Registration Statement (other than a Shelf Registration Statement); </w:t>
      </w:r>
      <w:r>
        <w:rPr>
          <w:rFonts w:ascii="Times New Roman;serif" w:hAnsi="Times New Roman;serif"/>
          <w:b w:val="false"/>
          <w:color w:val="000000"/>
          <w:sz w:val="20"/>
          <w:u w:val="single"/>
        </w:rPr>
        <w:t>provided</w:t>
      </w:r>
      <w:r>
        <w:rPr>
          <w:rFonts w:ascii="Times New Roman;serif" w:hAnsi="Times New Roman;serif"/>
          <w:b w:val="false"/>
          <w:color w:val="000000"/>
          <w:sz w:val="20"/>
        </w:rPr>
        <w:t>, however, that the Company provided the Holders at least five (5) Business Days’ notice of the initial filing of such Registration Statement pursuant to Section 10.1 hereof; and</w:t>
      </w:r>
    </w:p>
    <w:p>
      <w:pPr>
        <w:pStyle w:val="TextBody"/>
        <w:bidi w:val="0"/>
        <w:spacing w:lineRule="auto" w:line="288" w:before="0" w:after="240"/>
        <w:ind w:left="0" w:right="0" w:firstLine="1440"/>
        <w:jc w:val="left"/>
        <w:rPr/>
      </w:pPr>
      <w:r>
        <w:rPr>
          <w:rFonts w:ascii="Times New Roman;serif" w:hAnsi="Times New Roman;serif"/>
          <w:b w:val="false"/>
          <w:color w:val="010000"/>
          <w:sz w:val="20"/>
        </w:rPr>
        <w:t>(c)    </w:t>
      </w:r>
      <w:r>
        <w:rPr>
          <w:rFonts w:ascii="Times New Roman;serif" w:hAnsi="Times New Roman;serif"/>
          <w:b w:val="false"/>
          <w:color w:val="000000"/>
          <w:sz w:val="20"/>
        </w:rPr>
        <w:t xml:space="preserve">any Demand Registration if the Shelf Registration Statement is then effective, and such Shelf Registration Statement may be utilized by the Requesting Holders for the offering and sale of all of their Registrable Securities without a requirement under the Commission’s rules and regulations for a post-effective amendment thereto.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provisions contained in this Section 2.1 and in Sections 5.1 and 5.2 hereof, upon receipt of a Demand Request, the Company shall use its commercially reasonable efforts to cause to be included in a Registration Statement on an appropriate form under the Securities Act, filed with the Commission as promptly as practicable but in any event not later than forty-five (45) days after receiving a Demand Request, such Registrable Securities as may be requested by such Requesting Holders in their Demand Request. The Company shall use its commercially reasonable efforts to cause any such Registration Statement to be declared effective under the Securities Act as promptly as possible after such filing. </w:t>
      </w:r>
    </w:p>
    <w:p>
      <w:pPr>
        <w:pStyle w:val="TextBody"/>
        <w:bidi w:val="0"/>
        <w:spacing w:lineRule="auto" w:line="288" w:before="0" w:after="240"/>
        <w:ind w:left="0" w:right="0" w:firstLine="720"/>
        <w:jc w:val="left"/>
        <w:rPr/>
      </w:pPr>
      <w:r>
        <w:rPr>
          <w:rFonts w:ascii="Times New Roman;serif" w:hAnsi="Times New Roman;serif"/>
          <w:b w:val="false"/>
          <w:color w:val="010000"/>
          <w:sz w:val="20"/>
        </w:rPr>
        <w:t>2.2    </w:t>
      </w:r>
      <w:r>
        <w:rPr>
          <w:rFonts w:ascii="Times New Roman;serif" w:hAnsi="Times New Roman;serif"/>
          <w:b w:val="false"/>
          <w:color w:val="000000"/>
          <w:sz w:val="20"/>
          <w:u w:val="single"/>
        </w:rPr>
        <w:t>Effective Registration</w:t>
      </w:r>
      <w:r>
        <w:rPr>
          <w:rFonts w:ascii="Times New Roman;serif" w:hAnsi="Times New Roman;serif"/>
          <w:b w:val="false"/>
          <w:color w:val="000000"/>
          <w:sz w:val="20"/>
        </w:rPr>
        <w:t xml:space="preserve">. A registration shall not count as a Demand Registration under this Agreement (i) unless the related Registration Statement has been declared effective under the Securities Act and has remained effective until such time as (x) all of such Registrable Securities covered thereby have been disposed of in accordance with the intended methods of disposition by the Participating Holders (but in no event for a period of more than 180 days after such Registration Statement becomes effective not including any Suspension Periods) or (y) a majority of the Registrable Securities covered thereby held by the Requesting Holders have been withdrawn or cancelled from such Demand Registration (other than as contemplated by the first sentence of Section 2.5); (ii) if, after a Registration Statement has become effective, an offering of Registrable Securities pursuant to such Registration Statement is terminated by any stop order, injunction, or other order of the Commission or other governmental agency or court, unless and until (x) such stop order or injunction is removed, rescinded or otherwise terminated, (y) any Requesting Holder thereafter elects, in its sole discretion, to continue the offering and (z) the related Registration Statement remains effective until the time periods specified in subclauses (x) and (y) of clause (i) above; or (iii) if pursuant to Section 2.4 hereof, the Requesting Holders are cut back to fewer than 75%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4"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Registrable Securities requested to be registered in the aggregate and at the time of the request there was not in effect the Shelf Registration Statement. </w:t>
      </w:r>
    </w:p>
    <w:p>
      <w:pPr>
        <w:pStyle w:val="TextBody"/>
        <w:bidi w:val="0"/>
        <w:spacing w:lineRule="auto" w:line="288" w:before="0" w:after="240"/>
        <w:ind w:left="0" w:right="0" w:firstLine="720"/>
        <w:jc w:val="left"/>
        <w:rPr/>
      </w:pPr>
      <w:r>
        <w:rPr>
          <w:rFonts w:ascii="Times New Roman;serif" w:hAnsi="Times New Roman;serif"/>
          <w:b w:val="false"/>
          <w:color w:val="010000"/>
          <w:sz w:val="20"/>
        </w:rPr>
        <w:t>2.3    </w:t>
      </w:r>
      <w:r>
        <w:rPr>
          <w:rFonts w:ascii="Times New Roman;serif" w:hAnsi="Times New Roman;serif"/>
          <w:b w:val="false"/>
          <w:color w:val="000000"/>
          <w:sz w:val="20"/>
          <w:u w:val="single"/>
        </w:rPr>
        <w:t>Underwritten Offerings</w:t>
      </w:r>
      <w:r>
        <w:rPr>
          <w:rFonts w:ascii="Times New Roman;serif" w:hAnsi="Times New Roman;serif"/>
          <w:b w:val="false"/>
          <w:color w:val="000000"/>
          <w:sz w:val="20"/>
        </w:rPr>
        <w:t>. If any Requesting Holder in the case of an offering pursuant to a Demand Registration so elects, such offering shall be in the form of an Underwritten Offering. With respect to any such Underwritten Offering pursuant to a Demand Registration, the MS Representative shall, with the consent of the Company (not to be unreasonably withheld), select an investment banking firm of national standing to be the managing underwriter for the offering. Notwithstanding anything herein to the contrary, the Company shall not be required to effectuate or proceed with an Underwritten Offering pursuant to a Demand Registration if the Company reasonably determines, after consultation in good faith with the MS Representative and the managing underwriter, that (i) it would be unable to provide adequate and timely disclosure required in connection with such Underwritten Offering or (ii) it would be unable to satisfy customary underwriting conditions applicable to such offering, in each case without undue burden on the Company.</w:t>
      </w:r>
    </w:p>
    <w:p>
      <w:pPr>
        <w:pStyle w:val="TextBody"/>
        <w:bidi w:val="0"/>
        <w:spacing w:lineRule="auto" w:line="288" w:before="0" w:after="240"/>
        <w:ind w:left="0" w:right="0" w:firstLine="720"/>
        <w:jc w:val="left"/>
        <w:rPr/>
      </w:pPr>
      <w:r>
        <w:rPr>
          <w:rFonts w:ascii="Times New Roman;serif" w:hAnsi="Times New Roman;serif"/>
          <w:b w:val="false"/>
          <w:color w:val="010000"/>
          <w:sz w:val="20"/>
        </w:rPr>
        <w:t>2.4    </w:t>
      </w:r>
      <w:r>
        <w:rPr>
          <w:rFonts w:ascii="Times New Roman;serif" w:hAnsi="Times New Roman;serif"/>
          <w:b w:val="false"/>
          <w:color w:val="000000"/>
          <w:sz w:val="20"/>
          <w:u w:val="single"/>
        </w:rPr>
        <w:t>Priority on Demand Registrations</w:t>
      </w:r>
      <w:r>
        <w:rPr>
          <w:rFonts w:ascii="Times New Roman;serif" w:hAnsi="Times New Roman;serif"/>
          <w:b w:val="false"/>
          <w:color w:val="000000"/>
          <w:sz w:val="20"/>
        </w:rPr>
        <w:t>. With respect to any Demand Registration (including any Underwritten Offering of Registrable Securities pursuant to a Demand Registration), subject to Article III, no securities to be sold for the account of any Person (including the Company) other than the Requesting Holders shall be included in a Demand Registration; provided that securities to be sold for the account of the Company may be included in such Demand Registration if, and only if, the managing underwriter advises the Requesting Holders and the Company in writing (or, in the case of a Demand Registration not being underwritten, the Requesting Holders determine in good faith after considering the relevant facts and circumstances at the relevant time) that the inclusion of such securities shall not adversely affect the price or success of the offering by the Requesting Holders (an “</w:t>
      </w:r>
      <w:r>
        <w:rPr>
          <w:rFonts w:ascii="Times New Roman;serif" w:hAnsi="Times New Roman;serif"/>
          <w:b w:val="false"/>
          <w:color w:val="000000"/>
          <w:sz w:val="20"/>
          <w:u w:val="single"/>
        </w:rPr>
        <w:t>Adverse Effect</w:t>
      </w:r>
      <w:r>
        <w:rPr>
          <w:color w:val="000000"/>
        </w:rPr>
        <w:t>”</w:t>
      </w:r>
      <w:r>
        <w:rPr>
          <w:rFonts w:ascii="Times New Roman;serif" w:hAnsi="Times New Roman;serif"/>
          <w:b w:val="false"/>
          <w:color w:val="000000"/>
          <w:sz w:val="20"/>
        </w:rPr>
        <w:t xml:space="preserve">). Furthermore, in the event that the managing underwriter advises the Requesting Holders in writing (or the Requesting Holders determine, as applicable, in good faith after considering the relevant facts and circumstances at the relevant time) that the amount of Registrable Securities proposed to be included in such Demand Registration by the Requesting Holders is sufficiently large (even after exclusion of all securities proposed to be sold for the account of the Company pursuant to the immediately preceding sentence) to cause an Adverse Effect, the number of Registrable Securities to be included in such Demand Registration shall be allocated among all such Requesting Holders pro rata for each Holder based on the percentage derived by dividing (i) the number of Registrable Securities that each such Holder requested to be included in such Demand Registration by (ii) the aggregate number of Registrable Securities that all Requesting Holders requested to be included in such Demand Registration;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if, as a result of such proration, any Requesting Holder shall not be entitled to include in a registration all Registrable Securities of the class or series that such Holder had requested to be included, such Holder may elect to withdraw its request to include such Registrable Securities in such registration or may reduce the number requested to be included; </w:t>
      </w:r>
      <w:r>
        <w:rPr>
          <w:rFonts w:ascii="Times New Roman;serif" w:hAnsi="Times New Roman;serif"/>
          <w:b w:val="false"/>
          <w:color w:val="000000"/>
          <w:sz w:val="20"/>
          <w:u w:val="single"/>
        </w:rPr>
        <w:t>provided further</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 such request must be made in writing prior to the earlier of the execution of the underwriting agreement, if any, or the execution of the custody agreement with respect to such registration, if any, and (b) such withdrawal or reduction shall be irrevocable. </w:t>
      </w:r>
    </w:p>
    <w:p>
      <w:pPr>
        <w:pStyle w:val="TextBody"/>
        <w:bidi w:val="0"/>
        <w:spacing w:lineRule="auto" w:line="288" w:before="0" w:after="240"/>
        <w:ind w:left="0" w:right="0" w:firstLine="720"/>
        <w:jc w:val="left"/>
        <w:rPr/>
      </w:pPr>
      <w:r>
        <w:rPr>
          <w:rFonts w:ascii="Times New Roman;serif" w:hAnsi="Times New Roman;serif"/>
          <w:b w:val="false"/>
          <w:color w:val="010000"/>
          <w:sz w:val="20"/>
        </w:rPr>
        <w:t>2.5    </w:t>
      </w:r>
      <w:r>
        <w:rPr>
          <w:rFonts w:ascii="Times New Roman;serif" w:hAnsi="Times New Roman;serif"/>
          <w:b w:val="false"/>
          <w:color w:val="000000"/>
          <w:sz w:val="20"/>
          <w:u w:val="single"/>
        </w:rPr>
        <w:t>Withdrawal and Cancellation of Registration</w:t>
      </w:r>
      <w:r>
        <w:rPr>
          <w:rFonts w:ascii="Times New Roman;serif" w:hAnsi="Times New Roman;serif"/>
          <w:b w:val="false"/>
          <w:color w:val="000000"/>
          <w:sz w:val="20"/>
        </w:rPr>
        <w:t xml:space="preserve">. Any Participating Holder may withdraw its Registrable Securities from a Demand Registration at any time and any Requesting Holders shall have the right to cancel a proposed Demand Registration of Registrable Securities pursuant to this Article II in accordance with the first sentence of Section 3.3 hereof (i) when the request for cancellation is based upon material adverse information relating to the Company that none of the Requesting Holders were aware of at the time of the Demand Request (including, for the avoidance of doubt, material adverse information that is materially different from the information that the Requesting Holders were aware of at the time of the Demand Request), (ii) if a Suspension Period occurs after a Demand Request but before the Registrable Securities covered by such Demand Request are sold, transferred, exchanged or disposed of in accordance with such Demand Request, or (iii) if the Company has breached its obligations hereunder with respect to such Demand Registration and such breach has caused, or would reasonably be expected to cause, an Adverse Effect. Upon such cancellation, the Company shall cease all efforts to secure registration with respect to Registrable Securities of Participating Holders and such Demand Registration shall not be counted as a Demand Registration under this Agreement for any purpose;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notwithstanding anything to the contrary in this Agreement (save for Section 10.6), the Company shall be responsible for the expenses of the Participating Holders incurred in connection with such cancelled registration through the date that is four (4) Business Days after the date on which any Participating Holders (X) had a right to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5"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cancel pursuant to the foregoing clause (i) or (ii), or (Y) became aware of their right to cancel pursuant to the foregoing clause (iii), in each of clause (X) and this clause (Y) to the extent such expenses are as described in clauses (i) through (x) of the first sentence of Article VIII hereof. Any expense reimbursement paid pursuant to clause (Y) of the immediately preceding sentence shall be in addition to any other remedy to which the Participating Holders may be entitled in law or in equity (but, for the avoidance of doubt, the Participating Holders may not recover the same expense twice). </w:t>
      </w:r>
    </w:p>
    <w:p>
      <w:pPr>
        <w:pStyle w:val="TextBody"/>
        <w:bidi w:val="0"/>
        <w:spacing w:lineRule="auto" w:line="288" w:before="0" w:after="240"/>
        <w:ind w:left="0" w:right="0" w:firstLine="720"/>
        <w:jc w:val="left"/>
        <w:rPr/>
      </w:pPr>
      <w:r>
        <w:rPr>
          <w:rFonts w:ascii="Times New Roman;serif" w:hAnsi="Times New Roman;serif"/>
          <w:b w:val="false"/>
          <w:color w:val="010000"/>
          <w:sz w:val="20"/>
        </w:rPr>
        <w:t>2.6    </w:t>
      </w:r>
      <w:r>
        <w:rPr>
          <w:rFonts w:ascii="Times New Roman;serif" w:hAnsi="Times New Roman;serif"/>
          <w:b w:val="false"/>
          <w:color w:val="000000"/>
          <w:sz w:val="20"/>
          <w:u w:val="single"/>
        </w:rPr>
        <w:t>Registration Statement Form</w:t>
      </w:r>
      <w:r>
        <w:rPr>
          <w:rFonts w:ascii="Times New Roman;serif" w:hAnsi="Times New Roman;serif"/>
          <w:b w:val="false"/>
          <w:color w:val="000000"/>
          <w:sz w:val="20"/>
        </w:rPr>
        <w:t xml:space="preserve">. Registrations under this Article II shall be on Form F-3 (or any successor or similar short-form registration statement), if available. Notwithstanding the foregoing, if, pursuant to a Demand Registration, (x) the Company proposes to effect registration by filing a registration statement on Form F-3 (or any successor or similar short-form registration statement), (y) such registration is in connection with an Underwritten Offering and (z) the managing underwriter shall advise the Company in writing that, in its or their opinion, the use of another form of registration statement (or the inclusion, rather than the incorporation by reference, of information in the Prospectus related to a registration statement on Form F-3 (or other short-form registration statement)) is of material importance to the success of such proposed offering, then such registration shall be effected on such other form (or such information shall be so included in such Prospectus).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PIGGYBACK REGISTRATIONS</w:t>
      </w:r>
    </w:p>
    <w:p>
      <w:pPr>
        <w:pStyle w:val="TextBody"/>
        <w:bidi w:val="0"/>
        <w:spacing w:lineRule="auto" w:line="288" w:before="0" w:after="240"/>
        <w:ind w:left="0" w:right="0" w:firstLine="720"/>
        <w:jc w:val="left"/>
        <w:rPr/>
      </w:pPr>
      <w:r>
        <w:rPr>
          <w:rFonts w:ascii="Times New Roman;serif" w:hAnsi="Times New Roman;serif"/>
          <w:b w:val="false"/>
          <w:color w:val="010000"/>
          <w:sz w:val="20"/>
        </w:rPr>
        <w:t>3.1    </w:t>
      </w:r>
      <w:r>
        <w:rPr>
          <w:rFonts w:ascii="Times New Roman;serif" w:hAnsi="Times New Roman;serif"/>
          <w:b w:val="false"/>
          <w:color w:val="000000"/>
          <w:sz w:val="20"/>
          <w:u w:val="single"/>
        </w:rPr>
        <w:t>Holder Piggyback Registration</w:t>
      </w:r>
      <w:r>
        <w:rPr>
          <w:rFonts w:ascii="Times New Roman;serif" w:hAnsi="Times New Roman;serif"/>
          <w:b w:val="false"/>
          <w:color w:val="000000"/>
          <w:sz w:val="20"/>
        </w:rPr>
        <w:t>. If the Company proposes to file a Registration Statement (including, for the avoidance of doubt, a shelf registration statement or amendment or supplement thereto) with respect to an offering of Class B Shares, or securities convertible into or exchangeable for Class B Shares, for its own account or for the account of securityholders (other than the Holders) of the Company (except pursuant to registrations of Class B Shares, or securities convertible into or exchangeable for Class B Shares, to be delivered as consideration in any merger, acquisition or other business combination or registrations on Form F-4 or Form S-4 or any successor form, on Form S-8 or any successor form relating solely to securities issued pursuant to any benefit plan, an offering of securities solely to then existing securityholders of the Company, a dividend reinvestment plan or an exchange offer) on a form that would permit registration of Registrable Securities for sale to the public under the Securities Act, then the Company shall give written notice of such proposed filing to the Holders not less than ten (10) Business Days before the anticipated filing date, describing in reasonable detail the proposed registration (including the number and class or series of securities proposed to be registered, the proposed date of filing of such Registration Statement, any proposed means of distribution of such securities, any proposed managing underwriter of such securities and a good faith estimate by the Company of the proposed maximum offering price of such securities as such price is proposed to appear on the facing page of such Registration Statement), and offering the Holders the opportunity to register such number of Registrable Securities of the same class as those being registered by the Company as each such Holder may request in writing (each a “</w:t>
      </w:r>
      <w:r>
        <w:rPr>
          <w:rFonts w:ascii="Times New Roman;serif" w:hAnsi="Times New Roman;serif"/>
          <w:b w:val="false"/>
          <w:color w:val="000000"/>
          <w:sz w:val="20"/>
          <w:u w:val="single"/>
        </w:rPr>
        <w:t>Piggyback Registration</w:t>
      </w:r>
      <w:r>
        <w:rPr>
          <w:color w:val="000000"/>
        </w:rPr>
        <w:t>”</w:t>
      </w:r>
      <w:r>
        <w:rPr>
          <w:rFonts w:ascii="Times New Roman;serif" w:hAnsi="Times New Roman;serif"/>
          <w:b w:val="false"/>
          <w:color w:val="000000"/>
          <w:sz w:val="20"/>
        </w:rPr>
        <w:t>). Subject to Sections 5.1 and 5.2 hereof, upon the written request of any Holder (a “</w:t>
      </w:r>
      <w:r>
        <w:rPr>
          <w:rFonts w:ascii="Times New Roman;serif" w:hAnsi="Times New Roman;serif"/>
          <w:b w:val="false"/>
          <w:color w:val="000000"/>
          <w:sz w:val="20"/>
          <w:u w:val="single"/>
        </w:rPr>
        <w:t>Piggyback Request</w:t>
      </w:r>
      <w:r>
        <w:rPr>
          <w:color w:val="000000"/>
        </w:rPr>
        <w:t>”</w:t>
      </w:r>
      <w:r>
        <w:rPr>
          <w:rFonts w:ascii="Times New Roman;serif" w:hAnsi="Times New Roman;serif"/>
          <w:b w:val="false"/>
          <w:color w:val="000000"/>
          <w:sz w:val="20"/>
        </w:rPr>
        <w:t xml:space="preserve">), received by the Company no later than five (5) Business Days after receipt by such Holder of the notice sent by the Company, to register, on the same terms and conditions as the same class of securities otherwise being sold pursuant to such registration, any of such Holder’s Registrable Securities of the same class as those being registered (which request shall state the intended method of disposition thereof if the securities otherwise being sold are being sold by more than one method of disposition), the Company shall use its reasonable efforts to cause such Registrable Securities as to which registration shall have been so requested to be included in the Registration Statement proposed to be filed by the Company on the same terms and conditions as the same class of securities otherwise being sold pursuant to such registration;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notwithstanding the foregoing, the Company may at any time, in its sole discretion, without the consent of any other Holder, delay or abandon the proposed offering in which any Holder had requested to participate pursuant to this Section 3.1 or cease the filing (or obtaining or maintaining the effectiveness) of or withdraw the related Registration Statement or other governmental approvals, registrations or qualifications. In such event, the Company shall so notify each Holder that had notified the Company in accordance with this Section 3.1 of its intention to participate in such offering and the Company shall incur no liability for its failure to complete any such offering;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in the event the Company has initiated the offering for its own account, the Company shall pay all expenses incurred by a Holder in connection with such delayed, abandoned or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6"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cancelled registration to the extent such expenses are described in clauses (i) through (x) of the first sentence of Article VIII hereof. </w:t>
      </w:r>
    </w:p>
    <w:p>
      <w:pPr>
        <w:pStyle w:val="TextBody"/>
        <w:bidi w:val="0"/>
        <w:spacing w:lineRule="auto" w:line="288" w:before="0" w:after="240"/>
        <w:ind w:left="0" w:right="0" w:firstLine="720"/>
        <w:jc w:val="left"/>
        <w:rPr/>
      </w:pPr>
      <w:r>
        <w:rPr>
          <w:rFonts w:ascii="Times New Roman;serif" w:hAnsi="Times New Roman;serif"/>
          <w:b w:val="false"/>
          <w:color w:val="010000"/>
          <w:sz w:val="20"/>
        </w:rPr>
        <w:t>3.2    </w:t>
      </w:r>
      <w:r>
        <w:rPr>
          <w:rFonts w:ascii="Times New Roman;serif" w:hAnsi="Times New Roman;serif"/>
          <w:b w:val="false"/>
          <w:color w:val="000000"/>
          <w:sz w:val="20"/>
          <w:u w:val="single"/>
        </w:rPr>
        <w:t>Priority on Piggyback Registrations</w:t>
      </w:r>
      <w:r>
        <w:rPr>
          <w:rFonts w:ascii="Times New Roman;serif" w:hAnsi="Times New Roman;serif"/>
          <w:b w:val="false"/>
          <w:color w:val="000000"/>
          <w:sz w:val="20"/>
        </w:rPr>
        <w:t>. If the managing underwriter for a Piggyback Registration effected by means of an Underwritten Offering (or in the case of a Piggyback Registration not being underwritten, the Company, in good faith) advises the Holders in writing that the inclusion of the Registrable Securities and securities proposed to be included by Holders who have elected to participate pursuant to Section 3.1 and any other Persons who have elected to participate in such offering pursuant to written agreements with the Company (in each case, “</w:t>
      </w:r>
      <w:r>
        <w:rPr>
          <w:rFonts w:ascii="Times New Roman;serif" w:hAnsi="Times New Roman;serif"/>
          <w:b w:val="false"/>
          <w:color w:val="000000"/>
          <w:sz w:val="20"/>
          <w:u w:val="single"/>
        </w:rPr>
        <w:t>Piggybacking Holders</w:t>
      </w:r>
      <w:r>
        <w:rPr>
          <w:color w:val="000000"/>
        </w:rPr>
        <w:t>”</w:t>
      </w:r>
      <w:r>
        <w:rPr>
          <w:rFonts w:ascii="Times New Roman;serif" w:hAnsi="Times New Roman;serif"/>
          <w:b w:val="false"/>
          <w:color w:val="000000"/>
          <w:sz w:val="20"/>
        </w:rPr>
        <w:t xml:space="preserve">) and proposed to be included by the Company, would cause an Adverse Effect, then the Company shall be obligated to include in such Registration Statement only that number of Registrable Securities which, in the judgment of the managing underwriter (or the Company in good faith, as applicable), would not have an Adverse Effect, in the priority listed below: </w:t>
      </w:r>
    </w:p>
    <w:p>
      <w:pPr>
        <w:pStyle w:val="TextBody"/>
        <w:bidi w:val="0"/>
        <w:spacing w:lineRule="auto" w:line="288" w:before="0" w:after="240"/>
        <w:ind w:left="0" w:right="0" w:firstLine="1440"/>
        <w:jc w:val="left"/>
        <w:rPr/>
      </w:pPr>
      <w:r>
        <w:rPr>
          <w:rFonts w:ascii="Times New Roman;serif" w:hAnsi="Times New Roman;serif"/>
          <w:b w:val="false"/>
          <w:color w:val="010000"/>
          <w:sz w:val="20"/>
        </w:rPr>
        <w:t>(a)    </w:t>
      </w:r>
      <w:r>
        <w:rPr>
          <w:rFonts w:ascii="Times New Roman;serif" w:hAnsi="Times New Roman;serif"/>
          <w:b w:val="false"/>
          <w:color w:val="000000"/>
          <w:sz w:val="20"/>
        </w:rPr>
        <w:t xml:space="preserve">if the registration is undertaken for the Company’s account: (x) first, the securities that the Company desires to include, and (y) second, the securities (or, in the case of a Holder, the Registrable Securities) proposed to be included by the Piggybacking Holders. Any reduction in the number of securities to be included in a Registration Statement pursuant to the foregoing clause (y) shall be effected by allocating the number of securities to be included (after including securities contemplated by clause (x)) pro rata among all the Piggybacking Holders based for each such Piggybacking Holder on the percentage derived by dividing (i) the aggregate number of Ordinary Shares that such Piggybacking Holder holds by (ii) the total number of Ordinary Shares that all such Piggybacking Holders hold in the aggregate; and </w:t>
      </w:r>
    </w:p>
    <w:p>
      <w:pPr>
        <w:pStyle w:val="TextBody"/>
        <w:bidi w:val="0"/>
        <w:spacing w:lineRule="auto" w:line="288" w:before="0" w:after="240"/>
        <w:ind w:left="0" w:right="0" w:firstLine="1440"/>
        <w:jc w:val="left"/>
        <w:rPr/>
      </w:pPr>
      <w:r>
        <w:rPr>
          <w:rFonts w:ascii="Times New Roman;serif" w:hAnsi="Times New Roman;serif"/>
          <w:b w:val="false"/>
          <w:color w:val="010000"/>
          <w:sz w:val="20"/>
        </w:rPr>
        <w:t>(b)    </w:t>
      </w:r>
      <w:r>
        <w:rPr>
          <w:rFonts w:ascii="Times New Roman;serif" w:hAnsi="Times New Roman;serif"/>
          <w:b w:val="false"/>
          <w:color w:val="000000"/>
          <w:sz w:val="20"/>
        </w:rPr>
        <w:t xml:space="preserve">if the registration is undertaken at the demand of a securityholder of the Company (other than the Holders), (x) first, the securities that the demanding securityholder desires to include, and (y) second, the securities (or in the case of the Holders, the Registrable Securities) proposed to be included by the Piggybacking Holders and by the Company. Any reduction in the number of securities to be included in a Registration Statement pursuant to the foregoing clause (y) shall be effected by allocating the number of securities to be included (after including securities contemplated by clause (x)) pro rata among the Piggybacking Holders based for each such Piggybacking Holder on the percentage derived by dividing (i) the aggregate number of Ordinary Shares that such Piggybacking Holder holds by (ii) the total number of Ordinary Shares that all such Piggybacking Holders hold in the aggregate;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Company shall be entitled to participate on a pro rata basis up to the sum of the number of securities allocated to the Piggybacking Holders pursuant to this sentence, unless the managing underwriter (or in the case of a Piggyback Registration not being underwritten, the Company, in good faith) determines that inclusion of additional securities by the Company above such amount would not cause an Adverse Effect. </w:t>
      </w:r>
    </w:p>
    <w:p>
      <w:pPr>
        <w:pStyle w:val="TextBody"/>
        <w:bidi w:val="0"/>
        <w:spacing w:lineRule="auto" w:line="288" w:before="0" w:after="240"/>
        <w:ind w:left="0" w:right="0" w:firstLine="720"/>
        <w:jc w:val="left"/>
        <w:rPr/>
      </w:pPr>
      <w:r>
        <w:rPr>
          <w:rFonts w:ascii="Times New Roman;serif" w:hAnsi="Times New Roman;serif"/>
          <w:b w:val="false"/>
          <w:color w:val="010000"/>
          <w:sz w:val="20"/>
        </w:rPr>
        <w:t>3.3    </w:t>
      </w:r>
      <w:r>
        <w:rPr>
          <w:rFonts w:ascii="Times New Roman;serif" w:hAnsi="Times New Roman;serif"/>
          <w:b w:val="false"/>
          <w:color w:val="000000"/>
          <w:sz w:val="20"/>
          <w:u w:val="single"/>
        </w:rPr>
        <w:t>Withdrawals</w:t>
      </w:r>
      <w:r>
        <w:rPr>
          <w:rFonts w:ascii="Times New Roman;serif" w:hAnsi="Times New Roman;serif"/>
          <w:b w:val="false"/>
          <w:color w:val="000000"/>
          <w:sz w:val="20"/>
        </w:rPr>
        <w:t xml:space="preserve">. Each Holder shall have the right to withdraw its request for inclusion of all or any of its Registrable Securities in any Registration Statement pursuant to this Article III by giving written notice to the Company of its request to withdraw;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 such request must be made in writing prior to the execution of the underwriting agreement with respect to such registration or, in the case of a non-underwritten offering, the effective date of the Registration Statement or applicable prospectus supplement pertaining to such offering and (ii) such withdrawal shall be irrevocable. In the event that a Holder withdraws and (i) the request for withdrawal is based upon material adverse information relating to the Company that none of the Holders were aware of at the time of the Holder’s Piggyback Request (including, for the avoidance of doubt, material adverse information that is materially different from the information that the Holders were aware of at the time of the Piggyback Request), (ii) if a Suspension Period occurs after such Piggyback Request but before the Registrable Securities covered by such Piggyback Request are sold, transferred, exchanged or disposed of in accordance with such Piggyback Request, or (iii) if the Company has breached its obligations hereunder with respect to such Piggyback Registration and such breach has caused, or would reasonably be expected to cause, an Adverse Effect, then the Company shall pay all expenses incurred by a Holder in connection with such cancelled registration through the date that is four (4) Business Days after the date on which any Participating Holders (X) had a right to withdraw pursuant to the foregoing clauses (i) or (ii), or (Y) became aware of their right to withdraw pursuant to the foregoing clause (iii), in each of clause (X) and this clause (Y) to the extent such expenses are as described in clauses (i) through (x) of the first sentence of Article VIII hereof. Any expense reimbursement paid pursuant to clause (Y) of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7"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immediately preceding sentence shall be in addition to any other remedy to which the Participating Holders may be entitled in law or in equity (but, for the avoidance of doubt, the Participating Holders may not recover the same expense twice). </w:t>
      </w:r>
    </w:p>
    <w:p>
      <w:pPr>
        <w:pStyle w:val="TextBody"/>
        <w:bidi w:val="0"/>
        <w:spacing w:lineRule="auto" w:line="288" w:before="0" w:after="240"/>
        <w:ind w:left="0" w:right="0" w:firstLine="720"/>
        <w:jc w:val="left"/>
        <w:rPr/>
      </w:pPr>
      <w:r>
        <w:rPr>
          <w:rFonts w:ascii="Times New Roman;serif" w:hAnsi="Times New Roman;serif"/>
          <w:b w:val="false"/>
          <w:color w:val="010000"/>
          <w:sz w:val="20"/>
        </w:rPr>
        <w:t>3.4    </w:t>
      </w:r>
      <w:r>
        <w:rPr>
          <w:rFonts w:ascii="Times New Roman;serif" w:hAnsi="Times New Roman;serif"/>
          <w:b w:val="false"/>
          <w:color w:val="000000"/>
          <w:sz w:val="20"/>
          <w:u w:val="single"/>
        </w:rPr>
        <w:t>Underwritten Offerings</w:t>
      </w:r>
      <w:r>
        <w:rPr>
          <w:rFonts w:ascii="Times New Roman;serif" w:hAnsi="Times New Roman;serif"/>
          <w:b w:val="false"/>
          <w:color w:val="000000"/>
          <w:sz w:val="20"/>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10000"/>
          <w:sz w:val="20"/>
        </w:rPr>
        <w:t>(a)    </w:t>
      </w:r>
      <w:r>
        <w:rPr>
          <w:rFonts w:ascii="Times New Roman;serif" w:hAnsi="Times New Roman;serif"/>
          <w:b w:val="false"/>
          <w:color w:val="000000"/>
          <w:sz w:val="20"/>
        </w:rPr>
        <w:t xml:space="preserve">In connection with the exercise of any registration rights granted to Holders pursuant to this Article III, if the registration is to be effected by means of an Underwritten Offering, the Company may condition participation in such registration by any such Holder upon inclusion of the Registrable Securities being so registered in such underwriting and such Holder’s entering into an underwriting agreement pursuant to Section 6.2(d) hereof. </w:t>
      </w:r>
    </w:p>
    <w:p>
      <w:pPr>
        <w:pStyle w:val="TextBody"/>
        <w:bidi w:val="0"/>
        <w:spacing w:lineRule="auto" w:line="288" w:before="0" w:after="240"/>
        <w:ind w:left="0" w:right="0" w:firstLine="1440"/>
        <w:jc w:val="left"/>
        <w:rPr/>
      </w:pPr>
      <w:r>
        <w:rPr>
          <w:rFonts w:ascii="Times New Roman;serif" w:hAnsi="Times New Roman;serif"/>
          <w:b w:val="false"/>
          <w:color w:val="010000"/>
          <w:sz w:val="20"/>
        </w:rPr>
        <w:t>(b)    </w:t>
      </w:r>
      <w:r>
        <w:rPr>
          <w:rFonts w:ascii="Times New Roman;serif" w:hAnsi="Times New Roman;serif"/>
          <w:b w:val="false"/>
          <w:color w:val="000000"/>
          <w:sz w:val="20"/>
        </w:rPr>
        <w:t xml:space="preserve">With respect to any offering of Registrable Securities in the form of an Underwritten Offering in which Holders elect to participate pursuant to this Article III, the Company shall select an investment banking firm of national standing to be the managing underwriter for the offering.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IV</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SHELF REGISTRATION </w:t>
      </w:r>
    </w:p>
    <w:p>
      <w:pPr>
        <w:pStyle w:val="TextBody"/>
        <w:bidi w:val="0"/>
        <w:spacing w:lineRule="auto" w:line="288" w:before="0" w:after="240"/>
        <w:ind w:left="0" w:right="0" w:firstLine="720"/>
        <w:jc w:val="left"/>
        <w:rPr/>
      </w:pPr>
      <w:r>
        <w:rPr>
          <w:rFonts w:ascii="Times New Roman;serif" w:hAnsi="Times New Roman;serif"/>
          <w:b w:val="false"/>
          <w:color w:val="010000"/>
          <w:sz w:val="20"/>
        </w:rPr>
        <w:t>4.1    </w:t>
      </w:r>
      <w:r>
        <w:rPr>
          <w:rFonts w:ascii="Times New Roman;serif" w:hAnsi="Times New Roman;serif"/>
          <w:b w:val="false"/>
          <w:color w:val="000000"/>
          <w:sz w:val="20"/>
          <w:u w:val="single"/>
        </w:rPr>
        <w:t>Shelf Registration Filing</w:t>
      </w:r>
      <w:r>
        <w:rPr>
          <w:rFonts w:ascii="Times New Roman;serif" w:hAnsi="Times New Roman;serif"/>
          <w:b w:val="false"/>
          <w:color w:val="000000"/>
          <w:sz w:val="20"/>
        </w:rPr>
        <w:t>. Subject to Sections 5.1 and 5.2 hereof, at any time following the first (1</w:t>
      </w:r>
      <w:r>
        <w:rPr>
          <w:rFonts w:ascii="Times New Roman;serif" w:hAnsi="Times New Roman;serif"/>
          <w:b w:val="false"/>
          <w:color w:val="000000"/>
          <w:sz w:val="13"/>
        </w:rPr>
        <w:t>st</w:t>
      </w:r>
      <w:r>
        <w:rPr>
          <w:rFonts w:ascii="Times New Roman;serif" w:hAnsi="Times New Roman;serif"/>
          <w:b w:val="false"/>
          <w:color w:val="000000"/>
          <w:sz w:val="20"/>
        </w:rPr>
        <w:t>) anniversary of the Distribution Date, upon the written request of a Holder (a “</w:t>
      </w:r>
      <w:r>
        <w:rPr>
          <w:rFonts w:ascii="Times New Roman;serif" w:hAnsi="Times New Roman;serif"/>
          <w:b w:val="false"/>
          <w:color w:val="000000"/>
          <w:sz w:val="20"/>
          <w:u w:val="single"/>
        </w:rPr>
        <w:t>Shelf Request</w:t>
      </w:r>
      <w:r>
        <w:rPr>
          <w:color w:val="000000"/>
        </w:rPr>
        <w:t>”</w:t>
      </w:r>
      <w:r>
        <w:rPr>
          <w:rFonts w:ascii="Times New Roman;serif" w:hAnsi="Times New Roman;serif"/>
          <w:b w:val="false"/>
          <w:color w:val="000000"/>
          <w:sz w:val="20"/>
        </w:rPr>
        <w:t>), the Company shall file with the Commission, and use its reasonable best efforts to have declared effective as soon as practicable, a Registration Statement (the “</w:t>
      </w:r>
      <w:r>
        <w:rPr>
          <w:rFonts w:ascii="Times New Roman;serif" w:hAnsi="Times New Roman;serif"/>
          <w:b w:val="false"/>
          <w:color w:val="000000"/>
          <w:sz w:val="20"/>
          <w:u w:val="single"/>
        </w:rPr>
        <w:t>Shelf Registration Statement</w:t>
      </w:r>
      <w:r>
        <w:rPr>
          <w:color w:val="000000"/>
        </w:rPr>
        <w:t>”</w:t>
      </w:r>
      <w:r>
        <w:rPr>
          <w:rFonts w:ascii="Times New Roman;serif" w:hAnsi="Times New Roman;serif"/>
          <w:b w:val="false"/>
          <w:color w:val="000000"/>
          <w:sz w:val="20"/>
        </w:rPr>
        <w:t>, and the first such Shelf Registration Statement, the “</w:t>
      </w:r>
      <w:r>
        <w:rPr>
          <w:rFonts w:ascii="Times New Roman;serif" w:hAnsi="Times New Roman;serif"/>
          <w:b w:val="false"/>
          <w:color w:val="000000"/>
          <w:sz w:val="20"/>
          <w:u w:val="single"/>
        </w:rPr>
        <w:t>Initial Shelf Registration Statement</w:t>
      </w:r>
      <w:r>
        <w:rPr>
          <w:color w:val="000000"/>
        </w:rPr>
        <w:t>”</w:t>
      </w:r>
      <w:r>
        <w:rPr>
          <w:rFonts w:ascii="Times New Roman;serif" w:hAnsi="Times New Roman;serif"/>
          <w:b w:val="false"/>
          <w:color w:val="000000"/>
          <w:sz w:val="20"/>
        </w:rPr>
        <w:t xml:space="preserve">) relating to the offer and sale of all of the Registrable Securities held by the Holders to the public from time to time, on a delayed or continuous basis. Any Shelf Registration Statement may be a universal shelf registration statement that relates to the offer and sale of the Company’s securities other than Registrable Securities. Any registration effected pursuant this Section 4.1 shall not be deemed to constitute a Demand Registration. The Company shall file the Shelf Registration Statement on Form F-3 or, if the Company or the offering of the Registrable Securities does not satisfy the requirements for use of such form, such other form as may be appropriate;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if the Shelf Registration Statement is not filed on Form F-3, the Company shall, as soon as reasonably practicable upon meeting the requirements for use of such form, use its reasonable best efforts to file an appropriate amendment to the Shelf Registration Statement to convert it to Form F-3. </w:t>
      </w:r>
    </w:p>
    <w:p>
      <w:pPr>
        <w:pStyle w:val="TextBody"/>
        <w:bidi w:val="0"/>
        <w:spacing w:lineRule="auto" w:line="288" w:before="0" w:after="240"/>
        <w:ind w:left="0" w:right="0" w:firstLine="720"/>
        <w:jc w:val="left"/>
        <w:rPr/>
      </w:pPr>
      <w:r>
        <w:rPr>
          <w:rFonts w:ascii="Times New Roman;serif" w:hAnsi="Times New Roman;serif"/>
          <w:b w:val="false"/>
          <w:color w:val="010000"/>
          <w:sz w:val="20"/>
        </w:rPr>
        <w:t>4.2    </w:t>
      </w:r>
      <w:r>
        <w:rPr>
          <w:rFonts w:ascii="Times New Roman;serif" w:hAnsi="Times New Roman;serif"/>
          <w:b w:val="false"/>
          <w:color w:val="000000"/>
          <w:sz w:val="20"/>
          <w:u w:val="single"/>
        </w:rPr>
        <w:t>Required Period and Shelf Registration Procedures</w:t>
      </w:r>
      <w:r>
        <w:rPr>
          <w:rFonts w:ascii="Times New Roman;serif" w:hAnsi="Times New Roman;serif"/>
          <w:b w:val="false"/>
          <w:color w:val="000000"/>
          <w:sz w:val="20"/>
        </w:rPr>
        <w:t xml:space="preserve">. Subject to Section 4.1 and to any Suspension Period(s) referred to below, the Company shall (i) use its reasonable best efforts to become and remain eligible to file registration statements on Form F-3 and to meet the requirements of General Instruction VI of Form F-3, (ii) cause the Shelf Registration Statement to include a resale Prospectus intended to permit each Holder to sell, at such Holder’s election, all or part of the applicable class or series of Registrable Securities held by such Holder without restriction under the Securities Act, (iii) use its reasonable efforts to prepare and file with the Commission such supplements, amendments and post-effective amendments to such Shelf Registration Statement as may be necessary to keep such Shelf Registration Statement continuously effective for so long as the securities registered thereunder constitute Registrable Securities, (iv) use its reasonable efforts to cause the resale Prospectus to be supplemented by any Prospectus supplement required in order for such Holders to sell their Registrable Securities without restriction under the Securities Act and (v) after the expiration of a Shelf Registration Statement, for so long as any Registrable Securities remain outstanding, use its reasonable best efforts to file a new Shelf Registration Statement;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Company’s obligations in this Section 4.2 shall be of no further force and effect upon the earliest of (i) three (3) years after the Initial Shelf Registration Statement was declared effective by the Commission; (ii) the day after the date on which all of the Registrable Securities covered by such Shelf Registration Statement have been sold pursuant thereto; and (iii) the first date on which there shall cease to be any Registrable Securities covered by such Shelf Registration Statement then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28"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10000"/>
          <w:sz w:val="20"/>
        </w:rPr>
        <w:t>4.3    </w:t>
      </w:r>
      <w:r>
        <w:rPr>
          <w:rFonts w:ascii="Times New Roman;serif" w:hAnsi="Times New Roman;serif"/>
          <w:b w:val="false"/>
          <w:color w:val="000000"/>
          <w:sz w:val="20"/>
          <w:u w:val="single"/>
        </w:rPr>
        <w:t>Underwritten Shelf Offerings</w:t>
      </w:r>
      <w:r>
        <w:rPr>
          <w:rFonts w:ascii="Times New Roman;serif" w:hAnsi="Times New Roman;serif"/>
          <w:b w:val="false"/>
          <w:color w:val="000000"/>
          <w:sz w:val="20"/>
        </w:rPr>
        <w:t>. Subject to the Company’s compliance with its obligations under Article III hereof, the Company shall not be obligated to take any action (including, for the avoidance of doubt, filing a Shelf Registration Statement or amendment thereto) to effect an Underwritten Offering on a Shelf Registration Statement. Notwithstanding anything herein to the contrary, the Company shall not be required to effectuate or proceed with an Underwritten Offering pursuant to the Shelf Registration Statement if the Company reasonably determines, after consultation in good faith with the MS Representative and the managing underwriter, that (i) it would be unable to provide adequate and timely disclosure required in connection with such Underwritten Offering or (ii) it would be unable to satisfy customary underwriting conditions applicable to such offering, in each case without undue burden on the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V</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STANDSTILL AND SUSPENSION PERIODS </w:t>
      </w:r>
    </w:p>
    <w:p>
      <w:pPr>
        <w:pStyle w:val="TextBody"/>
        <w:bidi w:val="0"/>
        <w:spacing w:lineRule="auto" w:line="288" w:before="0" w:after="240"/>
        <w:ind w:left="0" w:right="0" w:firstLine="720"/>
        <w:jc w:val="left"/>
        <w:rPr/>
      </w:pPr>
      <w:r>
        <w:rPr>
          <w:rFonts w:ascii="Times New Roman;serif" w:hAnsi="Times New Roman;serif"/>
          <w:b w:val="false"/>
          <w:color w:val="010000"/>
          <w:sz w:val="20"/>
        </w:rPr>
        <w:t>5.1    </w:t>
      </w:r>
      <w:r>
        <w:rPr>
          <w:rFonts w:ascii="Times New Roman;serif" w:hAnsi="Times New Roman;serif"/>
          <w:b w:val="false"/>
          <w:color w:val="000000"/>
          <w:sz w:val="20"/>
          <w:u w:val="single"/>
        </w:rPr>
        <w:t>Suspension Period</w:t>
      </w:r>
      <w:r>
        <w:rPr>
          <w:rFonts w:ascii="Times New Roman;serif" w:hAnsi="Times New Roman;serif"/>
          <w:b w:val="false"/>
          <w:color w:val="000000"/>
          <w:sz w:val="20"/>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10000"/>
          <w:sz w:val="20"/>
        </w:rPr>
        <w:t>(a)    </w:t>
      </w:r>
      <w:r>
        <w:rPr>
          <w:rFonts w:ascii="Times New Roman;serif" w:hAnsi="Times New Roman;serif"/>
          <w:b w:val="false"/>
          <w:color w:val="000000"/>
          <w:sz w:val="20"/>
        </w:rPr>
        <w:t>The Company shall not be required to use any efforts to or to cause a Registration Statement to be filed pursuant to this Agreement or to be declared effective, or to keep current any Registration Statement or file any prospectus supplement or amendment (other than as required by the periodic report and proxy statement disclosure requirements of the Securities Exchange Act of 1934, including Sections 13 or 15(d) thereof and Forms 10-K, 10-Q, 8-K or 14A thereunder), or permit Holders to sell or transfer securities thereunder, if the Company determines in good faith, after consultation with its legal counsel or advisors, that the offer or sale of Registrable Securities would reasonably be expected to:</w:t>
      </w:r>
    </w:p>
    <w:p>
      <w:pPr>
        <w:pStyle w:val="TextBody"/>
        <w:bidi w:val="0"/>
        <w:spacing w:lineRule="auto" w:line="288" w:before="0" w:after="240"/>
        <w:ind w:left="0" w:right="0" w:hanging="720"/>
        <w:jc w:val="left"/>
        <w:rPr/>
      </w:pPr>
      <w:r>
        <w:rPr>
          <w:rFonts w:ascii="Times New Roman;serif" w:hAnsi="Times New Roman;serif"/>
          <w:b w:val="false"/>
          <w:color w:val="010000"/>
          <w:sz w:val="20"/>
        </w:rPr>
        <w:t>(i)    </w:t>
      </w:r>
      <w:r>
        <w:rPr>
          <w:rFonts w:ascii="Times New Roman;serif" w:hAnsi="Times New Roman;serif"/>
          <w:b w:val="false"/>
          <w:color w:val="000000"/>
          <w:sz w:val="20"/>
        </w:rPr>
        <w:t>have a material adverse effect on any proposal or plan by the Company or any of its Subsidiaries to engage in any material acquisition of assets or stock (other than in the ordinary course of business) or any material merger, consolidation, tender offer, recapitalization, reorganization or other similar transaction; or</w:t>
      </w:r>
    </w:p>
    <w:p>
      <w:pPr>
        <w:pStyle w:val="TextBody"/>
        <w:bidi w:val="0"/>
        <w:spacing w:lineRule="auto" w:line="288" w:before="0" w:after="240"/>
        <w:ind w:left="0" w:right="0" w:hanging="720"/>
        <w:jc w:val="left"/>
        <w:rPr/>
      </w:pPr>
      <w:r>
        <w:rPr>
          <w:rFonts w:ascii="Times New Roman;serif" w:hAnsi="Times New Roman;serif"/>
          <w:b w:val="false"/>
          <w:color w:val="010000"/>
          <w:sz w:val="20"/>
        </w:rPr>
        <w:t>(ii)    </w:t>
      </w:r>
      <w:r>
        <w:rPr>
          <w:rFonts w:ascii="Times New Roman;serif" w:hAnsi="Times New Roman;serif"/>
          <w:b w:val="false"/>
          <w:color w:val="000000"/>
          <w:sz w:val="20"/>
        </w:rPr>
        <w:t>require premature disclosure of material non-public information that the Company has a bona fide business purpose for preserving as confidential;</w:t>
      </w:r>
    </w:p>
    <w:p>
      <w:pPr>
        <w:pStyle w:val="TextBody"/>
        <w:bidi w:val="0"/>
        <w:spacing w:lineRule="auto" w:line="288" w:before="0" w:after="240"/>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the case of clause (ii), the Company continues in good faith to make public disclosures so as to continue and comply with its past practice with respect to the non-disclosure of material non-public information. Any period during which the Holders are prohibited from effecting sales or the Company exercises its rights pursuant to this Section 5.1(a) shall constitute a “</w:t>
      </w:r>
      <w:r>
        <w:rPr>
          <w:rFonts w:ascii="Times New Roman;serif" w:hAnsi="Times New Roman;serif"/>
          <w:b w:val="false"/>
          <w:color w:val="000000"/>
          <w:sz w:val="20"/>
          <w:u w:val="single"/>
        </w:rPr>
        <w:t>Suspension Period</w:t>
      </w:r>
      <w:r>
        <w:rPr>
          <w:rFonts w:ascii="Times New Roman;serif" w:hAnsi="Times New Roman;serif"/>
          <w:b w:val="false"/>
          <w:color w:val="000000"/>
          <w:sz w:val="20"/>
        </w:rPr>
        <w:t>.” Notwithstanding the foregoing:</w:t>
      </w:r>
    </w:p>
    <w:p>
      <w:pPr>
        <w:pStyle w:val="TextBody"/>
        <w:bidi w:val="0"/>
        <w:spacing w:lineRule="auto" w:line="288" w:before="0" w:after="240"/>
        <w:ind w:left="0" w:right="0" w:hanging="720"/>
        <w:jc w:val="left"/>
        <w:rPr/>
      </w:pPr>
      <w:r>
        <w:rPr>
          <w:rFonts w:ascii="Times New Roman;serif" w:hAnsi="Times New Roman;serif"/>
          <w:b w:val="false"/>
          <w:color w:val="010000"/>
          <w:sz w:val="20"/>
        </w:rPr>
        <w:t>(i)    </w:t>
      </w:r>
      <w:r>
        <w:rPr>
          <w:rFonts w:ascii="Times New Roman;serif" w:hAnsi="Times New Roman;serif"/>
          <w:b w:val="false"/>
          <w:color w:val="000000"/>
          <w:sz w:val="20"/>
        </w:rPr>
        <w:t>the Company may not invoke a Suspension Period pursuant to this Section 5.1 more than four (4) times in any twelve (12) month period;</w:t>
        <w:br/>
        <w:t>in no event shall any Suspension Period:</w:t>
      </w:r>
    </w:p>
    <w:p>
      <w:pPr>
        <w:pStyle w:val="TextBody"/>
        <w:bidi w:val="0"/>
        <w:spacing w:lineRule="auto" w:line="288" w:before="0" w:after="240"/>
        <w:ind w:left="0" w:right="0" w:hanging="720"/>
        <w:jc w:val="left"/>
        <w:rPr/>
      </w:pPr>
      <w:r>
        <w:rPr>
          <w:rFonts w:ascii="Times New Roman;serif" w:hAnsi="Times New Roman;serif"/>
          <w:b w:val="false"/>
          <w:color w:val="010000"/>
          <w:sz w:val="20"/>
        </w:rPr>
        <w:t>a.    </w:t>
      </w:r>
      <w:r>
        <w:rPr>
          <w:rFonts w:ascii="Times New Roman;serif" w:hAnsi="Times New Roman;serif"/>
          <w:b w:val="false"/>
          <w:color w:val="000000"/>
          <w:sz w:val="20"/>
        </w:rPr>
        <w:t>in the case of clause (i) above, extend for more than ten (10) days following the abandonment or consummation of the applicable transaction;</w:t>
      </w:r>
    </w:p>
    <w:p>
      <w:pPr>
        <w:pStyle w:val="TextBody"/>
        <w:bidi w:val="0"/>
        <w:spacing w:lineRule="auto" w:line="288" w:before="0" w:after="240"/>
        <w:ind w:left="0" w:right="0" w:hanging="720"/>
        <w:jc w:val="left"/>
        <w:rPr/>
      </w:pPr>
      <w:r>
        <w:rPr>
          <w:rFonts w:ascii="Times New Roman;serif" w:hAnsi="Times New Roman;serif"/>
          <w:b w:val="false"/>
          <w:color w:val="010000"/>
          <w:sz w:val="20"/>
        </w:rPr>
        <w:t>b.    </w:t>
      </w:r>
      <w:r>
        <w:rPr>
          <w:rFonts w:ascii="Times New Roman;serif" w:hAnsi="Times New Roman;serif"/>
          <w:b w:val="false"/>
          <w:color w:val="000000"/>
          <w:sz w:val="20"/>
        </w:rPr>
        <w:t>in the case of clause (ii) above, extend beyond the earlier of (x) the filing of the Company’s next succeeding Annual Report on Form 10-K or Quarterly Report on Form 10-Q or (y) the date upon which such information otherwise has been publicly disclosed by the Company; or</w:t>
      </w:r>
    </w:p>
    <w:p>
      <w:pPr>
        <w:pStyle w:val="TextBody"/>
        <w:bidi w:val="0"/>
        <w:spacing w:lineRule="auto" w:line="288" w:before="0" w:after="240"/>
        <w:ind w:left="0" w:right="0" w:hanging="720"/>
        <w:jc w:val="left"/>
        <w:rPr/>
      </w:pPr>
      <w:r>
        <w:rPr>
          <w:rFonts w:ascii="Times New Roman;serif" w:hAnsi="Times New Roman;serif"/>
          <w:b w:val="false"/>
          <w:color w:val="010000"/>
          <w:sz w:val="20"/>
        </w:rPr>
        <w:t>c.    </w:t>
      </w:r>
      <w:r>
        <w:rPr>
          <w:rFonts w:ascii="Times New Roman;serif" w:hAnsi="Times New Roman;serif"/>
          <w:b w:val="false"/>
          <w:color w:val="000000"/>
          <w:sz w:val="20"/>
        </w:rPr>
        <w:t>in any event, extend for more than ninety (90) days after the date of the Company’s determination to impose such Suspension Period; and</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29"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10000"/>
          <w:sz w:val="20"/>
        </w:rPr>
        <w:t>(ii)    </w:t>
      </w:r>
      <w:r>
        <w:rPr>
          <w:rFonts w:ascii="Times New Roman;serif" w:hAnsi="Times New Roman;serif"/>
          <w:b w:val="false"/>
          <w:color w:val="000000"/>
          <w:sz w:val="20"/>
        </w:rPr>
        <w:t>the Company may not suspend the Holders’ ability to use a Prospectus for more than an aggregate of ninety (90) days in any three hundred sixty-five (365) day period.</w:t>
      </w:r>
    </w:p>
    <w:p>
      <w:pPr>
        <w:pStyle w:val="TextBody"/>
        <w:bidi w:val="0"/>
        <w:spacing w:lineRule="auto" w:line="288" w:before="0" w:after="240"/>
        <w:ind w:left="0" w:right="0" w:firstLine="1440"/>
        <w:jc w:val="left"/>
        <w:rPr/>
      </w:pPr>
      <w:r>
        <w:rPr>
          <w:rFonts w:ascii="Times New Roman;serif" w:hAnsi="Times New Roman;serif"/>
          <w:b w:val="false"/>
          <w:color w:val="010000"/>
          <w:sz w:val="20"/>
        </w:rPr>
        <w:t>(b)    </w:t>
      </w:r>
      <w:r>
        <w:rPr>
          <w:rFonts w:ascii="Times New Roman;serif" w:hAnsi="Times New Roman;serif"/>
          <w:b w:val="false"/>
          <w:color w:val="000000"/>
          <w:sz w:val="20"/>
        </w:rPr>
        <w:t>Each Holder agrees that, upon receipt of a written notice from the Company of a Suspension Period (a “</w:t>
      </w:r>
      <w:r>
        <w:rPr>
          <w:rFonts w:ascii="Times New Roman;serif" w:hAnsi="Times New Roman;serif"/>
          <w:b w:val="false"/>
          <w:color w:val="000000"/>
          <w:sz w:val="20"/>
          <w:u w:val="single"/>
        </w:rPr>
        <w:t>Suspension Notice</w:t>
      </w:r>
      <w:r>
        <w:rPr>
          <w:color w:val="000000"/>
        </w:rPr>
        <w:t>”</w:t>
      </w:r>
      <w:r>
        <w:rPr>
          <w:rFonts w:ascii="Times New Roman;serif" w:hAnsi="Times New Roman;serif"/>
          <w:b w:val="false"/>
          <w:color w:val="000000"/>
          <w:sz w:val="20"/>
        </w:rPr>
        <w:t>), such Holder shall forthwith discontinue any disposition of Registrable Securities pursuant to any Registration Statement until such Holder’s receipt of a notice from the Company to the effect that such Suspension Period has terminated. On the last day of any thirty (30) day period following delivery of the Suspension Notice during which the Suspension Period remains in effect, the Company shall deliver a written notice to the MS Representative that the Suspension Period remains in effect (a “</w:t>
      </w:r>
      <w:r>
        <w:rPr>
          <w:rFonts w:ascii="Times New Roman;serif" w:hAnsi="Times New Roman;serif"/>
          <w:b w:val="false"/>
          <w:color w:val="000000"/>
          <w:sz w:val="20"/>
          <w:u w:val="single"/>
        </w:rPr>
        <w:t>Bring-Down Suspension Notice</w:t>
      </w:r>
      <w:r>
        <w:rPr>
          <w:color w:val="000000"/>
        </w:rPr>
        <w:t>”</w:t>
      </w:r>
      <w:r>
        <w:rPr>
          <w:rFonts w:ascii="Times New Roman;serif" w:hAnsi="Times New Roman;serif"/>
          <w:b w:val="false"/>
          <w:color w:val="000000"/>
          <w:sz w:val="20"/>
        </w:rPr>
        <w:t xml:space="preserve">). Any Suspension Notice or Bring-Down Suspension Notice shall (i) be signed by the Chief Executive Officer, Chief Financial Officer, General Counsel, President or any Vice President of the Company and (ii) provide that, as of the date of such Suspension Notice or Bring-Down Suspension Notice, as the case may be, the Company (A) has made the determination described in clause (i) or clause (ii) of Section 5.1(a), as applicable, and (B) in the case of clause (ii), continues in good faith to make public disclosures so as to continue and comply with its past practice with respect to the non-disclosure of material non-public information. If so directed by the Company, such Holder shall deliver to the Company (at the Company’s expense) all copies, other than permanent file copies, then in such Holder’s possession, of the most recent Prospectus covering such Registrable Securities at the time of receipt of such Suspension Notice. The Company covenants and agrees that it shall not deliver a Suspension Notice with respect to a Suspension Period unless all the Company employees, officers and directors who are subject to the Company’s insider trading policies in effect from time to time, and who are prohibited by the terms thereof from effecting any public sales of securities of the Company beneficially owned by them, are so prohibited for the duration of such Suspension Period. In the event of a Suspension Notice, the Company shall, promptly after such time as the applicable Suspension Period has terminated in accordance with Section 5.1(a), provide notice to all Holders that the Suspension Period has ended, and take any and all actions necessary or desirable to give effect to any Holders’ rights under this Agreement that may have been affected by such notice, including the Holders’ Demand Registration rights and rights with respect to the Shelf Registration Statement. Notwithstanding the foregoing, the Company shall have the right to suspend the use of a Prospectus in connection with non-Underwritten Offerings off of a Shelf Registration Statement during each of its regular quarterly blackout periods applicable to directors and executive officers under the Company’s insider trading policies in effect from time to time. </w:t>
      </w:r>
    </w:p>
    <w:p>
      <w:pPr>
        <w:pStyle w:val="TextBody"/>
        <w:bidi w:val="0"/>
        <w:spacing w:lineRule="auto" w:line="288" w:before="0" w:after="240"/>
        <w:ind w:left="0" w:right="0" w:firstLine="1440"/>
        <w:jc w:val="left"/>
        <w:rPr/>
      </w:pPr>
      <w:r>
        <w:rPr>
          <w:rFonts w:ascii="Times New Roman;serif" w:hAnsi="Times New Roman;serif"/>
          <w:b w:val="false"/>
          <w:color w:val="010000"/>
          <w:sz w:val="20"/>
        </w:rPr>
        <w:t>(c)    </w:t>
      </w:r>
      <w:r>
        <w:rPr>
          <w:rFonts w:ascii="Times New Roman;serif" w:hAnsi="Times New Roman;serif"/>
          <w:b w:val="false"/>
          <w:color w:val="000000"/>
          <w:sz w:val="20"/>
        </w:rPr>
        <w:t xml:space="preserve">During any time that any Holder possesses material, non-public information with respect to the Company, no Holder may effect any sales under any Registration Statement of the Company. </w:t>
      </w:r>
    </w:p>
    <w:p>
      <w:pPr>
        <w:pStyle w:val="TextBody"/>
        <w:bidi w:val="0"/>
        <w:spacing w:lineRule="auto" w:line="288"/>
        <w:ind w:left="0" w:right="0" w:firstLine="720"/>
        <w:jc w:val="left"/>
        <w:rPr/>
      </w:pPr>
      <w:r>
        <w:rPr>
          <w:rFonts w:ascii="Times New Roman;serif" w:hAnsi="Times New Roman;serif"/>
          <w:b w:val="false"/>
          <w:color w:val="010000"/>
          <w:sz w:val="20"/>
        </w:rPr>
        <w:t>5.2    </w:t>
      </w:r>
      <w:r>
        <w:rPr>
          <w:rFonts w:ascii="Times New Roman;serif" w:hAnsi="Times New Roman;serif"/>
          <w:b w:val="false"/>
          <w:color w:val="000000"/>
          <w:sz w:val="20"/>
          <w:u w:val="single"/>
        </w:rPr>
        <w:t>Holder Standstill Period</w:t>
      </w:r>
      <w:r>
        <w:rPr>
          <w:rFonts w:ascii="Times New Roman;serif" w:hAnsi="Times New Roman;serif"/>
          <w:b w:val="false"/>
          <w:color w:val="000000"/>
          <w:sz w:val="20"/>
        </w:rPr>
        <w:t xml:space="preserve">. Each Holder of Registrable Securities (whether or not such Registrable Securities are covered by the Shelf Registration Statement or by a Registration Statement filed pursuant to Section 2.1 or 3.1 hereof) agrees to enter into a customary lock-up agreement with the managing underwriter for any Underwritten Offering of the Company’s securities, containing terms reasonably acceptable to such managing underwriter (with an exception for transfers pursuant to hedging transactions entered into prior to the time that the MS Representative had notice of such Underwritten Offering), covering the period commencing fifteen (15) days prior to the effective date of the Registration Statement or, if applicable, the prospectus supplement, pertaining to such Underwritten Offering relating to such securities of the Company and ending (i) in the case of an initial public offering of the Company’s securities, on the date that is one hundred eighty (180) days after such effective date or (ii) in all other cases, on the date that is ninety (90) days after such effective date (or such shorter period as shall have been agreed to in accordance with the next sentence);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terms of such lock-up shall be agreed to (A) by the Company, if a majority of the securities being sold in such offering are being sold for the Company’s own account, or (B) by the holders of Registrable Securities holding a majority of the securities being sold by such holders in such offering, if a majority of the securities being sold are being sold by holders other than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0"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VI</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REGISTRATION PROCEDURES </w:t>
      </w:r>
    </w:p>
    <w:p>
      <w:pPr>
        <w:pStyle w:val="TextBody"/>
        <w:bidi w:val="0"/>
        <w:spacing w:lineRule="auto" w:line="288" w:before="0" w:after="240"/>
        <w:ind w:left="0" w:right="0" w:firstLine="720"/>
        <w:jc w:val="left"/>
        <w:rPr/>
      </w:pPr>
      <w:r>
        <w:rPr>
          <w:rFonts w:ascii="Times New Roman;serif" w:hAnsi="Times New Roman;serif"/>
          <w:b w:val="false"/>
          <w:color w:val="010000"/>
          <w:sz w:val="20"/>
        </w:rPr>
        <w:t>6.1    </w:t>
      </w:r>
      <w:r>
        <w:rPr>
          <w:rFonts w:ascii="Times New Roman;serif" w:hAnsi="Times New Roman;serif"/>
          <w:b w:val="false"/>
          <w:color w:val="000000"/>
          <w:sz w:val="20"/>
          <w:u w:val="single"/>
        </w:rPr>
        <w:t>Company Obligations</w:t>
      </w:r>
      <w:r>
        <w:rPr>
          <w:rFonts w:ascii="Times New Roman;serif" w:hAnsi="Times New Roman;serif"/>
          <w:b w:val="false"/>
          <w:color w:val="000000"/>
          <w:sz w:val="20"/>
        </w:rPr>
        <w:t xml:space="preserve">. Whenever the Company is required pursuant to this Agreement to register Registrable Securities, the Company shall (it being understood and agreed that except as otherwise expressly set forth in this Article VI, if any other provision of this Agreement is more favorable to the Holders than the provisions of this Article VI, such other provision shall apply): </w:t>
      </w:r>
    </w:p>
    <w:p>
      <w:pPr>
        <w:pStyle w:val="TextBody"/>
        <w:bidi w:val="0"/>
        <w:spacing w:lineRule="auto" w:line="288" w:before="0" w:after="240"/>
        <w:ind w:left="0" w:right="0" w:firstLine="1440"/>
        <w:jc w:val="left"/>
        <w:rPr/>
      </w:pPr>
      <w:r>
        <w:rPr>
          <w:rFonts w:ascii="Times New Roman;serif" w:hAnsi="Times New Roman;serif"/>
          <w:b w:val="false"/>
          <w:color w:val="010000"/>
          <w:sz w:val="20"/>
        </w:rPr>
        <w:t>(a)    </w:t>
      </w:r>
      <w:r>
        <w:rPr>
          <w:rFonts w:ascii="Times New Roman;serif" w:hAnsi="Times New Roman;serif"/>
          <w:b w:val="false"/>
          <w:color w:val="000000"/>
          <w:sz w:val="20"/>
        </w:rPr>
        <w:t xml:space="preserve">provide the Participating Holders and their respective counsel with a reasonable opportunity to review, and comment on, any Registration Statement to be prepared and filed pursuant to this Agreement prior to the filing thereof with the Commission, and make all changes thereto as any Participating Holder may reasonably request in writing to the extent such changes are required, in the reasonable judgment of the Company’s counsel, by the Securities Act and, except in the case of a registration under Article III, not file any Registration Statement or Prospectus or amendments or supplements thereto, which registers Registrable Securities held by Holders, to which the Holders of a majority of the class or series of Registrable Securities covered by the same or the underwriter or underwriters, if any, shall reasonably object; </w:t>
      </w:r>
    </w:p>
    <w:p>
      <w:pPr>
        <w:pStyle w:val="TextBody"/>
        <w:bidi w:val="0"/>
        <w:spacing w:lineRule="auto" w:line="288" w:before="0" w:after="240"/>
        <w:ind w:left="0" w:right="0" w:firstLine="1440"/>
        <w:jc w:val="left"/>
        <w:rPr/>
      </w:pPr>
      <w:r>
        <w:rPr>
          <w:rFonts w:ascii="Times New Roman;serif" w:hAnsi="Times New Roman;serif"/>
          <w:b w:val="false"/>
          <w:color w:val="010000"/>
          <w:sz w:val="20"/>
        </w:rPr>
        <w:t>(b)    </w:t>
      </w:r>
      <w:r>
        <w:rPr>
          <w:rFonts w:ascii="Times New Roman;serif" w:hAnsi="Times New Roman;serif"/>
          <w:b w:val="false"/>
          <w:color w:val="000000"/>
          <w:sz w:val="20"/>
        </w:rPr>
        <w:t xml:space="preserve">cause any such Registration Statement and the related Prospectus and any amendment or supplement thereto, as of the effective date of such Registration Statement, amendment or supplement, (i) to comply in all material respects with the applicable requirements of the Securities Act and the rules and regulations of the Commission promulgated thereunder and (ii) not to contain any untrue statement of a material fact or omit to state a material fact required to be stated therein or necessary to make the statements therein, in light of the circumstances under which they were made, not misleading (except that this clause (ii) shall not apply to statements made or statements omitted by the Company in reliance upon and in conformity with written information furnished to the Company by any Holder solely with respect to such Holder and specifically for inclusion in the Registration Statement or any amendment or supplement thereto), or, if for any other reason it shall be necessary to amend or supplement such Registration Statement or Prospectus in order to comply with the Securities Act and, in either case as promptly as reasonably practicable thereafter, prepare and file with the Commission an amendment or supplement to such Registration Statement or Prospectus which will correct such statement or omission or effect such compliance; </w:t>
      </w:r>
    </w:p>
    <w:p>
      <w:pPr>
        <w:pStyle w:val="TextBody"/>
        <w:bidi w:val="0"/>
        <w:spacing w:lineRule="auto" w:line="288" w:before="0" w:after="240"/>
        <w:ind w:left="0" w:right="0" w:firstLine="1440"/>
        <w:jc w:val="left"/>
        <w:rPr/>
      </w:pPr>
      <w:r>
        <w:rPr>
          <w:rFonts w:ascii="Times New Roman;serif" w:hAnsi="Times New Roman;serif"/>
          <w:b w:val="false"/>
          <w:color w:val="010000"/>
          <w:sz w:val="20"/>
        </w:rPr>
        <w:t>(c)    </w:t>
      </w:r>
      <w:r>
        <w:rPr>
          <w:rFonts w:ascii="Times New Roman;serif" w:hAnsi="Times New Roman;serif"/>
          <w:b w:val="false"/>
          <w:color w:val="000000"/>
          <w:sz w:val="20"/>
        </w:rPr>
        <w:t xml:space="preserve">furnish, at its expense, to the Participating Holders such number of conformed copies of such Registration Statement and of each such amendment thereto (in each case including all exhibits thereto, except that the Company shall not be obligated to furnish to any such Participating Holder more than two (2) copies of such exhibits), such number of copies of the Prospectus included in such Registration Statement (including each preliminary Prospectus and each supplement thereto), and such number of the documents, if any, incorporated by reference in such Registration Statement or Prospectus, as the Participating Holders reasonably may request;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Company shall have no obligation to provide any document pursuant to this clause that is available on the Commission’s EDGAR system; </w:t>
      </w:r>
    </w:p>
    <w:p>
      <w:pPr>
        <w:pStyle w:val="TextBody"/>
        <w:bidi w:val="0"/>
        <w:spacing w:lineRule="auto" w:line="288" w:before="0" w:after="240"/>
        <w:ind w:left="0" w:right="0" w:firstLine="1440"/>
        <w:jc w:val="left"/>
        <w:rPr/>
      </w:pPr>
      <w:r>
        <w:rPr>
          <w:rFonts w:ascii="Times New Roman;serif" w:hAnsi="Times New Roman;serif"/>
          <w:b w:val="false"/>
          <w:color w:val="010000"/>
          <w:sz w:val="20"/>
        </w:rPr>
        <w:t>(d)    </w:t>
      </w:r>
      <w:r>
        <w:rPr>
          <w:rFonts w:ascii="Times New Roman;serif" w:hAnsi="Times New Roman;serif"/>
          <w:b w:val="false"/>
          <w:color w:val="000000"/>
          <w:sz w:val="20"/>
        </w:rPr>
        <w:t xml:space="preserve">use its commercially reasonable efforts to register or qualify the Registrable Securities covered by such Registration Statement under such securities or “blue sky” laws of the states of the United States as the Participating Holders reasonably shall request, to keep such registration or qualification in effect for so long as such Registration Statement remains in effect, and to do any and all other acts and things that may be necessary or advisable to enable the Participating Holders to consummate the disposition in such jurisdictions of the Registrable Securities covered by such Registration Statement, except that the Company shall not, for any such purpose, be required to qualify generally to do business as a foreign corporation in any jurisdiction in which it is not obligated to be so qualified, or to subject itself to material taxation in any such jurisdiction, or to consent to general service of process in any such jurisdiction; and use its commercially reasonable efforts to obtain all other approvals, consents, exemptions or authorizations from such securities regulatory authorities or governmental agencies as may be necessary to enable such Participating Holders to consummate the disposition of such Registrable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1"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10000"/>
          <w:sz w:val="20"/>
        </w:rPr>
        <w:t>(e)    </w:t>
      </w:r>
      <w:r>
        <w:rPr>
          <w:rFonts w:ascii="Times New Roman;serif" w:hAnsi="Times New Roman;serif"/>
          <w:b w:val="false"/>
          <w:color w:val="000000"/>
          <w:sz w:val="20"/>
        </w:rPr>
        <w:t xml:space="preserve">promptly notify the Participating Holders, at any time when a Prospectus or Prospectus supplement relating thereto is required to be delivered under the Securities Act, upon discovery that, or upon the occurrence of any event as a result of which, the Prospectus included in such Registration Statement, as then in effect, includes an untrue statement of a material fact or omits to state any material fact required to be stated therein or necessary to make the statements therein, in the light of the circumstances under which they were made, not misleading, which untrue statement or omission requires amendment of the Registration Statement or supplementing of the Prospectus, and, as promptly as practicable (subject to Section 5.1 hereof), prepare and furnish, at its expense, to the Participating Holders a reasonable number of copies of a supplement to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the light of the circumstances under which they were made, not misleading;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with respect to Registrable Securities registered pursuant to such Registration Statement, each Holder agrees that it shall not enter into any transaction for the sale of any Registrable Securities pursuant to such Registration Statement during the time after the furnishing of the Company’s notice that the Company is preparing a supplement to or an amendment of such Prospectus or Registration Statement and until the filing and effectiveness thereof; </w:t>
      </w:r>
    </w:p>
    <w:p>
      <w:pPr>
        <w:pStyle w:val="TextBody"/>
        <w:bidi w:val="0"/>
        <w:spacing w:lineRule="auto" w:line="288" w:before="0" w:after="240"/>
        <w:ind w:left="0" w:right="0" w:firstLine="1440"/>
        <w:jc w:val="left"/>
        <w:rPr/>
      </w:pPr>
      <w:r>
        <w:rPr>
          <w:rFonts w:ascii="Times New Roman;serif" w:hAnsi="Times New Roman;serif"/>
          <w:b w:val="false"/>
          <w:color w:val="010000"/>
          <w:sz w:val="20"/>
        </w:rPr>
        <w:t>(f)    </w:t>
      </w:r>
      <w:r>
        <w:rPr>
          <w:rFonts w:ascii="Times New Roman;serif" w:hAnsi="Times New Roman;serif"/>
          <w:b w:val="false"/>
          <w:color w:val="000000"/>
          <w:sz w:val="20"/>
        </w:rPr>
        <w:t xml:space="preserve">use its commercially reasonable efforts to comply with all applicable rules and regulations of the Commission, and make available to holders of its securities, as soon as practicable, an earnings statement covering the period of at least 12 months, but not more than 18 months, beginning with the first month of the first fiscal quarter after the effective date of such Registration Statement, which earnings statement shall satisfy the provisions of Section 11(a) of the Securities Act and Rule 158 thereunder; </w:t>
      </w:r>
    </w:p>
    <w:p>
      <w:pPr>
        <w:pStyle w:val="TextBody"/>
        <w:bidi w:val="0"/>
        <w:spacing w:lineRule="auto" w:line="288" w:before="0" w:after="240"/>
        <w:ind w:left="0" w:right="0" w:firstLine="1440"/>
        <w:jc w:val="left"/>
        <w:rPr/>
      </w:pPr>
      <w:r>
        <w:rPr>
          <w:rFonts w:ascii="Times New Roman;serif" w:hAnsi="Times New Roman;serif"/>
          <w:b w:val="false"/>
          <w:color w:val="010000"/>
          <w:sz w:val="20"/>
        </w:rPr>
        <w:t>(g)    </w:t>
      </w:r>
      <w:r>
        <w:rPr>
          <w:rFonts w:ascii="Times New Roman;serif" w:hAnsi="Times New Roman;serif"/>
          <w:b w:val="false"/>
          <w:color w:val="000000"/>
          <w:sz w:val="20"/>
        </w:rPr>
        <w:t xml:space="preserve">provide, and cause to be maintained, a transfer agent and registrar for the Registrable Securities covered by such Registration Statement (which transfer agent and registrar shall, at the Company’s option, be the Company’s existing transfer agent and registrar) from and after a date not later than the effective date of such Registration Statement; </w:t>
      </w:r>
    </w:p>
    <w:p>
      <w:pPr>
        <w:pStyle w:val="TextBody"/>
        <w:bidi w:val="0"/>
        <w:spacing w:lineRule="auto" w:line="288" w:before="0" w:after="240"/>
        <w:ind w:left="0" w:right="0" w:firstLine="1440"/>
        <w:jc w:val="left"/>
        <w:rPr/>
      </w:pPr>
      <w:r>
        <w:rPr>
          <w:rFonts w:ascii="Times New Roman;serif" w:hAnsi="Times New Roman;serif"/>
          <w:b w:val="false"/>
          <w:color w:val="010000"/>
          <w:sz w:val="20"/>
        </w:rPr>
        <w:t>(h)    </w:t>
      </w:r>
      <w:r>
        <w:rPr>
          <w:rFonts w:ascii="Times New Roman;serif" w:hAnsi="Times New Roman;serif"/>
          <w:b w:val="false"/>
          <w:color w:val="000000"/>
          <w:sz w:val="20"/>
        </w:rPr>
        <w:t xml:space="preserve">notify the Participating Holders and the managing underwriter, if any, promptly, and (if requested by any such Person) confirm such notice in writing, (i) when a Registration Statement, Prospectus, Prospectus supplement or post-effective amendment related to such Registration Statement has been filed, and, with respect to such Registration Statement or any post-effective amendment thereto, when the same has become effective, (ii) of any request by the Commission or any other federal or state governmental authority for amendments or supplements to such Registration Statement or related Prospectus, (iii) of the issuance by the Commission or any other federal or state governmental authority of any stop order suspending the effectiveness of such Registration Statement or the initiation of any proceedings for that purpose and (iv) of the receipt by the Company of any notification with respect to the suspension of the qualification or exemption from qualification of any of the Registrable Securities for sale in any jurisdiction or the initiation or threatening of any proceeding for such purpose; </w:t>
      </w:r>
    </w:p>
    <w:p>
      <w:pPr>
        <w:pStyle w:val="TextBody"/>
        <w:bidi w:val="0"/>
        <w:spacing w:lineRule="auto" w:line="288" w:before="0" w:after="240"/>
        <w:ind w:left="0" w:right="0" w:firstLine="1440"/>
        <w:jc w:val="left"/>
        <w:rPr/>
      </w:pPr>
      <w:r>
        <w:rPr>
          <w:rFonts w:ascii="Times New Roman;serif" w:hAnsi="Times New Roman;serif"/>
          <w:b w:val="false"/>
          <w:color w:val="010000"/>
          <w:sz w:val="20"/>
        </w:rPr>
        <w:t>(i)    </w:t>
      </w:r>
      <w:r>
        <w:rPr>
          <w:rFonts w:ascii="Times New Roman;serif" w:hAnsi="Times New Roman;serif"/>
          <w:b w:val="false"/>
          <w:color w:val="000000"/>
          <w:sz w:val="20"/>
        </w:rPr>
        <w:t xml:space="preserve">use its commercially reasonable efforts to obtain the withdrawal of any order suspending the effectiveness of such Registration Statement, or the lifting of any suspension of the qualification (or exemption from qualification) of any of the Registrable Securities for sale in any jurisdiction, as soon as practicable; </w:t>
      </w:r>
    </w:p>
    <w:p>
      <w:pPr>
        <w:pStyle w:val="TextBody"/>
        <w:bidi w:val="0"/>
        <w:spacing w:lineRule="auto" w:line="288" w:before="0" w:after="240"/>
        <w:ind w:left="0" w:right="0" w:firstLine="1440"/>
        <w:jc w:val="left"/>
        <w:rPr/>
      </w:pPr>
      <w:r>
        <w:rPr>
          <w:rFonts w:ascii="Times New Roman;serif" w:hAnsi="Times New Roman;serif"/>
          <w:b w:val="false"/>
          <w:color w:val="010000"/>
          <w:sz w:val="20"/>
        </w:rPr>
        <w:t>(j)    </w:t>
      </w:r>
      <w:r>
        <w:rPr>
          <w:rFonts w:ascii="Times New Roman;serif" w:hAnsi="Times New Roman;serif"/>
          <w:b w:val="false"/>
          <w:color w:val="000000"/>
          <w:sz w:val="20"/>
        </w:rPr>
        <w:t xml:space="preserve">in the event of an Underwritten Offering of Registrable Securities pursuant to Section 2.3 hereof, enter into customary agreements and take such other actions (including using its commercially reasonable efforts to make such road show presentations and otherwise engaging in such reasonable marketing support in connection with any such Underwritten Offering, including the obligation to make its executive officers available for such purpose if so requested by the managing underwriter for such offering) as are reasonably requested by the managing underwriter in order to expedite or facilitate the sale of such Registrable Securities; </w:t>
      </w:r>
    </w:p>
    <w:p>
      <w:pPr>
        <w:pStyle w:val="TextBody"/>
        <w:bidi w:val="0"/>
        <w:spacing w:lineRule="auto" w:line="288" w:before="0" w:after="240"/>
        <w:ind w:left="0" w:right="0" w:firstLine="1440"/>
        <w:jc w:val="left"/>
        <w:rPr/>
      </w:pPr>
      <w:r>
        <w:rPr>
          <w:rFonts w:ascii="Times New Roman;serif" w:hAnsi="Times New Roman;serif"/>
          <w:b w:val="false"/>
          <w:color w:val="010000"/>
          <w:sz w:val="20"/>
        </w:rPr>
        <w:t>(k)    </w:t>
      </w:r>
      <w:r>
        <w:rPr>
          <w:rFonts w:ascii="Times New Roman;serif" w:hAnsi="Times New Roman;serif"/>
          <w:b w:val="false"/>
          <w:color w:val="000000"/>
          <w:sz w:val="20"/>
        </w:rPr>
        <w:t>make available for inspection by each Participating Holder, any underwriter participating in any disposition pursuant to such registration, and any attorney, accountant or other agent retained by such Participating Holder or any such underwriter (collectively, the “</w:t>
      </w:r>
      <w:r>
        <w:rPr>
          <w:rFonts w:ascii="Times New Roman;serif" w:hAnsi="Times New Roman;serif"/>
          <w:b w:val="false"/>
          <w:color w:val="000000"/>
          <w:sz w:val="20"/>
          <w:u w:val="single"/>
        </w:rPr>
        <w:t>Inspectors</w:t>
      </w:r>
      <w:r>
        <w:rPr>
          <w:color w:val="000000"/>
        </w:rPr>
        <w:t>”</w:t>
      </w:r>
      <w:r>
        <w:rPr>
          <w:rFonts w:ascii="Times New Roman;serif" w:hAnsi="Times New Roman;serif"/>
          <w:b w:val="false"/>
          <w:color w:val="000000"/>
          <w:sz w:val="20"/>
        </w:rPr>
        <w:t xml:space="preserve">), all financial and other records, pertinent corporate documents and properties of the Company and any of its subsidiaries (collectively, the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2"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r>
        <w:rPr>
          <w:color w:val="000000"/>
        </w:rPr>
        <w:t>“</w:t>
      </w:r>
      <w:r>
        <w:rPr>
          <w:rFonts w:ascii="Times New Roman;serif" w:hAnsi="Times New Roman;serif"/>
          <w:b w:val="false"/>
          <w:color w:val="000000"/>
          <w:sz w:val="20"/>
          <w:u w:val="single"/>
        </w:rPr>
        <w:t>Records</w:t>
      </w:r>
      <w:r>
        <w:rPr>
          <w:color w:val="000000"/>
        </w:rPr>
        <w:t>”</w:t>
      </w:r>
      <w:r>
        <w:rPr>
          <w:rFonts w:ascii="Times New Roman;serif" w:hAnsi="Times New Roman;serif"/>
          <w:b w:val="false"/>
          <w:color w:val="000000"/>
          <w:sz w:val="20"/>
        </w:rPr>
        <w:t xml:space="preserve">) as shall be reasonably necessary to enable them to exercise their due diligence responsibility, and cause the officers, directors and employees of the Company to supply all information reasonably requested by any such Inspector in connection with such registration,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 in connection with any such inspection, any such Inspectors shall cooperate to the extent reasonably practicable to minimize any disruption to the operation by the Company of its business and shall comply with all the Company site safety rules, (ii) Records and information obtained hereunder shall be used by such Inspectors only to exercise their due diligence responsibility and (iii) Records or information furnished or made available hereunder shall be kept confidential and shall not be disclosed by such Participating Holder, underwriter or Inspectors unless (A) the disclosing party advises the other party that the disclosure of such Records or information is necessary to avoid or correct a misstatement or omission in a Registration Statement or is otherwise required by law, (B) the release of such Records or information is ordered pursuant to a subpoena or other order from a court or governmental authority of competent jurisdiction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such Person shall use its commercially reasonable efforts to provide the Company with prior written notice of such requirement to afford the Company with an opportunity to seek a protective order or other appropriate remedy in response) or (C) such Records or information otherwise become generally available to the public other than through disclosure by such Participating Holder, underwriter or Inspector in breach hereof or by any Person in breach of any other confidentiality arrangement; </w:t>
      </w:r>
    </w:p>
    <w:p>
      <w:pPr>
        <w:pStyle w:val="TextBody"/>
        <w:bidi w:val="0"/>
        <w:spacing w:lineRule="auto" w:line="288" w:before="0" w:after="240"/>
        <w:ind w:left="0" w:right="0" w:firstLine="1440"/>
        <w:jc w:val="left"/>
        <w:rPr/>
      </w:pPr>
      <w:r>
        <w:rPr>
          <w:rFonts w:ascii="Times New Roman;serif" w:hAnsi="Times New Roman;serif"/>
          <w:b w:val="false"/>
          <w:color w:val="010000"/>
          <w:sz w:val="20"/>
        </w:rPr>
        <w:t>(l)    </w:t>
      </w:r>
      <w:r>
        <w:rPr>
          <w:rFonts w:ascii="Times New Roman;serif" w:hAnsi="Times New Roman;serif"/>
          <w:b w:val="false"/>
          <w:color w:val="000000"/>
          <w:sz w:val="20"/>
        </w:rPr>
        <w:t xml:space="preserve">in connection with any registration of an Underwritten Offering of Registrable Securities hereunder, use all commercially reasonable efforts to furnish to each Participating Holder and to the managing underwriter, if any, a signed counterpart, addressed to such Participating Holder and the managing underwriter, if any, of (i) an opinion or opinions of counsel to the Company and (ii) a comfort letter or comfort letters from the Company’s independent public accountants pursuant to Statement on Auditing Standards No. 72 (or any successor thereto), each in customary form and covering such matters of the type customarily covered by opinions or comfort letters, as the case may be, as each such Participating Holder and the managing underwriter, if any, reasonably requests; </w:t>
      </w:r>
    </w:p>
    <w:p>
      <w:pPr>
        <w:pStyle w:val="TextBody"/>
        <w:bidi w:val="0"/>
        <w:spacing w:lineRule="auto" w:line="288" w:before="0" w:after="240"/>
        <w:ind w:left="0" w:right="0" w:firstLine="1440"/>
        <w:jc w:val="left"/>
        <w:rPr/>
      </w:pPr>
      <w:r>
        <w:rPr>
          <w:rFonts w:ascii="Times New Roman;serif" w:hAnsi="Times New Roman;serif"/>
          <w:b w:val="false"/>
          <w:color w:val="010000"/>
          <w:sz w:val="20"/>
        </w:rPr>
        <w:t>(m)    </w:t>
      </w:r>
      <w:r>
        <w:rPr>
          <w:rFonts w:ascii="Times New Roman;serif" w:hAnsi="Times New Roman;serif"/>
          <w:b w:val="false"/>
          <w:color w:val="000000"/>
          <w:sz w:val="20"/>
        </w:rPr>
        <w:t xml:space="preserve">in connection with any registration of an Underwritten Offering of Registrable Securities hereunder, provide officers’ certificates and other customary closing documents; </w:t>
      </w:r>
    </w:p>
    <w:p>
      <w:pPr>
        <w:pStyle w:val="TextBody"/>
        <w:bidi w:val="0"/>
        <w:spacing w:lineRule="auto" w:line="288" w:before="0" w:after="240"/>
        <w:ind w:left="0" w:right="0" w:firstLine="1440"/>
        <w:jc w:val="left"/>
        <w:rPr/>
      </w:pPr>
      <w:r>
        <w:rPr>
          <w:rFonts w:ascii="Times New Roman;serif" w:hAnsi="Times New Roman;serif"/>
          <w:b w:val="false"/>
          <w:color w:val="010000"/>
          <w:sz w:val="20"/>
        </w:rPr>
        <w:t>(n)    </w:t>
      </w:r>
      <w:r>
        <w:rPr>
          <w:rFonts w:ascii="Times New Roman;serif" w:hAnsi="Times New Roman;serif"/>
          <w:b w:val="false"/>
          <w:color w:val="000000"/>
          <w:sz w:val="20"/>
        </w:rPr>
        <w:t>reasonably cooperate with each seller of Registrable Securities and any underwriter in the disposition of such Registrable Securities and with underwriters’ counsel, if any, in connection with any filings required to be made with the Financial Industry Regulatory Authority (“</w:t>
      </w:r>
      <w:r>
        <w:rPr>
          <w:rFonts w:ascii="Times New Roman;serif" w:hAnsi="Times New Roman;serif"/>
          <w:b w:val="false"/>
          <w:color w:val="000000"/>
          <w:sz w:val="20"/>
          <w:u w:val="single"/>
        </w:rPr>
        <w:t>FINRA</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10000"/>
          <w:sz w:val="20"/>
        </w:rPr>
        <w:t>(o)    </w:t>
      </w:r>
      <w:r>
        <w:rPr>
          <w:rFonts w:ascii="Times New Roman;serif" w:hAnsi="Times New Roman;serif"/>
          <w:b w:val="false"/>
          <w:color w:val="000000"/>
          <w:sz w:val="20"/>
        </w:rPr>
        <w:t xml:space="preserve">use its commercially reasonable efforts to cause all such Registrable Securities to be listed on each securities exchange on which securities of the same class or series issued by the Company are then listed; </w:t>
      </w:r>
    </w:p>
    <w:p>
      <w:pPr>
        <w:pStyle w:val="TextBody"/>
        <w:bidi w:val="0"/>
        <w:spacing w:lineRule="auto" w:line="288" w:before="0" w:after="240"/>
        <w:ind w:left="0" w:right="0" w:firstLine="1440"/>
        <w:jc w:val="left"/>
        <w:rPr/>
      </w:pPr>
      <w:r>
        <w:rPr>
          <w:rFonts w:ascii="Times New Roman;serif" w:hAnsi="Times New Roman;serif"/>
          <w:b w:val="false"/>
          <w:color w:val="010000"/>
          <w:sz w:val="20"/>
        </w:rPr>
        <w:t>(p)    </w:t>
      </w:r>
      <w:r>
        <w:rPr>
          <w:rFonts w:ascii="Times New Roman;serif" w:hAnsi="Times New Roman;serif"/>
          <w:b w:val="false"/>
          <w:color w:val="000000"/>
          <w:sz w:val="20"/>
        </w:rPr>
        <w:t xml:space="preserve">cooperate with the Participating Holders and the managing underwriter, underwriters or agent, if any, to facilitate the timely preparation and delivery of certificates representing Registrable Securities to be sold and not bearing any restrictive legends; and </w:t>
      </w:r>
    </w:p>
    <w:p>
      <w:pPr>
        <w:pStyle w:val="TextBody"/>
        <w:bidi w:val="0"/>
        <w:spacing w:lineRule="auto" w:line="288" w:before="0" w:after="240"/>
        <w:ind w:left="0" w:right="0" w:firstLine="1440"/>
        <w:jc w:val="left"/>
        <w:rPr/>
      </w:pPr>
      <w:r>
        <w:rPr>
          <w:rFonts w:ascii="Times New Roman;serif" w:hAnsi="Times New Roman;serif"/>
          <w:b w:val="false"/>
          <w:color w:val="010000"/>
          <w:sz w:val="20"/>
        </w:rPr>
        <w:t>(q)    </w:t>
      </w:r>
      <w:r>
        <w:rPr>
          <w:rFonts w:ascii="Times New Roman;serif" w:hAnsi="Times New Roman;serif"/>
          <w:b w:val="false"/>
          <w:color w:val="000000"/>
          <w:sz w:val="20"/>
        </w:rPr>
        <w:t xml:space="preserve">use its commercially reasonable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 </w:t>
      </w:r>
    </w:p>
    <w:p>
      <w:pPr>
        <w:pStyle w:val="TextBody"/>
        <w:bidi w:val="0"/>
        <w:spacing w:lineRule="auto" w:line="288" w:before="0" w:after="240"/>
        <w:ind w:left="0" w:right="0" w:firstLine="720"/>
        <w:jc w:val="left"/>
        <w:rPr/>
      </w:pPr>
      <w:r>
        <w:rPr>
          <w:rFonts w:ascii="Times New Roman;serif" w:hAnsi="Times New Roman;serif"/>
          <w:b w:val="false"/>
          <w:color w:val="010000"/>
          <w:sz w:val="20"/>
        </w:rPr>
        <w:t>6.2    </w:t>
      </w:r>
      <w:r>
        <w:rPr>
          <w:rFonts w:ascii="Times New Roman;serif" w:hAnsi="Times New Roman;serif"/>
          <w:b w:val="false"/>
          <w:color w:val="000000"/>
          <w:sz w:val="20"/>
          <w:u w:val="single"/>
        </w:rPr>
        <w:t>Holder Obligations</w:t>
      </w:r>
      <w:r>
        <w:rPr>
          <w:rFonts w:ascii="Times New Roman;serif" w:hAnsi="Times New Roman;serif"/>
          <w:b w:val="false"/>
          <w:color w:val="000000"/>
          <w:sz w:val="20"/>
        </w:rPr>
        <w:t xml:space="preserve">. Each Holder agrees: </w:t>
      </w:r>
    </w:p>
    <w:p>
      <w:pPr>
        <w:pStyle w:val="TextBody"/>
        <w:bidi w:val="0"/>
        <w:spacing w:lineRule="auto" w:line="288" w:before="0" w:after="240"/>
        <w:ind w:left="0" w:right="0" w:firstLine="1440"/>
        <w:jc w:val="left"/>
        <w:rPr/>
      </w:pPr>
      <w:r>
        <w:rPr>
          <w:rFonts w:ascii="Times New Roman;serif" w:hAnsi="Times New Roman;serif"/>
          <w:b w:val="false"/>
          <w:color w:val="010000"/>
          <w:sz w:val="20"/>
        </w:rPr>
        <w:t>(a)    </w:t>
      </w:r>
      <w:r>
        <w:rPr>
          <w:rFonts w:ascii="Times New Roman;serif" w:hAnsi="Times New Roman;serif"/>
          <w:b w:val="false"/>
          <w:color w:val="000000"/>
          <w:sz w:val="20"/>
        </w:rPr>
        <w:t xml:space="preserve">that it shall furnish to the Company such information regarding such Holder and the plan and method of distribution of Registrable Securities intended by such Holder (i) as the Company may, from time to time, reasonably request in writing and (ii) as shall be required by law or by the Commission in connection therewith;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3"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10000"/>
          <w:sz w:val="20"/>
        </w:rPr>
        <w:t>(b)    </w:t>
      </w:r>
      <w:r>
        <w:rPr>
          <w:rFonts w:ascii="Times New Roman;serif" w:hAnsi="Times New Roman;serif"/>
          <w:b w:val="false"/>
          <w:color w:val="000000"/>
          <w:sz w:val="20"/>
        </w:rPr>
        <w:t xml:space="preserve">that information obtained by it or by its Inspectors shall be deemed confidential and shall not be used by it as the basis for any market transactions in the securities of the Company or its Affiliates unless and until such information is made generally available to the public; </w:t>
      </w:r>
    </w:p>
    <w:p>
      <w:pPr>
        <w:pStyle w:val="TextBody"/>
        <w:bidi w:val="0"/>
        <w:spacing w:lineRule="auto" w:line="288" w:before="0" w:after="240"/>
        <w:ind w:left="0" w:right="0" w:firstLine="1440"/>
        <w:jc w:val="left"/>
        <w:rPr/>
      </w:pPr>
      <w:r>
        <w:rPr>
          <w:rFonts w:ascii="Times New Roman;serif" w:hAnsi="Times New Roman;serif"/>
          <w:b w:val="false"/>
          <w:color w:val="010000"/>
          <w:sz w:val="20"/>
        </w:rPr>
        <w:t>(c)    </w:t>
      </w:r>
      <w:r>
        <w:rPr>
          <w:rFonts w:ascii="Times New Roman;serif" w:hAnsi="Times New Roman;serif"/>
          <w:b w:val="false"/>
          <w:color w:val="000000"/>
          <w:sz w:val="20"/>
        </w:rPr>
        <w:t xml:space="preserve">to use its commercially reasonable efforts, prior to making any disclosure allowed by Section 6.1(k)(iii)(A) or (B) hereof, to inform the Company that such disclosure is necessary to avoid or correct a misstatement or omission in the Registration Statement or ordered pursuant to a subpoena or other order from a court or governmental authority of competent jurisdiction or otherwise required by law; </w:t>
      </w:r>
    </w:p>
    <w:p>
      <w:pPr>
        <w:pStyle w:val="TextBody"/>
        <w:bidi w:val="0"/>
        <w:spacing w:lineRule="auto" w:line="288" w:before="0" w:after="240"/>
        <w:ind w:left="0" w:right="0" w:firstLine="1440"/>
        <w:jc w:val="left"/>
        <w:rPr/>
      </w:pPr>
      <w:r>
        <w:rPr>
          <w:rFonts w:ascii="Times New Roman;serif" w:hAnsi="Times New Roman;serif"/>
          <w:b w:val="false"/>
          <w:color w:val="010000"/>
          <w:sz w:val="20"/>
        </w:rPr>
        <w:t>(d)    </w:t>
      </w:r>
      <w:r>
        <w:rPr>
          <w:rFonts w:ascii="Times New Roman;serif" w:hAnsi="Times New Roman;serif"/>
          <w:b w:val="false"/>
          <w:color w:val="000000"/>
          <w:sz w:val="20"/>
        </w:rPr>
        <w:t xml:space="preserve">in the case of an Underwritten Offering of Registrable Securities pursuant to this Agreement, if requested by the managing underwriter, to enter into an underwriting agreement with the underwriters for such offering containing such representations and warranties by each Holder and such other terms and provisions as are customarily contained in such underwriting agreements, including customary indemnity and contribution provisions and “lock-up” obligations substantially similar to Section 5.2 hereof; and </w:t>
      </w:r>
    </w:p>
    <w:p>
      <w:pPr>
        <w:pStyle w:val="TextBody"/>
        <w:bidi w:val="0"/>
        <w:spacing w:lineRule="auto" w:line="288" w:before="0" w:after="240"/>
        <w:ind w:left="0" w:right="0" w:firstLine="1440"/>
        <w:jc w:val="left"/>
        <w:rPr/>
      </w:pPr>
      <w:r>
        <w:rPr>
          <w:rFonts w:ascii="Times New Roman;serif" w:hAnsi="Times New Roman;serif"/>
          <w:b w:val="false"/>
          <w:color w:val="010000"/>
          <w:sz w:val="20"/>
        </w:rPr>
        <w:t>(e)    </w:t>
      </w:r>
      <w:r>
        <w:rPr>
          <w:rFonts w:ascii="Times New Roman;serif" w:hAnsi="Times New Roman;serif"/>
          <w:b w:val="false"/>
          <w:color w:val="000000"/>
          <w:sz w:val="20"/>
        </w:rPr>
        <w:t xml:space="preserve">to notify the Company as soon as practicable if it becomes aware of the occurrence of any event, development or fact as a result of which a Registration Statement or any Prospectus or supplement, as then in effect, contains an untrue statement of a material fact with respect to such Holder or omits to state any material fact with respect to such Holder required to be stated therein or necessary to make the statements therein, in light of the circumstances under which they were made, not misleading;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Holder shall not be required to notify the Company, or may limit such notification, as the case may be, solely to the extent necessary, as determined in good faith by such Holder on the advice of counsel, in order not to be in violation of or default under any applicable law, regulation, rule, stock exchange requirement, self-regulatory body, supervisory authority, legal process or fiduciary duty.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VII</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INDEMNIFICATION </w:t>
      </w:r>
    </w:p>
    <w:p>
      <w:pPr>
        <w:pStyle w:val="TextBody"/>
        <w:bidi w:val="0"/>
        <w:spacing w:lineRule="auto" w:line="288" w:before="0" w:after="240"/>
        <w:ind w:left="0" w:right="0" w:firstLine="720"/>
        <w:jc w:val="left"/>
        <w:rPr/>
      </w:pPr>
      <w:r>
        <w:rPr>
          <w:rFonts w:ascii="Times New Roman;serif" w:hAnsi="Times New Roman;serif"/>
          <w:b w:val="false"/>
          <w:color w:val="010000"/>
          <w:sz w:val="20"/>
        </w:rPr>
        <w:t>7.1    </w:t>
      </w:r>
      <w:r>
        <w:rPr>
          <w:rFonts w:ascii="Times New Roman;serif" w:hAnsi="Times New Roman;serif"/>
          <w:b w:val="false"/>
          <w:color w:val="000000"/>
          <w:sz w:val="20"/>
          <w:u w:val="single"/>
        </w:rPr>
        <w:t>Indemnification by the Company</w:t>
      </w:r>
      <w:r>
        <w:rPr>
          <w:rFonts w:ascii="Times New Roman;serif" w:hAnsi="Times New Roman;serif"/>
          <w:b w:val="false"/>
          <w:color w:val="000000"/>
          <w:sz w:val="20"/>
        </w:rPr>
        <w:t>. In the event of any registration of any Registrable Securities under the Securities Act pursuant to this Agreement, the Company shall indemnify and hold harmless to the full extent permitted by law (i) each Holder, such Holder’s Affiliates and their respective officers, directors, managers, partners, stockholders, employees, advisors, agents and other representatives of the foregoing, and each of their respective successors and assigns, and each Person who controls any of the foregoing within the meaning of the Securities Act and the Exchange Act, and (ii) any selling agent selected by the Holders or their Affiliates with respect to such Registrable Securities (each such Person being sometimes referred to as an “</w:t>
      </w:r>
      <w:r>
        <w:rPr>
          <w:rFonts w:ascii="Times New Roman;serif" w:hAnsi="Times New Roman;serif"/>
          <w:b w:val="false"/>
          <w:color w:val="000000"/>
          <w:sz w:val="20"/>
          <w:u w:val="single"/>
        </w:rPr>
        <w:t>Indemnified Person</w:t>
      </w:r>
      <w:r>
        <w:rPr>
          <w:color w:val="000000"/>
        </w:rPr>
        <w:t>”</w:t>
      </w:r>
      <w:r>
        <w:rPr>
          <w:rFonts w:ascii="Times New Roman;serif" w:hAnsi="Times New Roman;serif"/>
          <w:b w:val="false"/>
          <w:color w:val="000000"/>
          <w:sz w:val="20"/>
        </w:rPr>
        <w:t>), against any and all losses, claims, damages, liabilities (or actions or proceedings in respect thereof, whether or not such Indemnified Person is a party thereto) and expenses (including reasonable costs of investigations and legal expenses), joint or several (each a “</w:t>
      </w:r>
      <w:r>
        <w:rPr>
          <w:rFonts w:ascii="Times New Roman;serif" w:hAnsi="Times New Roman;serif"/>
          <w:b w:val="false"/>
          <w:color w:val="000000"/>
          <w:sz w:val="20"/>
          <w:u w:val="single"/>
        </w:rPr>
        <w:t>Loss</w:t>
      </w:r>
      <w:r>
        <w:rPr>
          <w:color w:val="000000"/>
        </w:rPr>
        <w:t xml:space="preserve">” </w:t>
      </w:r>
      <w:r>
        <w:rPr>
          <w:rFonts w:ascii="Times New Roman;serif" w:hAnsi="Times New Roman;serif"/>
          <w:b w:val="false"/>
          <w:color w:val="000000"/>
          <w:sz w:val="20"/>
        </w:rPr>
        <w:t>and collectively “</w:t>
      </w:r>
      <w:r>
        <w:rPr>
          <w:rFonts w:ascii="Times New Roman;serif" w:hAnsi="Times New Roman;serif"/>
          <w:b w:val="false"/>
          <w:color w:val="000000"/>
          <w:sz w:val="20"/>
          <w:u w:val="single"/>
        </w:rPr>
        <w:t>Losses</w:t>
      </w:r>
      <w:r>
        <w:rPr>
          <w:color w:val="000000"/>
        </w:rPr>
        <w:t>”</w:t>
      </w:r>
      <w:r>
        <w:rPr>
          <w:rFonts w:ascii="Times New Roman;serif" w:hAnsi="Times New Roman;serif"/>
          <w:b w:val="false"/>
          <w:color w:val="000000"/>
          <w:sz w:val="20"/>
        </w:rPr>
        <w:t xml:space="preserve">), to which such Indemnified Person may become subject, to the extent that such Losses (or related actions or proceedings) arise out of or are based upon (A) any untrue statement or alleged untrue statement of any material fact contained in any Registration Statement in which such Registrable Securities were included for registration under the Securities Act, including any preliminary or summary Prospectus or any final Prospectus included in such Registration Statement (or any amendment or supplement to such Registration Statement or Prospectus) or any document incorporated by reference therein, or (B) any omission or alleged omission to state therein a material fact required to be stated therein or necessary to make the statements therein (in the case of the Prospectus and any preliminary Prospectus in light of the circumstances under which they were made) not misleading; and the Company agrees to reimburse such Indemnified Person for any legal or other expenses reasonably incurred by it in connection with investigating or defending any such action or claim as such expenses are incurred;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Company shall have no obligation to provide any indemnification or reimbursement hereunder (i) to the extent that any such Losses (or actions or proceedings in respect thereof) arise out of or are based upon an untrue statement or alleged untrue statement or omission or alleged omission made in such Registration Statement, preliminary Prospectus, final Prospectus, amendment or supplement, in reliance upon and in conformity with written information furnished to the Company by the Holder, or on the Holder’s behalf, specifically for inclusion, respectively, in such Registration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4"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Statement, preliminary Prospectus, final Prospectus, amendment or supplement, or (ii) in the case of a sale directly by a Holder of Registrable Securities (including a sale of such Registrable Securities through any underwriter retained by such Holder engaging in a distribution solely on behalf of Holders), to the extent that such untrue statement or alleged untrue statement or omission or alleged omission was contained in a preliminary Prospectus and corrected in a final, amended or supplemented Prospectus provided to such Holder prior to the confirmation of the sale of the Registrable Securities to the Person asserting any such Loss, and such Holder failed to deliver a copy of the final, amended or supplemented Prospectus at or prior to such confirmation of sale in any case in which such delivery is required by the Securities Act, or (iii) in the case of a sale directly by a Holder of Registrable Securities (including a sale of such Registrable Securities through any underwriter retained by such Holder engaging in a distribution solely on behalf of Holders), to the extent that such untrue statement or alleged untrue statement or omission or alleged omission was contained in a final Prospectus but was corrected in an amended or supplemented final Prospectus provided to such Holder prior to the confirmation of the sale of the Registrable Securities to the Person asserting any such Loss, and such Holder failed to deliver a copy of the amended or supplemented final Prospectus at or prior to such confirmation of sale in any case in which such delivery is required by the Securities Act. The indemnity provided in this Section 7.1 shall remain in full force and effect regardless of any investigation made by or on behalf of such Holder or any Indemnified Person and shall survive the transfer or disposal of the Registrable Securities by the Holder or any such other Persons. The Company will also indemnify, if applicable and if requested, underwriters, selling brokers, dealer managers and similar securities industry professionals participating in any distribution pursuant hereto, their officers and directors and each Person who controls such Persons (within the meaning of the Securities Act and the Exchange Act) to the same extent as provided above with respect to the indemnification of the Indemnified Persons. This indemnity shall be in addition to any liability the Company may otherwise have. </w:t>
      </w:r>
    </w:p>
    <w:p>
      <w:pPr>
        <w:pStyle w:val="TextBody"/>
        <w:bidi w:val="0"/>
        <w:spacing w:lineRule="auto" w:line="288" w:before="0" w:after="240"/>
        <w:ind w:left="0" w:right="0" w:firstLine="720"/>
        <w:jc w:val="left"/>
        <w:rPr/>
      </w:pPr>
      <w:r>
        <w:rPr>
          <w:rFonts w:ascii="Times New Roman;serif" w:hAnsi="Times New Roman;serif"/>
          <w:b w:val="false"/>
          <w:color w:val="010000"/>
          <w:sz w:val="20"/>
        </w:rPr>
        <w:t>7.2    </w:t>
      </w:r>
      <w:r>
        <w:rPr>
          <w:rFonts w:ascii="Times New Roman;serif" w:hAnsi="Times New Roman;serif"/>
          <w:b w:val="false"/>
          <w:color w:val="000000"/>
          <w:sz w:val="20"/>
          <w:u w:val="single"/>
        </w:rPr>
        <w:t>Indemnification by the Holders</w:t>
      </w:r>
      <w:r>
        <w:rPr>
          <w:rFonts w:ascii="Times New Roman;serif" w:hAnsi="Times New Roman;serif"/>
          <w:b w:val="false"/>
          <w:color w:val="000000"/>
          <w:sz w:val="20"/>
        </w:rPr>
        <w:t>. In the event of any registration of any Registrable Securities under the Securities Act pursuant to this Agreement, each Holder shall, severally and not jointly, indemnify and hold harmless (in the same manner and to the same extent as set forth in Section 7.1 hereof) the Company, each director and officer of the Company and each other Person, if any, who controls the Company within the meaning of the Securities Act and the Exchange Act (each such Person being sometimes referred to as a “</w:t>
      </w:r>
      <w:r>
        <w:rPr>
          <w:rFonts w:ascii="Times New Roman;serif" w:hAnsi="Times New Roman;serif"/>
          <w:b w:val="false"/>
          <w:color w:val="000000"/>
          <w:sz w:val="20"/>
          <w:u w:val="single"/>
        </w:rPr>
        <w:t>Company Indemnified Person</w:t>
      </w:r>
      <w:r>
        <w:rPr>
          <w:color w:val="000000"/>
        </w:rPr>
        <w:t>”</w:t>
      </w:r>
      <w:r>
        <w:rPr>
          <w:rFonts w:ascii="Times New Roman;serif" w:hAnsi="Times New Roman;serif"/>
          <w:b w:val="false"/>
          <w:color w:val="000000"/>
          <w:sz w:val="20"/>
        </w:rPr>
        <w:t xml:space="preserve">), against Losses to which the Company or any such Persons may become subject under the Securities Act or otherwise, to the extent that such Losses (or related actions or proceedings) arise out of or are based upon (A) any untrue statement or alleged untrue statement of any material fact contained in any Registration Statement in which Registrable Securities were included for registration under the Securities Act, or any preliminary Prospectus or any final Prospectus included in such Registration Statement (or any amendment or supplement to such Registration Statement or Prospectus), or (B) any omission or alleged omission to state therein a material fact required to be stated therein or necessary to make the statements therein, (in the case of the Prospectus and any preliminary Prospectus in light of the circumstances under which they were made) not misleading, in each case, only to the extent that such untrue statement or alleged untrue statement or omission or alleged omission was made in such Registration Statement, preliminary Prospectus, final Prospectus, amendment or supplement in reliance upon and in conformity with written information furnished to the Company by such Holder, or on such Holder’s behalf, specifically for inclusion, respectively, in such Registration Statement, preliminary Prospectus, final Prospectus, amendment or supplement; and each Holder agrees to reimburse such Company Indemnified Person for any legal or other expenses reasonably incurred by it in connection with investigating or defending any such action or claim as such expenses are incurred;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 Holder’s aggregate liability under this Agreement shall be limited to an amount equal to the net proceeds (after deducting the underwriter’s discount and expenses) received by such Holder from the sale of such Holder’s Registrable Securities pursuant to such registration. </w:t>
      </w:r>
    </w:p>
    <w:p>
      <w:pPr>
        <w:pStyle w:val="TextBody"/>
        <w:bidi w:val="0"/>
        <w:spacing w:lineRule="auto" w:line="288" w:before="0" w:after="240"/>
        <w:ind w:left="0" w:right="0" w:firstLine="720"/>
        <w:jc w:val="left"/>
        <w:rPr/>
      </w:pPr>
      <w:r>
        <w:rPr>
          <w:rFonts w:ascii="Times New Roman;serif" w:hAnsi="Times New Roman;serif"/>
          <w:b w:val="false"/>
          <w:color w:val="010000"/>
          <w:sz w:val="20"/>
        </w:rPr>
        <w:t>7.3    </w:t>
      </w:r>
      <w:r>
        <w:rPr>
          <w:rFonts w:ascii="Times New Roman;serif" w:hAnsi="Times New Roman;serif"/>
          <w:b w:val="false"/>
          <w:color w:val="000000"/>
          <w:sz w:val="20"/>
          <w:u w:val="single"/>
        </w:rPr>
        <w:t>Notice of Claims, Etc.</w:t>
      </w:r>
      <w:r>
        <w:rPr>
          <w:color w:val="000000"/>
        </w:rPr>
        <w:t xml:space="preserve"> </w:t>
      </w:r>
      <w:r>
        <w:rPr>
          <w:rFonts w:ascii="Times New Roman;serif" w:hAnsi="Times New Roman;serif"/>
          <w:b w:val="false"/>
          <w:color w:val="000000"/>
          <w:sz w:val="20"/>
        </w:rPr>
        <w:t>Promptly after receipt by any Person entitled to indemnity under Section 7.1 or 7.2 hereof (an “</w:t>
      </w:r>
      <w:r>
        <w:rPr>
          <w:rFonts w:ascii="Times New Roman;serif" w:hAnsi="Times New Roman;serif"/>
          <w:b w:val="false"/>
          <w:color w:val="000000"/>
          <w:sz w:val="20"/>
          <w:u w:val="single"/>
        </w:rPr>
        <w:t>Indemnitee</w:t>
      </w:r>
      <w:r>
        <w:rPr>
          <w:color w:val="000000"/>
        </w:rPr>
        <w:t>”</w:t>
      </w:r>
      <w:r>
        <w:rPr>
          <w:rFonts w:ascii="Times New Roman;serif" w:hAnsi="Times New Roman;serif"/>
          <w:b w:val="false"/>
          <w:color w:val="000000"/>
          <w:sz w:val="20"/>
        </w:rPr>
        <w:t>) of notice of the commencement of any action or proceeding (an “</w:t>
      </w:r>
      <w:r>
        <w:rPr>
          <w:rFonts w:ascii="Times New Roman;serif" w:hAnsi="Times New Roman;serif"/>
          <w:b w:val="false"/>
          <w:color w:val="000000"/>
          <w:sz w:val="20"/>
          <w:u w:val="single"/>
        </w:rPr>
        <w:t>Action</w:t>
      </w:r>
      <w:r>
        <w:rPr>
          <w:color w:val="000000"/>
        </w:rPr>
        <w:t>”</w:t>
      </w:r>
      <w:r>
        <w:rPr>
          <w:rFonts w:ascii="Times New Roman;serif" w:hAnsi="Times New Roman;serif"/>
          <w:b w:val="false"/>
          <w:color w:val="000000"/>
          <w:sz w:val="20"/>
        </w:rPr>
        <w:t xml:space="preserve">) involving a claim referred to in such Sections, such Indemnitee shall, if indemnification is sought against an indemnifying party, give written notice to such indemnifying party of the commencement of such Action;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failure of any Indemnitee to give said notice shall not relieve the indemnifying party of its obligations under Section 7.1 or 7.2 hereof, except to the extent that the indemnifying party is actually prejudiced by such failure. In case an Action is brought against any Indemnitee, and such Indemnitee notifies the indemnifying party of the commencement thereof, each indemnifying party shall be entitled to participate therein and,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5"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it elects to do so by written notice delivered to the Indemnitee promptly after receiving the aforesaid notice, to assume the defense thereof with counsel selected by such Indemnitee and reasonably satisfactory to such indemnifying party. Notwithstanding the foregoing, the Indemnitee shall have the right to employ its own counsel in any such case, but the fees and expenses of such counsel shall be at the expense of such Indemnitee, unless (i) the employment of such counsel shall have been authorized in writing by the indemnifying party, (ii) the indemnifying party shall not have employed counsel to take charge of the defense of such Action, reasonably promptly after notice of the commencement thereof or (iii) such Indemnitee reasonably shall have concluded that there may be defenses available to it which are different from or additional to those available to the indemnifying party which, if the indemnifying party and the Indemnitee were to be represented by the same counsel, could result in a conflict of interest for such counsel or materially prejudice the prosecution of the defenses available to such Indemnitee. If any of the events specified in clauses (i), (ii) or this clause (iii) of the preceding sentence shall have occurred or otherwise shall be applicable, then the fees and expenses of counsel for the Indemnitee shall be borne by the indemnifying party; it being understood, however, that the indemnifying party shall not, in connection with any one such claim or proceeding, or separate but substantially similar or related claims or proceedings arising out of the same general allegations or circumstances, be liable for the fees and expenses of more than one separate firm of attorneys (together with appropriate local counsel) at any time for all Indemnitees hereunder, or for fees and expenses that are not reasonable. Anything in this Section 7.3 to the contrary notwithstanding, an indemnifying party shall not be liable for the settlement of any action effected without its prior written consent (which consent shall not unreasonably be withheld or delayed), but if settled with the prior written consent of the indemnifying party, or if there shall be a final judgment adverse to the Indemnitee, the indemnifying party agrees to indemnify the Indemnitee from and against any loss or liability by reason of such settlement or judgment. No indemnifying party shall, without the prior consent of the Indemnitee (which consent shall not be unreasonably withheld or delayed), consent to entry of any judgment or enter into any settlement or compromise, with respect to any pending or threatened action or claim in respect of which the Indemnitee would be entitled to indemnification or contribution hereunder (whether or not the Indemnitee is an actual party to such action or claim), which (i) does not include as a term thereof the unconditional release of the Indemnitee from all liability in respect of such action or claim or (ii) includes an admission of fault, culpability or a failure to act by or on behalf of the Indemnitee. </w:t>
      </w:r>
    </w:p>
    <w:p>
      <w:pPr>
        <w:pStyle w:val="TextBody"/>
        <w:bidi w:val="0"/>
        <w:spacing w:lineRule="auto" w:line="288" w:before="0" w:after="240"/>
        <w:ind w:left="0" w:right="0" w:firstLine="720"/>
        <w:jc w:val="left"/>
        <w:rPr/>
      </w:pPr>
      <w:r>
        <w:rPr>
          <w:rFonts w:ascii="Times New Roman;serif" w:hAnsi="Times New Roman;serif"/>
          <w:b w:val="false"/>
          <w:color w:val="010000"/>
          <w:sz w:val="20"/>
        </w:rPr>
        <w:t>7.4    </w:t>
      </w:r>
      <w:r>
        <w:rPr>
          <w:rFonts w:ascii="Times New Roman;serif" w:hAnsi="Times New Roman;serif"/>
          <w:b w:val="false"/>
          <w:color w:val="000000"/>
          <w:sz w:val="20"/>
          <w:u w:val="single"/>
        </w:rPr>
        <w:t>Contribution</w:t>
      </w:r>
      <w:r>
        <w:rPr>
          <w:rFonts w:ascii="Times New Roman;serif" w:hAnsi="Times New Roman;serif"/>
          <w:b w:val="false"/>
          <w:color w:val="000000"/>
          <w:sz w:val="20"/>
        </w:rPr>
        <w:t xml:space="preserve">. If the indemnification provided for in this Article VII is unavailable or insufficient to hold harmless an Indemnitee in respect of any Losses, then each indemnifying party shall, in lieu of indemnifying such Indemnitee, contribute to the amount paid or payable by such Indemnitee as a result of such Losses in such proportion as appropriate to reflect the relative fault of the indemnifying party, on the one hand, and the Indemnitee, on the other hand, which relative fault shall be determined by reference to, among other things, whether the untrue or alleged untrue statement of a material fact or omission or alleged omission to state a material fact relates to information supplied by such Indemnitee or indemnifying party, and such parties’ relative intent, knowledge, access to information and opportunity to correct or mitigate the damage in respect of or prevent the untrue statement or omission giving rise to such indemnification obligation;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 Holder’s aggregate liability under this Section 7.4 shall be limited to an amount equal to the net proceeds (after deducting the underwriter’s discount but before deducting expenses) received by such Holder from the sale of such Holder’s Registrable Securities pursuant to such registration. The parties hereto agree that it would not be just and equitable if contributions pursuant to this Section 7.4 were determined solely by pro rata allocation or by any other method of allocation which did not take account of the equitable considerations referred to above. No Person guilty of fraudulent misrepresentation (within the meaning of Section 11(f) of the Securities Act) shall be entitled to contribution from any Person who is not guilty of such fraudulent misrepresentation. </w:t>
      </w:r>
    </w:p>
    <w:p>
      <w:pPr>
        <w:pStyle w:val="TextBody"/>
        <w:bidi w:val="0"/>
        <w:spacing w:lineRule="auto" w:line="288" w:before="0" w:after="240"/>
        <w:ind w:left="0" w:right="0" w:firstLine="720"/>
        <w:jc w:val="left"/>
        <w:rPr/>
      </w:pPr>
      <w:r>
        <w:rPr>
          <w:rFonts w:ascii="Times New Roman;serif" w:hAnsi="Times New Roman;serif"/>
          <w:b w:val="false"/>
          <w:color w:val="010000"/>
          <w:sz w:val="20"/>
        </w:rPr>
        <w:t>7.5    </w:t>
      </w:r>
      <w:r>
        <w:rPr>
          <w:rFonts w:ascii="Times New Roman;serif" w:hAnsi="Times New Roman;serif"/>
          <w:b w:val="false"/>
          <w:color w:val="000000"/>
          <w:sz w:val="20"/>
          <w:u w:val="single"/>
        </w:rPr>
        <w:t>Indemnification Payments; Other Remedies; Primacy of Indemnification</w:t>
      </w:r>
      <w:r>
        <w:rPr>
          <w:rFonts w:ascii="Times New Roman;serif" w:hAnsi="Times New Roman;serif"/>
          <w:b w:val="false"/>
          <w:color w:val="000000"/>
          <w:sz w:val="20"/>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10000"/>
          <w:sz w:val="20"/>
        </w:rPr>
        <w:t>(a)    </w:t>
      </w:r>
      <w:r>
        <w:rPr>
          <w:rFonts w:ascii="Times New Roman;serif" w:hAnsi="Times New Roman;serif"/>
          <w:b w:val="false"/>
          <w:color w:val="000000"/>
          <w:sz w:val="20"/>
        </w:rPr>
        <w:t xml:space="preserve">Periodic payments of amounts required to be paid pursuant to this Article VII shall be made during the course of the investigation or defense, as and when reasonably itemized bills therefor are delivered to the indemnifying party in respect of any particular Loss as incurred. </w:t>
      </w:r>
    </w:p>
    <w:p>
      <w:pPr>
        <w:pStyle w:val="TextBody"/>
        <w:bidi w:val="0"/>
        <w:spacing w:lineRule="auto" w:line="288" w:before="0" w:after="240"/>
        <w:ind w:left="0" w:right="0" w:firstLine="1440"/>
        <w:jc w:val="left"/>
        <w:rPr/>
      </w:pPr>
      <w:r>
        <w:rPr>
          <w:rFonts w:ascii="Times New Roman;serif" w:hAnsi="Times New Roman;serif"/>
          <w:b w:val="false"/>
          <w:color w:val="010000"/>
          <w:sz w:val="20"/>
        </w:rPr>
        <w:t>(b)    </w:t>
      </w:r>
      <w:r>
        <w:rPr>
          <w:rFonts w:ascii="Times New Roman;serif" w:hAnsi="Times New Roman;serif"/>
          <w:b w:val="false"/>
          <w:color w:val="000000"/>
          <w:sz w:val="20"/>
        </w:rPr>
        <w:t xml:space="preserve">The remedies provided in this Article VII are not exclusive and shall not limit any rights or remedies that may otherwise be available to an Indemnitee at law or in equity.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6" name="Frame2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10000"/>
          <w:sz w:val="20"/>
        </w:rPr>
        <w:t>(c)    </w:t>
      </w:r>
      <w:r>
        <w:rPr>
          <w:rFonts w:ascii="Times New Roman;serif" w:hAnsi="Times New Roman;serif"/>
          <w:b w:val="false"/>
          <w:color w:val="000000"/>
          <w:sz w:val="20"/>
          <w:u w:val="single"/>
        </w:rPr>
        <w:t>Primacy of Indemnification</w:t>
      </w:r>
      <w:r>
        <w:rPr>
          <w:rFonts w:ascii="Times New Roman;serif" w:hAnsi="Times New Roman;serif"/>
          <w:b w:val="false"/>
          <w:color w:val="000000"/>
          <w:sz w:val="20"/>
        </w:rPr>
        <w:t>. The Company hereby acknowledges that the Indemnified Persons may have certain rights to indemnification, advancement of expenses and/or insurance provided by the Holders (collectively, the “</w:t>
      </w:r>
      <w:r>
        <w:rPr>
          <w:rFonts w:ascii="Times New Roman;serif" w:hAnsi="Times New Roman;serif"/>
          <w:b w:val="false"/>
          <w:color w:val="000000"/>
          <w:sz w:val="20"/>
          <w:u w:val="single"/>
        </w:rPr>
        <w:t>Indemnitors</w:t>
      </w:r>
      <w:r>
        <w:rPr>
          <w:color w:val="000000"/>
        </w:rPr>
        <w:t>”</w:t>
      </w:r>
      <w:r>
        <w:rPr>
          <w:rFonts w:ascii="Times New Roman;serif" w:hAnsi="Times New Roman;serif"/>
          <w:b w:val="false"/>
          <w:color w:val="000000"/>
          <w:sz w:val="20"/>
        </w:rPr>
        <w:t xml:space="preserve">). The Company hereby agrees that (i) it is the indemnitor of first resort (i.e., its obligations to the Indemnified Persons are primary and any obligation of the Indemnitors to advance expenses or to provide indemnification for the same Losses incurred by any of the Indemnified Persons are secondary to any such obligation of the Company), (ii) that it shall be liable for the full amount of all Losses to the extent legally permitted and as required by the terms of this Agreement and the articles and other organizational documents of the Company (or any other agreement between the Company and the relevant Indemnified Person), without regard to any rights any Indemnified Person may have against the Indemnitors, and (iii) it irrevocably waives, relinquishes and releases the Indemnitors from any and all claims (x) against the Indemnitors for contribution, indemnification, subrogation or any other recovery of any kind in respect thereof and (y) that any Indemnified Person must seek indemnification from any Indemnitor before the Company must perform its indemnification obligations under this Agreement. No advancement or payment by the Indemnitors on behalf of any Indemnified Person with respect to any claim for which such Indemnified Person has sought indemnification from the Company hereunder shall affect the foregoing. The Indemnitors shall have a right of contribution and/or be subrogated to the extent of such advancement or payment to all of the rights of recovery which any Indemnified Person would have had against the Company if the Indemnitors had not advanced or paid any amount to or on behalf of such Indemnified Person. The Company and the Indemnified Persons agree that the Indemnitors are express third party beneficiaries of this Article VII.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VIII</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REGISTRATION EXPENSES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connection with any offerings pursuant to a Registration Statement hereunder, the Company shall pay (i) all registration and filing fees, (ii) all fees and expenses of compliance with state securities or “blue sky” laws (including reasonable fees and disbursements of counsel in connection with “blue sky” laws qualifications of the Registrable Securities), (iii) printing and duplicating expenses, (iv) internal expenses of the Company (including all salaries and expenses of its officers and employees performing legal or accounting duties), (v) fees and disbursements of counsel for the Company and fees and expenses of independent certified public accountants retained by the Company (including the expenses of any comfort letters or costs associated with the delivery by independent certified public accountants of a comfort letter or comfort letters or with any required special audits), (vi) the reasonable fees and expenses of any special experts retained by the Company, (vii) fees and expenses in connection with any review of underwriting arrangements by FINRA, (viii) reasonable fees and expenses of not more than one counsel for the Participating Holders (as a group);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Company’s obligation to pay such fees and expenses pursuant to this clause (viii) shall not exceed $100,000 in the aggregate in connection with any registration or Underwritten Offering, (ix) fees and expenses in connection with listing, if applicable, the Registrable Securities on a securities exchange or the Nasdaq National Market, and (x) all duplicating, distribution and delivery expenses. In connection any offerings pursuant to a Registration Statement, each Participating Holder shall pay (a) any underwriting fees, discounts or commissions attributable to the sale of Registrable Securities by such Participating Holder in connection with an Underwritten Offering; (b) any out-of-pocket expenses of such Participating Holder including any fees and expenses of brokers or counsel to such Participating Holder (other than as set forth in clause (viii) of the immediately preceding sentence); and (c) any applicable transfer taxes.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IX</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RULE 144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a view to making available to the Holders the benefits of Rule 144 and any other similar rule or regulation of the Commission that may at any time permit a Holder to sell Registrable Securities of the Company to the public without registration or pursuant to a registration on Form F-3, the Company covenants that, from and after the time that and for so long as it is subject to Section 13 or 15(d) of the Exchange Act thereafter, it shall use its reasonable efforts to file in a timely manner all reports required to be filed by it under the Exchange Act, and that it shall comply with the requirements of Rule 144(c), as such Rule may be amended from time to time (or any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7"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rule or regulation hereafter adopted by the Commission), regarding the availability of current public information to the extent required to enable any Holder to sell Registrable Securities without registration under the Securities Act pursuant to the resale provisions of Rule 144 (or any similar rule or regulation). Upon the request of any Holder in connection with any sale of Registrable Securities pursuant to Rule 144 or if such Registrable Securities are eligible for sale and about to be sold under Rule 144, the Company shall promptly deliver to such Holder a written statement as to whether it has complied with such requirements and, upon such Holder’s compliance with the applicable provisions of Rule 144 and its delivery of such documents and certificates as the Company’s transfer agent may reasonably request in connection therewith, shall take such reasonable action as may be required (including using its reasonable efforts to cause legal counsel to issue an appropriate opinion) to cause its transfer agent to effectuate any transfer of Registrable Securities properly requested by such Holder, in accordance with the terms and conditions of Rule 144.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X</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88" w:before="0" w:after="240"/>
        <w:ind w:left="0" w:right="0" w:firstLine="720"/>
        <w:jc w:val="left"/>
        <w:rPr/>
      </w:pPr>
      <w:r>
        <w:rPr>
          <w:rFonts w:ascii="Times New Roman;serif" w:hAnsi="Times New Roman;serif"/>
          <w:b w:val="false"/>
          <w:color w:val="010000"/>
          <w:sz w:val="20"/>
        </w:rPr>
        <w:t>10.1    </w:t>
      </w:r>
      <w:r>
        <w:rPr>
          <w:rFonts w:ascii="Times New Roman;serif" w:hAnsi="Times New Roman;serif"/>
          <w:b w:val="false"/>
          <w:color w:val="000000"/>
          <w:sz w:val="20"/>
          <w:u w:val="single"/>
        </w:rPr>
        <w:t>Notice Generally</w:t>
      </w:r>
      <w:r>
        <w:rPr>
          <w:rFonts w:ascii="Times New Roman;serif" w:hAnsi="Times New Roman;serif"/>
          <w:b w:val="false"/>
          <w:color w:val="000000"/>
          <w:sz w:val="20"/>
        </w:rPr>
        <w:t xml:space="preserve">. Any notice, demand, request, consent, approval, declaration, delivery or other communication hereunder to be made pursuant to the provisions of this Agreement shall be deemed sufficiently given or made if in writing and signed by the party making the same, and either delivered in person with receipt acknowledged or sent by registered or certified mail, return receipt requested, postage prepaid, or by telecopy and confirmed by telecopy answerback, addressed as follows: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to any Holder or the MS Representative, 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Melker Schörling AB</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Birger Jarlsgatan 13, SE-111 45</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Stockholm, Sweden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Attention: Måns Dahlin</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Email: [***]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copies to:</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White &amp; Case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1221 Avenue of the Americas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 10020</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Attention: Johan Thiman; Nima Naderi; Maia Gez</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and if to the Company, to: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Octave Intelligence plc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305 Intergraph Way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Madison, Alabama, 35758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Chief Legal Officer</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copies to: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Sullivan &amp; Cromwell LLP</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125 Broad Street</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 10004</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Attn: Alan Fishman; Evan Simpson </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E-mail: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or at such other address as may be substituted by notice given as herein provided. The giving of any notice required hereunder may be waived in writing by the party entitled to receive such notice. Any notices, consents, waivers or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38"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other communications required or permitted to be given under the terms of this Agreement must be in writing and will be deemed to have been delivered pursuant to the notice provisions of this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 Each Holder as of the date hereof acknowledges and agrees that, as of the date hereof, it holds the number of Registrable Securities set forth next to its name on </w:t>
      </w:r>
      <w:r>
        <w:rPr>
          <w:rFonts w:ascii="Times New Roman;serif" w:hAnsi="Times New Roman;serif"/>
          <w:b w:val="false"/>
          <w:color w:val="000000"/>
          <w:sz w:val="20"/>
          <w:u w:val="single"/>
        </w:rPr>
        <w:t>Schedule I</w:t>
      </w:r>
      <w:r>
        <w:rPr>
          <w:color w:val="000000"/>
        </w:rPr>
        <w:t xml:space="preserve"> </w:t>
      </w:r>
      <w:r>
        <w:rPr>
          <w:rFonts w:ascii="Times New Roman;serif" w:hAnsi="Times New Roman;serif"/>
          <w:b w:val="false"/>
          <w:color w:val="000000"/>
          <w:sz w:val="20"/>
        </w:rPr>
        <w:t xml:space="preserve">attached hereto. Any Person that becomes a Permitted Assignee in accordance with the terms of this Agreement shall provide written notice to the Company setting forth its address and the number of Registrable Securities held by such Person and agreeing to be bound by the terms hereof, and upon receipt of such notice the Company shall amend </w:t>
      </w:r>
      <w:r>
        <w:rPr>
          <w:rFonts w:ascii="Times New Roman;serif" w:hAnsi="Times New Roman;serif"/>
          <w:b w:val="false"/>
          <w:color w:val="000000"/>
          <w:sz w:val="20"/>
          <w:u w:val="single"/>
        </w:rPr>
        <w:t>Schedule I</w:t>
      </w:r>
      <w:r>
        <w:rPr>
          <w:color w:val="000000"/>
        </w:rPr>
        <w:t xml:space="preserve"> </w:t>
      </w:r>
      <w:r>
        <w:rPr>
          <w:rFonts w:ascii="Times New Roman;serif" w:hAnsi="Times New Roman;serif"/>
          <w:b w:val="false"/>
          <w:color w:val="000000"/>
          <w:sz w:val="20"/>
        </w:rPr>
        <w:t xml:space="preserve">attached hereto to reflect such Permitted Assignee, its address and the number of Registrable Securities held thereby without any further action or consent required from the parties to this Agreement. Solely for purposes of this Agreement, in determining the number of Registrable Securities outstanding at any time and the Holders thereof, the Company shall be entitled to rely conclusively on </w:t>
      </w:r>
      <w:r>
        <w:rPr>
          <w:rFonts w:ascii="Times New Roman;serif" w:hAnsi="Times New Roman;serif"/>
          <w:b w:val="false"/>
          <w:color w:val="000000"/>
          <w:sz w:val="20"/>
          <w:u w:val="single"/>
        </w:rPr>
        <w:t>Schedule I</w:t>
      </w:r>
      <w:r>
        <w:rPr>
          <w:color w:val="000000"/>
        </w:rPr>
        <w:t xml:space="preserve"> </w:t>
      </w:r>
      <w:r>
        <w:rPr>
          <w:rFonts w:ascii="Times New Roman;serif" w:hAnsi="Times New Roman;serif"/>
          <w:b w:val="false"/>
          <w:color w:val="000000"/>
          <w:sz w:val="20"/>
        </w:rPr>
        <w:t xml:space="preserve">attached hereto (as so amended in accordance with the terms of this Agreement to reflect all such written notices received by the Company from time to time).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10.2    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This Agreement may not be assigned by any Holder other than to a Permitted Assignee;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 the transfer or conveyance of the Registrable Securities and the assignment of this Agreement to the Permitted Assignee are effected in accordance with applicable securities laws and, if applicable, the Company’s organizational documents then in effect; (ii) such Permitted Assignee agrees in writing to become subject to the terms of this Agreement by executing and delivering to the Company a joinder to this Agreement in form and substance reasonably satisfactory to the Company; and (iii) the transferor provides written notice to the Company not less than fifteen (15) Business Days prior to such transfer or conveyance and assignment, stating the name and address of the transferee, identifying the Registrable Securities with respect to which such rights are being transferred or conveyed and assigned and the total number of Registrable Securities and other Ordinary Shares beneficially owned by such transferee following such transfer. Any rights under this Agreement assigned to a Permitted Assignee pursuant to this Section 10.2 shall apply only with respect to the Registrable Securities so transferred or conveyed and assigned, and not with respect to any other securities that such transferee may hold.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10.3    </w:t>
      </w:r>
      <w:r>
        <w:rPr>
          <w:rFonts w:ascii="Times New Roman;serif" w:hAnsi="Times New Roman;serif"/>
          <w:b w:val="false"/>
          <w:color w:val="000000"/>
          <w:sz w:val="20"/>
          <w:u w:val="single"/>
        </w:rPr>
        <w:t>Amendments; Waivers</w:t>
      </w:r>
      <w:r>
        <w:rPr>
          <w:rFonts w:ascii="Times New Roman;serif" w:hAnsi="Times New Roman;serif"/>
          <w:b w:val="false"/>
          <w:color w:val="000000"/>
          <w:sz w:val="20"/>
        </w:rPr>
        <w:t xml:space="preserve">. Subject to Section 10.4, (a) any provision of this Agreement affecting a party may be amended or modified only by a written agreement signed by each such affected party and (b) no provision of this Agreement affecting a party may be waived except pursuant to a writing signed by each such affected party.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10.4    </w:t>
      </w:r>
      <w:r>
        <w:rPr>
          <w:rFonts w:ascii="Times New Roman;serif" w:hAnsi="Times New Roman;serif"/>
          <w:b w:val="false"/>
          <w:color w:val="000000"/>
          <w:sz w:val="20"/>
          <w:u w:val="single"/>
        </w:rPr>
        <w:t>MS Representative</w:t>
      </w:r>
      <w:r>
        <w:rPr>
          <w:rFonts w:ascii="Times New Roman;serif" w:hAnsi="Times New Roman;serif"/>
          <w:b w:val="false"/>
          <w:color w:val="000000"/>
          <w:sz w:val="20"/>
        </w:rPr>
        <w:t xml:space="preserve">. The Company shall be entitled to rely upon the written communications of the MS Representative, acting on behalf of any Holder, relating to matters addressed in this Agreement as communications of the Holders, including, without limitation, elections by Holders to exercise registration rights and any amendments, waivers or consents made pursuant to this Agreement. Any notice or communication delivered to the MS Representative shall be deemed to have been delivered to each Holder for all purposes hereof. Each of the Holders shall use their reasonable efforts to conduct all written communications to the Company pursuant to this Agreement through the MS Representative.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10.5    </w:t>
      </w:r>
      <w:r>
        <w:rPr>
          <w:rFonts w:ascii="Times New Roman;serif" w:hAnsi="Times New Roman;serif"/>
          <w:b w:val="false"/>
          <w:color w:val="000000"/>
          <w:sz w:val="20"/>
          <w:u w:val="single"/>
        </w:rPr>
        <w:t>Calculations of Beneficial Ownership</w:t>
      </w:r>
      <w:r>
        <w:rPr>
          <w:rFonts w:ascii="Times New Roman;serif" w:hAnsi="Times New Roman;serif"/>
          <w:b w:val="false"/>
          <w:color w:val="000000"/>
          <w:sz w:val="20"/>
        </w:rPr>
        <w:t xml:space="preserve">. All calculations of beneficial ownership for purposes of this Agreement shall be calculated in accordance with Rule 13(d) of the Exchange Act, as amended from time to time.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10.6    </w:t>
      </w:r>
      <w:r>
        <w:rPr>
          <w:rFonts w:ascii="Times New Roman;serif" w:hAnsi="Times New Roman;serif"/>
          <w:b w:val="false"/>
          <w:color w:val="000000"/>
          <w:sz w:val="20"/>
          <w:u w:val="single"/>
        </w:rPr>
        <w:t>Financial Assistance.</w:t>
      </w:r>
      <w:r>
        <w:rPr>
          <w:color w:val="000000"/>
        </w:rPr>
        <w:t xml:space="preserve"> </w:t>
      </w:r>
      <w:r>
        <w:rPr>
          <w:rFonts w:ascii="Times New Roman;serif" w:hAnsi="Times New Roman;serif"/>
          <w:b w:val="false"/>
          <w:color w:val="000000"/>
          <w:sz w:val="20"/>
        </w:rPr>
        <w:t>Nothing in this Agreement shall require the Company to contravene the Irish Companies Act of 2014, in particular and without limitation, Section 82 thereunder.</w:t>
      </w:r>
    </w:p>
    <w:p>
      <w:pPr>
        <w:pStyle w:val="TextBody"/>
        <w:bidi w:val="0"/>
        <w:spacing w:lineRule="auto" w:line="288"/>
        <w:ind w:left="0" w:right="0" w:firstLine="720"/>
        <w:jc w:val="left"/>
        <w:rPr/>
      </w:pPr>
      <w:r>
        <w:rPr>
          <w:rFonts w:ascii="Times New Roman;serif" w:hAnsi="Times New Roman;serif"/>
          <w:b w:val="false"/>
          <w:color w:val="010000"/>
          <w:sz w:val="20"/>
        </w:rPr>
        <w:t>10.7    </w:t>
      </w:r>
      <w:r>
        <w:rPr>
          <w:rFonts w:ascii="Times New Roman;serif" w:hAnsi="Times New Roman;serif"/>
          <w:b w:val="false"/>
          <w:color w:val="000000"/>
          <w:sz w:val="20"/>
          <w:u w:val="single"/>
        </w:rPr>
        <w:t>No Third Party Beneficiaries</w:t>
      </w:r>
      <w:r>
        <w:rPr>
          <w:rFonts w:ascii="Times New Roman;serif" w:hAnsi="Times New Roman;serif"/>
          <w:b w:val="false"/>
          <w:color w:val="000000"/>
          <w:sz w:val="20"/>
        </w:rPr>
        <w:t xml:space="preserve">. This Agreement is not intended to and shall not confer any rights or remedies on any persons that are not party hereto other than as expressly set forth in Article VII and Section 10.4.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39"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10000"/>
          <w:sz w:val="20"/>
        </w:rPr>
        <w:t>10.8    </w:t>
      </w:r>
      <w:r>
        <w:rPr>
          <w:rFonts w:ascii="Times New Roman;serif" w:hAnsi="Times New Roman;serif"/>
          <w:b w:val="false"/>
          <w:color w:val="000000"/>
          <w:sz w:val="20"/>
          <w:u w:val="single"/>
        </w:rPr>
        <w:t>Injunctive Relief</w:t>
      </w:r>
      <w:r>
        <w:rPr>
          <w:rFonts w:ascii="Times New Roman;serif" w:hAnsi="Times New Roman;serif"/>
          <w:b w:val="false"/>
          <w:color w:val="000000"/>
          <w:sz w:val="20"/>
        </w:rPr>
        <w:t xml:space="preserve">.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10.9    </w:t>
      </w:r>
      <w:r>
        <w:rPr>
          <w:rFonts w:ascii="Times New Roman;serif" w:hAnsi="Times New Roman;serif"/>
          <w:b w:val="false"/>
          <w:color w:val="000000"/>
          <w:sz w:val="20"/>
          <w:u w:val="single"/>
        </w:rPr>
        <w:t>Termination of Registration Rights; Survival</w:t>
      </w:r>
      <w:r>
        <w:rPr>
          <w:rFonts w:ascii="Times New Roman;serif" w:hAnsi="Times New Roman;serif"/>
          <w:b w:val="false"/>
          <w:color w:val="000000"/>
          <w:sz w:val="20"/>
        </w:rPr>
        <w:t xml:space="preserve">. This Agreement shall automatically terminate at such time as there are no Registrable Securities, except the provisions of Articles VII, VIII and X shall survive any termination of this Agreement. In the event of any termination of this Agreement pursuant to this Section 10.8, this Agreement shall forthwith become wholly void and of no further force or effect (except for the provisions of Articles VII, VIII and X, which shall survive) and there shall be no liability on the part of any parties hereto or their respective Affiliates, except as provided in this Article X. Notwithstanding the foregoing, no party hereto shall be relieved from liability for any willful breach of this Agreement.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10.10    </w:t>
      </w:r>
      <w:r>
        <w:rPr>
          <w:rFonts w:ascii="Times New Roman;serif" w:hAnsi="Times New Roman;serif"/>
          <w:b w:val="false"/>
          <w:color w:val="000000"/>
          <w:sz w:val="20"/>
          <w:u w:val="single"/>
        </w:rPr>
        <w:t>Attorneys’ Fees</w:t>
      </w:r>
      <w:r>
        <w:rPr>
          <w:rFonts w:ascii="Times New Roman;serif" w:hAnsi="Times New Roman;serif"/>
          <w:b w:val="false"/>
          <w:color w:val="000000"/>
          <w:sz w:val="20"/>
        </w:rPr>
        <w:t xml:space="preserve">. In any action or proceeding brought to enforce any provision of this Agreement or where any provision hereof is validly asserted as a defense, the successful party shall, to the extent permitted by applicable law, be entitled to recover reasonable attorneys’ fees in addition to any other available remedy.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10.11    </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10.12    </w:t>
      </w:r>
      <w:r>
        <w:rPr>
          <w:rFonts w:ascii="Times New Roman;serif" w:hAnsi="Times New Roman;serif"/>
          <w:b w:val="false"/>
          <w:color w:val="000000"/>
          <w:sz w:val="20"/>
          <w:u w:val="single"/>
        </w:rPr>
        <w:t>Headings</w:t>
      </w:r>
      <w:r>
        <w:rPr>
          <w:rFonts w:ascii="Times New Roman;serif" w:hAnsi="Times New Roman;serif"/>
          <w:b w:val="false"/>
          <w:color w:val="000000"/>
          <w:sz w:val="20"/>
        </w:rPr>
        <w:t xml:space="preserve">. The headings used in this Agreement are for the convenience of reference only and shall not, for any purpose, be deemed a part of this Agreement.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10.13    </w:t>
      </w:r>
      <w:r>
        <w:rPr>
          <w:rFonts w:ascii="Times New Roman;serif" w:hAnsi="Times New Roman;serif"/>
          <w:b w:val="false"/>
          <w:color w:val="000000"/>
          <w:sz w:val="20"/>
          <w:u w:val="single"/>
        </w:rPr>
        <w:t>Governing Law; Jurisdiction</w:t>
      </w:r>
      <w:r>
        <w:rPr>
          <w:rFonts w:ascii="Times New Roman;serif" w:hAnsi="Times New Roman;serif"/>
          <w:b w:val="false"/>
          <w:color w:val="000000"/>
          <w:sz w:val="20"/>
        </w:rPr>
        <w:t xml:space="preserve">. THIS AGREEMENT SHALL BE GOVERNED EXCLUSIVELY BY, CONSTRUED AND ENFORCED IN ACCORDANCE WITH, THE LAWS OF THE STATE OF NEW YORK. Each party to this Agreement hereby irrevocably agrees that any legal action or proceeding arising out of or relating to this Agreement or any agreements or transactions contemplated hereby may be brought in the courts of the State of New York or of the United States of America for the Southern District of New York and hereby expressly submits to the personal jurisdiction and venue of such courts for the purposes thereof and expressly waives any claim of improper venue and any claim that such courts are an inconvenient forum. Each party hereby irrevocably consents to the service of process of any of the aforementioned courts in any such suit, action or proceeding by the mailing of copies thereof by registered or certified mail, postage prepaid, to the address set forth in Section 10.1 hereof, such service to become effective ten (10) days after such mailing.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10.14    </w:t>
      </w:r>
      <w:r>
        <w:rPr>
          <w:rFonts w:ascii="Times New Roman;serif" w:hAnsi="Times New Roman;serif"/>
          <w:b w:val="false"/>
          <w:color w:val="000000"/>
          <w:sz w:val="20"/>
          <w:u w:val="single"/>
        </w:rPr>
        <w:t>Counterparts and Facsimile Execution</w:t>
      </w:r>
      <w:r>
        <w:rPr>
          <w:rFonts w:ascii="Times New Roman;serif" w:hAnsi="Times New Roman;serif"/>
          <w:b w:val="false"/>
          <w:color w:val="000000"/>
          <w:sz w:val="20"/>
        </w:rPr>
        <w:t xml:space="preserve">. This Agreement may be executed in any number of counterparts and each of such counterparts shall for all purposes be deemed to be an original, and all such counterparts shall together constitute one and the same instrument. This Agreement may be executed by facsimile signatures.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10.15    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This Agreement (i) embodies the entire agreement and understanding between the Company and the Holders in respect of the subject matter contained herein and (ii) supersedes all prior agreements and understandings between the parties with respect to the subject matter of this Agreement. </w:t>
      </w:r>
    </w:p>
    <w:p>
      <w:pPr>
        <w:pStyle w:val="TextBody"/>
        <w:bidi w:val="0"/>
        <w:spacing w:lineRule="auto" w:line="288" w:before="0" w:after="240"/>
        <w:ind w:left="0" w:right="0" w:firstLine="720"/>
        <w:jc w:val="left"/>
        <w:rPr/>
      </w:pPr>
      <w:r>
        <w:rPr>
          <w:rFonts w:ascii="Times New Roman;serif" w:hAnsi="Times New Roman;serif"/>
          <w:b w:val="false"/>
          <w:color w:val="010000"/>
          <w:sz w:val="20"/>
        </w:rPr>
        <w:t>10.16    </w:t>
      </w:r>
      <w:r>
        <w:rPr>
          <w:rFonts w:ascii="Times New Roman;serif" w:hAnsi="Times New Roman;serif"/>
          <w:b w:val="false"/>
          <w:color w:val="000000"/>
          <w:sz w:val="20"/>
          <w:u w:val="single"/>
        </w:rPr>
        <w:t>Further Assurances</w:t>
      </w:r>
      <w:r>
        <w:rPr>
          <w:rFonts w:ascii="Times New Roman;serif" w:hAnsi="Times New Roman;serif"/>
          <w:b w:val="false"/>
          <w:color w:val="000000"/>
          <w:sz w:val="20"/>
        </w:rPr>
        <w:t xml:space="preserve">. Each of the parties hereto shall execute such documents and perform such further acts as may be reasonably required or desirable to carry out or to perform the provisions of this Agreement.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0"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Agreement to be duly executed and delivered as of the date first above written.</w:t>
      </w:r>
    </w:p>
    <w:tbl>
      <w:tblPr>
        <w:tblW w:w="3355" w:type="dxa"/>
        <w:jc w:val="left"/>
        <w:tblInd w:w="0" w:type="dxa"/>
        <w:tblLayout w:type="fixed"/>
        <w:tblCellMar>
          <w:top w:w="28" w:type="dxa"/>
          <w:left w:w="28" w:type="dxa"/>
          <w:bottom w:w="28" w:type="dxa"/>
          <w:right w:w="28" w:type="dxa"/>
        </w:tblCellMar>
      </w:tblPr>
      <w:tblGrid>
        <w:gridCol w:w="553"/>
        <w:gridCol w:w="485"/>
        <w:gridCol w:w="485"/>
        <w:gridCol w:w="485"/>
        <w:gridCol w:w="485"/>
        <w:gridCol w:w="490"/>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OCTAVE INTELLIGENCE PLC.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4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91" w:type="dxa"/>
        <w:jc w:val="left"/>
        <w:tblInd w:w="0" w:type="dxa"/>
        <w:tblLayout w:type="fixed"/>
        <w:tblCellMar>
          <w:top w:w="28" w:type="dxa"/>
          <w:left w:w="28" w:type="dxa"/>
          <w:bottom w:w="28" w:type="dxa"/>
          <w:right w:w="28" w:type="dxa"/>
        </w:tblCellMar>
      </w:tblPr>
      <w:tblGrid>
        <w:gridCol w:w="466"/>
        <w:gridCol w:w="410"/>
        <w:gridCol w:w="410"/>
        <w:gridCol w:w="410"/>
        <w:gridCol w:w="410"/>
        <w:gridCol w:w="413"/>
        <w:gridCol w:w="109"/>
        <w:gridCol w:w="109"/>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MELKER SCHÖRLING AB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1"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SCHEDULE I</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Distribution Class A Shares (convertible into Distribution Class B Shares): 11,025,000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Distribution Class B Shares: 47,408,144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u w:val="single"/>
        </w:rPr>
        <w:t>FORM OF EXECUTIVE EMPLOYMENT AGREEMENT</w:t>
      </w:r>
      <w:r>
        <w:rPr>
          <w:rFonts w:ascii="Times New Roman;serif" w:hAnsi="Times New Roman;serif"/>
          <w:b w:val="false"/>
          <w:color w:val="000000"/>
          <w:sz w:val="16"/>
          <w:u w:val="single"/>
        </w:rPr>
        <w:t>1</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EXECUTIVE EMPLOYMENT AGREEMENT</w:t>
      </w:r>
      <w:r>
        <w:rPr>
          <w:color w:val="000000"/>
        </w:rPr>
        <w:t xml:space="preserve"> </w:t>
      </w:r>
      <w:r>
        <w:rPr>
          <w:rFonts w:ascii="Times New Roman;serif" w:hAnsi="Times New Roman;serif"/>
          <w:b w:val="false"/>
          <w:color w:val="000000"/>
          <w:sz w:val="24"/>
        </w:rPr>
        <w:t>(this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as of [</w:t>
      </w:r>
      <w:r>
        <w:rPr>
          <w:color w:val="000000"/>
        </w:rPr>
        <w:t>•</w:t>
      </w:r>
      <w:r>
        <w:rPr>
          <w:rFonts w:ascii="Times New Roman;serif" w:hAnsi="Times New Roman;serif"/>
          <w:b w:val="false"/>
          <w:color w:val="000000"/>
          <w:sz w:val="24"/>
        </w:rPr>
        <w:t>], by and between</w:t>
      </w:r>
      <w:r>
        <w:rPr>
          <w:color w:val="000000"/>
        </w:rPr>
        <w:t xml:space="preserve"> </w:t>
      </w:r>
      <w:r>
        <w:rPr>
          <w:rFonts w:ascii="Times New Roman;serif" w:hAnsi="Times New Roman;serif"/>
          <w:b/>
          <w:color w:val="000000"/>
          <w:sz w:val="24"/>
        </w:rPr>
        <w:t>[•]</w:t>
      </w:r>
      <w:r>
        <w:rPr>
          <w:rFonts w:ascii="Times New Roman;serif" w:hAnsi="Times New Roman;serif"/>
          <w:b w:val="false"/>
          <w:color w:val="000000"/>
          <w:sz w:val="24"/>
        </w:rPr>
        <w:t>, an individual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INTERGRAPH CORPORATION D/B/A OCTAVE</w:t>
      </w:r>
      <w:r>
        <w:rPr>
          <w:rFonts w:ascii="Times New Roman;serif" w:hAnsi="Times New Roman;serif"/>
          <w:b w:val="false"/>
          <w:color w:val="000000"/>
          <w:sz w:val="24"/>
        </w:rPr>
        <w:t>,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Hexagon AB, a public Swedish company (“</w:t>
      </w:r>
      <w:r>
        <w:rPr>
          <w:rFonts w:ascii="Times New Roman;serif" w:hAnsi="Times New Roman;serif"/>
          <w:b/>
          <w:i/>
          <w:color w:val="000000"/>
          <w:sz w:val="24"/>
        </w:rPr>
        <w:t>Hexagon</w:t>
      </w:r>
      <w:r>
        <w:rPr>
          <w:color w:val="000000"/>
        </w:rPr>
        <w:t>”</w:t>
      </w:r>
      <w:r>
        <w:rPr>
          <w:rFonts w:ascii="Times New Roman;serif" w:hAnsi="Times New Roman;serif"/>
          <w:b w:val="false"/>
          <w:color w:val="000000"/>
          <w:sz w:val="24"/>
        </w:rPr>
        <w:t>), intends to spin-off its Asset Lifecycle Intelligence, Safety, Infrastructure &amp; Geospatial divisions, along with its “ETQ”, “Projectmates”, and “Bricsys” business units and publicly list such collective business (such transaction being, the “</w:t>
      </w:r>
      <w:r>
        <w:rPr>
          <w:rFonts w:ascii="Times New Roman;serif" w:hAnsi="Times New Roman;serif"/>
          <w:b/>
          <w:i/>
          <w:color w:val="000000"/>
          <w:sz w:val="24"/>
        </w:rPr>
        <w:t>Spin-off</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new collective business resulting from the Spin-off (“</w:t>
      </w:r>
      <w:r>
        <w:rPr>
          <w:rFonts w:ascii="Times New Roman;serif" w:hAnsi="Times New Roman;serif"/>
          <w:b/>
          <w:i/>
          <w:color w:val="000000"/>
          <w:sz w:val="24"/>
        </w:rPr>
        <w:t>Octave</w:t>
      </w:r>
      <w:r>
        <w:rPr>
          <w:color w:val="000000"/>
        </w:rPr>
        <w:t>”</w:t>
      </w:r>
      <w:r>
        <w:rPr>
          <w:rFonts w:ascii="Times New Roman;serif" w:hAnsi="Times New Roman;serif"/>
          <w:b w:val="false"/>
          <w:color w:val="000000"/>
          <w:sz w:val="24"/>
        </w:rPr>
        <w:t>) will operate as Octave</w:t>
      </w:r>
      <w:r>
        <w:rPr>
          <w:rFonts w:ascii="Times New Roman;serif" w:hAnsi="Times New Roman;serif"/>
          <w:b/>
          <w:color w:val="000000"/>
          <w:sz w:val="16"/>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is currently a subsidiary of Hexagon and will form part of the Spin-off, such that the Company will be a part of the group of companies (the “</w:t>
      </w:r>
      <w:r>
        <w:rPr>
          <w:rFonts w:ascii="Times New Roman;serif" w:hAnsi="Times New Roman;serif"/>
          <w:b/>
          <w:i/>
          <w:color w:val="000000"/>
          <w:sz w:val="24"/>
        </w:rPr>
        <w:t>Octave Group</w:t>
      </w:r>
      <w:r>
        <w:rPr>
          <w:color w:val="000000"/>
        </w:rPr>
        <w:t>”</w:t>
      </w:r>
      <w:r>
        <w:rPr>
          <w:rFonts w:ascii="Times New Roman;serif" w:hAnsi="Times New Roman;serif"/>
          <w:b w:val="false"/>
          <w:color w:val="000000"/>
          <w:sz w:val="24"/>
        </w:rPr>
        <w:t>) ultimately owned by Octave Intelligence plc, an Irish public limited company (“</w:t>
      </w:r>
      <w:r>
        <w:rPr>
          <w:rFonts w:ascii="Times New Roman;serif" w:hAnsi="Times New Roman;serif"/>
          <w:b/>
          <w:i/>
          <w:color w:val="000000"/>
          <w:sz w:val="24"/>
        </w:rPr>
        <w:t>Octave TopCo</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TopCo</w:t>
      </w:r>
      <w:r>
        <w:rPr>
          <w:color w:val="000000"/>
        </w:rPr>
        <w:t>”</w:t>
      </w:r>
      <w:r>
        <w:rPr>
          <w:rFonts w:ascii="Times New Roman;serif" w:hAnsi="Times New Roman;serif"/>
          <w:b w:val="false"/>
          <w:color w:val="000000"/>
          <w:sz w:val="24"/>
        </w:rPr>
        <w:t>), and in connection with the Spin-off, Hexagon will distribute all of the issued and outstanding shares of TopCo to its shareholders, resulting in TopCo becoming a publicly-listed company;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subject to and contingent upon the consummation of the Spin-off, Executive and the Company desire to memorialize herein the mutual terms and conditions of Executive’s employment with Octave.</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of the covenants and agreements contained herein, the parties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color w:val="000000"/>
        </w:rPr>
        <w:t>    </w:t>
      </w:r>
      <w:r>
        <w:rPr>
          <w:rFonts w:ascii="Times New Roman;serif" w:hAnsi="Times New Roman;serif"/>
          <w:b/>
          <w:color w:val="000000"/>
          <w:sz w:val="24"/>
          <w:u w:val="single"/>
        </w:rPr>
        <w:t>EMPLOYMENT</w:t>
      </w:r>
      <w:r>
        <w:rPr>
          <w:rFonts w:ascii="Times New Roman;serif" w:hAnsi="Times New Roman;serif"/>
          <w:b w:val="false"/>
          <w:color w:val="000000"/>
          <w:sz w:val="24"/>
        </w:rPr>
        <w:t>. As of the date of consummation of the Spin-off (the “</w:t>
      </w:r>
      <w:r>
        <w:rPr>
          <w:rFonts w:ascii="Times New Roman;serif" w:hAnsi="Times New Roman;serif"/>
          <w:b/>
          <w:i/>
          <w:color w:val="000000"/>
          <w:sz w:val="24"/>
        </w:rPr>
        <w:t>Start Date</w:t>
      </w:r>
      <w:r>
        <w:rPr>
          <w:color w:val="000000"/>
        </w:rPr>
        <w:t>”</w:t>
      </w:r>
      <w:r>
        <w:rPr>
          <w:rFonts w:ascii="Times New Roman;serif" w:hAnsi="Times New Roman;serif"/>
          <w:b w:val="false"/>
          <w:color w:val="000000"/>
          <w:sz w:val="24"/>
        </w:rPr>
        <w:t>), Executive will serve, and the Company will employ Executive as [•] reporting to the Chief Executive Officer of the Octave TopCo (the “</w:t>
      </w:r>
      <w:r>
        <w:rPr>
          <w:rFonts w:ascii="Times New Roman;serif" w:hAnsi="Times New Roman;serif"/>
          <w:b/>
          <w:i/>
          <w:color w:val="000000"/>
          <w:sz w:val="24"/>
        </w:rPr>
        <w:t>CEO</w:t>
      </w:r>
      <w:r>
        <w:rPr>
          <w:color w:val="000000"/>
        </w:rPr>
        <w:t>”</w:t>
      </w:r>
      <w:r>
        <w:rPr>
          <w:rFonts w:ascii="Times New Roman;serif" w:hAnsi="Times New Roman;serif"/>
          <w:b w:val="false"/>
          <w:color w:val="000000"/>
          <w:sz w:val="24"/>
        </w:rPr>
        <w:t>). Executive will perform such duties normally associated with such position and such other duties as the CEO may, from time to time, reasonably assign to Executive. Executive agrees that Executive will serve the Company diligently and to the best of Executive’s ability, that Executive will devote all of Executive’s business time, energy and skills to the business and affairs of the Company. Without the consent of the CEO, Executive will not serve on the board of directors, trustees or any similar governing body of any outside entity. Executive will be based [out of the Company’s offices located in Madison, Alabama][●] (the “</w:t>
      </w:r>
      <w:r>
        <w:rPr>
          <w:rFonts w:ascii="Times New Roman;serif" w:hAnsi="Times New Roman;serif"/>
          <w:b/>
          <w:i/>
          <w:color w:val="000000"/>
          <w:sz w:val="24"/>
        </w:rPr>
        <w:t>Primary Work Location</w:t>
      </w:r>
      <w:r>
        <w:rPr>
          <w:color w:val="000000"/>
        </w:rPr>
        <w:t>”</w:t>
      </w:r>
      <w:r>
        <w:rPr>
          <w:rFonts w:ascii="Times New Roman;serif" w:hAnsi="Times New Roman;serif"/>
          <w:b w:val="false"/>
          <w:color w:val="000000"/>
          <w:sz w:val="24"/>
        </w:rPr>
        <w:t>), but Executive[ may also work remotely and] will be expected to travel from time-to-time. Executive agrees to abide by all policies of the Octave Group, including, without limitation, the Corporate Governance Guidelines, Code of Business Conduct and Ethics, Insider Trading Policy, and Employee Handbook.</w:t>
      </w:r>
    </w:p>
    <w:p>
      <w:pPr>
        <w:pStyle w:val="TextBody"/>
        <w:bidi w:val="0"/>
        <w:spacing w:lineRule="auto" w:line="288"/>
        <w:jc w:val="left"/>
        <w:rPr/>
      </w:pPr>
      <w:r>
        <w:rPr>
          <w:rFonts w:ascii="Arial;sans-serif" w:hAnsi="Arial;sans-serif"/>
          <w:b w:val="false"/>
          <w:color w:val="000000"/>
          <w:sz w:val="13"/>
        </w:rPr>
        <w:t>1</w:t>
      </w:r>
      <w:r>
        <w:rPr>
          <w:color w:val="000000"/>
        </w:rPr>
        <w:t xml:space="preserve"> </w:t>
      </w:r>
      <w:r>
        <w:rPr>
          <w:rFonts w:ascii="Times New Roman;serif" w:hAnsi="Times New Roman;serif"/>
          <w:b w:val="false"/>
          <w:color w:val="000000"/>
          <w:sz w:val="20"/>
        </w:rPr>
        <w:t>Agreement to be revised as appropriate to reflect local law considerations.</w:t>
      </w: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color w:val="000000"/>
        </w:rPr>
        <w:t>    </w:t>
      </w:r>
      <w:r>
        <w:rPr>
          <w:rFonts w:ascii="Times New Roman;serif" w:hAnsi="Times New Roman;serif"/>
          <w:b/>
          <w:color w:val="000000"/>
          <w:sz w:val="24"/>
          <w:u w:val="single"/>
        </w:rPr>
        <w:t>COMPENSATION</w:t>
      </w:r>
      <w:r>
        <w:rPr>
          <w:rFonts w:ascii="Times New Roman;serif" w:hAnsi="Times New Roman;serif"/>
          <w:b w:val="false"/>
          <w:color w:val="000000"/>
          <w:sz w:val="24"/>
        </w:rPr>
        <w:t xml:space="preserve">. As compensation for services provided and duties performed, Executive will receive the following: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Base Salary</w:t>
      </w:r>
      <w:r>
        <w:rPr>
          <w:rFonts w:ascii="Times New Roman;serif" w:hAnsi="Times New Roman;serif"/>
          <w:b w:val="false"/>
          <w:color w:val="000000"/>
          <w:sz w:val="24"/>
        </w:rPr>
        <w:t>. Executive will receive an annual base salary of $[•] (“</w:t>
      </w:r>
      <w:r>
        <w:rPr>
          <w:rFonts w:ascii="Times New Roman;serif" w:hAnsi="Times New Roman;serif"/>
          <w:b/>
          <w:i/>
          <w:color w:val="000000"/>
          <w:sz w:val="24"/>
        </w:rPr>
        <w:t>Base Salary</w:t>
      </w:r>
      <w:r>
        <w:rPr>
          <w:color w:val="000000"/>
        </w:rPr>
        <w:t>”</w:t>
      </w:r>
      <w:r>
        <w:rPr>
          <w:rFonts w:ascii="Times New Roman;serif" w:hAnsi="Times New Roman;serif"/>
          <w:b w:val="false"/>
          <w:color w:val="000000"/>
          <w:sz w:val="24"/>
        </w:rPr>
        <w:t>), payable by the Company in accordance with its normal payroll practices. If Executive’s Base Salary is increased by the Company, such increased Base Salary will then constitute the Base Salary for all purposes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Annual Incentive Bonus</w:t>
      </w:r>
      <w:r>
        <w:rPr>
          <w:rFonts w:ascii="Times New Roman;serif" w:hAnsi="Times New Roman;serif"/>
          <w:b w:val="false"/>
          <w:color w:val="000000"/>
          <w:sz w:val="24"/>
        </w:rPr>
        <w:t>. Executive will be eligible for an annual target incentive bonus opportunity (“</w:t>
      </w:r>
      <w:r>
        <w:rPr>
          <w:rFonts w:ascii="Times New Roman;serif" w:hAnsi="Times New Roman;serif"/>
          <w:b/>
          <w:i/>
          <w:color w:val="000000"/>
          <w:sz w:val="24"/>
        </w:rPr>
        <w:t>Annual Bonus</w:t>
      </w:r>
      <w:r>
        <w:rPr>
          <w:color w:val="000000"/>
        </w:rPr>
        <w:t>”</w:t>
      </w:r>
      <w:r>
        <w:rPr>
          <w:rFonts w:ascii="Times New Roman;serif" w:hAnsi="Times New Roman;serif"/>
          <w:b w:val="false"/>
          <w:color w:val="000000"/>
          <w:sz w:val="24"/>
        </w:rPr>
        <w:t>) in accordance with the terms of the Octave Group management annual bonus plan (the “</w:t>
      </w:r>
      <w:r>
        <w:rPr>
          <w:rFonts w:ascii="Times New Roman;serif" w:hAnsi="Times New Roman;serif"/>
          <w:b/>
          <w:i/>
          <w:color w:val="000000"/>
          <w:sz w:val="24"/>
        </w:rPr>
        <w:t>Bonus Plan</w:t>
      </w:r>
      <w:r>
        <w:rPr>
          <w:color w:val="000000"/>
        </w:rPr>
        <w:t>”</w:t>
      </w:r>
      <w:r>
        <w:rPr>
          <w:rFonts w:ascii="Times New Roman;serif" w:hAnsi="Times New Roman;serif"/>
          <w:b w:val="false"/>
          <w:color w:val="000000"/>
          <w:sz w:val="24"/>
        </w:rPr>
        <w:t>) applicable to members of the Octave Group executive leadership team (the “</w:t>
      </w:r>
      <w:r>
        <w:rPr>
          <w:rFonts w:ascii="Times New Roman;serif" w:hAnsi="Times New Roman;serif"/>
          <w:b/>
          <w:i/>
          <w:color w:val="000000"/>
          <w:sz w:val="24"/>
        </w:rPr>
        <w:t>Leadership Team</w:t>
      </w:r>
      <w:r>
        <w:rPr>
          <w:color w:val="000000"/>
        </w:rPr>
        <w:t>”</w:t>
      </w:r>
      <w:r>
        <w:rPr>
          <w:rFonts w:ascii="Times New Roman;serif" w:hAnsi="Times New Roman;serif"/>
          <w:b w:val="false"/>
          <w:color w:val="000000"/>
          <w:sz w:val="24"/>
        </w:rPr>
        <w:t>), which, for the initial year, such target opportunity will be [•]% of Base Salary, and for subsequent years, the target will be communicated to Executive annually. The actual amount of Executive’s Annual Bonus, if any, will be determined by the Board of Directors of TopCo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or the Compensation Committee of the Board (the “</w:t>
      </w:r>
      <w:r>
        <w:rPr>
          <w:rFonts w:ascii="Times New Roman;serif" w:hAnsi="Times New Roman;serif"/>
          <w:b/>
          <w:i/>
          <w:color w:val="000000"/>
          <w:sz w:val="24"/>
        </w:rPr>
        <w:t>Compensation Committee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and paid in accordance with the Company’s normal procedures.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Long-Term Stock Incentive Awards</w:t>
      </w:r>
      <w:r>
        <w:rPr>
          <w:rFonts w:ascii="Times New Roman;serif" w:hAnsi="Times New Roman;serif"/>
          <w:b w:val="false"/>
          <w:color w:val="000000"/>
          <w:sz w:val="24"/>
        </w:rPr>
        <w:t>. Executive will be eligible to participate in the Octave Group’s annual long-term incentive equity program as in effect from time to time (the “</w:t>
      </w:r>
      <w:r>
        <w:rPr>
          <w:rFonts w:ascii="Times New Roman;serif" w:hAnsi="Times New Roman;serif"/>
          <w:b/>
          <w:i/>
          <w:color w:val="000000"/>
          <w:sz w:val="24"/>
        </w:rPr>
        <w:t>LTSI Program</w:t>
      </w:r>
      <w:r>
        <w:rPr>
          <w:color w:val="000000"/>
        </w:rPr>
        <w:t>”</w:t>
      </w:r>
      <w:r>
        <w:rPr>
          <w:rFonts w:ascii="Times New Roman;serif" w:hAnsi="Times New Roman;serif"/>
          <w:b w:val="false"/>
          <w:color w:val="000000"/>
          <w:sz w:val="24"/>
        </w:rPr>
        <w:t xml:space="preserve">) in a manner consistent with other members of the Leadership Team, all as determined by the Board or the Compensation Committee and expressed in the applicable award agreement. It is expected that Executive will receive an initial long-term incentive equity award with a target grant date value of $[•], when other initial long-term incentive equity awards are granted to other members of the Leadership Team. Except for the Hexagon Replacement Awards (as defined below), such initial long-term incentive equity award shall be Executive’s sole and total equity award for the year of the Spin-off and shall be subject to the terms and conditions of the LTSI Program, including any required approvals related thereto and applicable vesting conditions.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Executive shall be entitled to participate in all employee benefit plans and programs maintained by the Company as are made available to other senior executives of the Company from time to time (collectively, “</w:t>
      </w:r>
      <w:r>
        <w:rPr>
          <w:rFonts w:ascii="Times New Roman;serif" w:hAnsi="Times New Roman;serif"/>
          <w:b/>
          <w:i/>
          <w:color w:val="000000"/>
          <w:sz w:val="24"/>
        </w:rPr>
        <w:t>Employee Benefit Plans</w:t>
      </w:r>
      <w:r>
        <w:rPr>
          <w:color w:val="000000"/>
        </w:rPr>
        <w:t>”</w:t>
      </w:r>
      <w:r>
        <w:rPr>
          <w:rFonts w:ascii="Times New Roman;serif" w:hAnsi="Times New Roman;serif"/>
          <w:b w:val="false"/>
          <w:color w:val="000000"/>
          <w:sz w:val="24"/>
        </w:rPr>
        <w:t>)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color w:val="000000"/>
        </w:rPr>
        <w:t>    </w:t>
      </w:r>
      <w:r>
        <w:rPr>
          <w:rFonts w:ascii="Times New Roman;serif" w:hAnsi="Times New Roman;serif"/>
          <w:b/>
          <w:color w:val="000000"/>
          <w:sz w:val="24"/>
          <w:u w:val="single"/>
        </w:rPr>
        <w:t>TERM; TERMINATION</w:t>
      </w:r>
      <w:r>
        <w:rPr>
          <w:rFonts w:ascii="Times New Roman;serif" w:hAnsi="Times New Roman;serif"/>
          <w:b w:val="false"/>
          <w:color w:val="000000"/>
          <w:sz w:val="24"/>
        </w:rPr>
        <w:t xml:space="preserve">. Executive’s employment with the Company shall be continuous until terminated and shall be “at-will” and may be terminated hereunder by Executive or the Company, at any time and for any reason, or no reason, subject to the provisions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Death</w:t>
      </w:r>
      <w:r>
        <w:rPr>
          <w:rFonts w:ascii="Times New Roman;serif" w:hAnsi="Times New Roman;serif"/>
          <w:b w:val="false"/>
          <w:color w:val="000000"/>
          <w:sz w:val="24"/>
        </w:rPr>
        <w:t>. Executive’s employment hereunder shall terminate upon Executive’s death.</w:t>
      </w: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Disability</w:t>
      </w:r>
      <w:r>
        <w:rPr>
          <w:rFonts w:ascii="Times New Roman;serif" w:hAnsi="Times New Roman;serif"/>
          <w:b w:val="false"/>
          <w:color w:val="000000"/>
          <w:sz w:val="24"/>
        </w:rPr>
        <w:t>. The Company may terminate Executive’s employment if Executive has been unable to perform the essential functions of Executive’s then-existing position or positions under this Agreement with or without reasonable accommodation for a period of 180 days (which need not be consecutive) in any 12-month period as a result of physical or mental incapacity or illness (“</w:t>
      </w:r>
      <w:r>
        <w:rPr>
          <w:rFonts w:ascii="Times New Roman;serif" w:hAnsi="Times New Roman;serif"/>
          <w:b/>
          <w:i/>
          <w:color w:val="000000"/>
          <w:sz w:val="24"/>
        </w:rPr>
        <w:t>disabled</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disability</w:t>
      </w:r>
      <w:r>
        <w:rPr>
          <w:color w:val="000000"/>
        </w:rPr>
        <w:t>”</w:t>
      </w:r>
      <w:r>
        <w:rPr>
          <w:rFonts w:ascii="Times New Roman;serif" w:hAnsi="Times New Roman;serif"/>
          <w:b w:val="false"/>
          <w:color w:val="000000"/>
          <w:sz w:val="24"/>
        </w:rPr>
        <w:t xml:space="preserve">). If any question shall arise as to whether during any period Executive is disabled so as to be unable to perform the essential functions of Executive’s then-existing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or was so disabled, and such certification shall for the purposes of this Agreement be conclusive of the issue. Executive shall cooperate with any reasonable request of the physician in connection with such certification. Nothing in this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shall be construed to waive Executive’s rights, if any, under existing law including, without limitation, the Family and Medical Leave Act of 1993, 29 U.S.C. § 2601 </w:t>
      </w:r>
      <w:r>
        <w:rPr>
          <w:rFonts w:ascii="Times New Roman;serif" w:hAnsi="Times New Roman;serif"/>
          <w:b w:val="false"/>
          <w:i/>
          <w:color w:val="000000"/>
          <w:sz w:val="24"/>
        </w:rPr>
        <w:t>et seq</w:t>
      </w:r>
      <w:r>
        <w:rPr>
          <w:rFonts w:ascii="Times New Roman;serif" w:hAnsi="Times New Roman;serif"/>
          <w:b w:val="false"/>
          <w:color w:val="000000"/>
          <w:sz w:val="24"/>
        </w:rPr>
        <w:t>. and the Americans with Disabilities Act, 42 U.S.C. § 12101 </w:t>
      </w:r>
      <w:r>
        <w:rPr>
          <w:rFonts w:ascii="Times New Roman;serif" w:hAnsi="Times New Roman;serif"/>
          <w:b w:val="false"/>
          <w:i/>
          <w:color w:val="000000"/>
          <w:sz w:val="24"/>
        </w:rPr>
        <w:t>et seq.</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Executive’s employment hereunder may be terminated by the Company for Cause. For purposes of this Agreement, “</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shall mean: (i) Executive’s willful and continued failure to substantially perform Executive’s duties to the Company (other than any such failure resulting from Executive’s incapacity due to death or disability),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has delivered a written demand for performance to Executive specifically identifying the manner in which the Company believes that Executive has not substantially performed Executive’s duties and Executive does not materially cure such failure within 45 days after such demand; (ii) willful conduct by Executive which is demonstrably and materially injurious to the Octave Group; (iii) Executive’s conviction of, or pleading of guilty or nolo contendere to, a felony; or (iv) Executive’s material and confirmed violation of the Code of Business Conduct and Ethics or other applicable written policy of the Octave Group regarding harassment or unlawful discrimination. For purposes of this definition, no act or failure to act on Executive’s part shall be deemed “willful” unless done or omitted to be done by Executive in bad faith and without reasonable belief that Executive’s action or omission was in the best interests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xml:space="preserve">. The Company may terminate Executive’s employment hereunder at any time without Cause upon 90 days prior written notice to Executive,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may satisfy all or a portion of the notice period by providing Executive with Executive’s Base Salary during such period in lieu of such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Termination by Executive</w:t>
      </w:r>
      <w:r>
        <w:rPr>
          <w:rFonts w:ascii="Times New Roman;serif" w:hAnsi="Times New Roman;serif"/>
          <w:b w:val="false"/>
          <w:color w:val="000000"/>
          <w:sz w:val="24"/>
        </w:rPr>
        <w:t>. Executive may terminate Executive’s employment hereunder at any time for any reason, including but not limited to Good Reason. For purposes of this Agreement, “</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shall mean the occurrence of any of the following conditions without Executive’s prior written consent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solely with respect to clauses (ii) through (v) below, Executive has given the Company notice of its occurrence within 90 days after the occurrence, the Company fails to remedy the condition within 30-days following such notice (the “</w:t>
      </w:r>
      <w:r>
        <w:rPr>
          <w:rFonts w:ascii="Times New Roman;serif" w:hAnsi="Times New Roman;serif"/>
          <w:b/>
          <w:i/>
          <w:color w:val="000000"/>
          <w:sz w:val="24"/>
        </w:rPr>
        <w:t>Cure Period</w:t>
      </w:r>
      <w:r>
        <w:rPr>
          <w:color w:val="000000"/>
        </w:rPr>
        <w:t>”</w:t>
      </w:r>
      <w:r>
        <w:rPr>
          <w:rFonts w:ascii="Times New Roman;serif" w:hAnsi="Times New Roman;serif"/>
          <w:b w:val="false"/>
          <w:color w:val="000000"/>
          <w:sz w:val="24"/>
        </w:rPr>
        <w:t xml:space="preserve">), and Executive terminates Executive’s employment </w:t>
      </w: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within 60-days after the end of the Cure Period: (i) a material diminution of Executive’s duties, responsibilities or authority; (ii) a reduction of Executive’s then-existing Base Salary rate or target Annual Bonus opportunity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reduction or other action that is consistent with similar actions taken with respect to base salary or target annual bonus opportunity of the other similarly-situated employees of the Company generally shall not constitute Good Reason for purposes of this clause (ii) or clause (iv) below); (iii) a material change in the Primary Work Location; (iv) a material breach of this Agreement by the Company; or (v) a material adverse change in Executive’s reporting relationship. Executive shall not be considered to have terminated Executive’s employment for Good Reason if (x)</w:t>
      </w:r>
      <w:r>
        <w:rPr>
          <w:color w:val="000000"/>
        </w:rPr>
        <w:t> </w:t>
      </w:r>
      <w:r>
        <w:rPr>
          <w:rFonts w:ascii="Times New Roman;serif" w:hAnsi="Times New Roman;serif"/>
          <w:b w:val="false"/>
          <w:color w:val="000000"/>
          <w:sz w:val="24"/>
        </w:rPr>
        <w:t>Cause exists (or continues to exist) at the time of either such Good Reason condition or such termination of Executive’s employment (“</w:t>
      </w:r>
      <w:r>
        <w:rPr>
          <w:rFonts w:ascii="Times New Roman;serif" w:hAnsi="Times New Roman;serif"/>
          <w:b/>
          <w:i/>
          <w:color w:val="000000"/>
          <w:sz w:val="24"/>
        </w:rPr>
        <w:t>Cause Condition Existence</w:t>
      </w:r>
      <w:r>
        <w:rPr>
          <w:color w:val="000000"/>
        </w:rPr>
        <w:t>”</w:t>
      </w:r>
      <w:r>
        <w:rPr>
          <w:rFonts w:ascii="Times New Roman;serif" w:hAnsi="Times New Roman;serif"/>
          <w:b w:val="false"/>
          <w:color w:val="000000"/>
          <w:sz w:val="24"/>
        </w:rPr>
        <w:t>), and (y)</w:t>
      </w:r>
      <w:r>
        <w:rPr>
          <w:color w:val="000000"/>
        </w:rPr>
        <w:t> </w:t>
      </w:r>
      <w:r>
        <w:rPr>
          <w:rFonts w:ascii="Times New Roman;serif" w:hAnsi="Times New Roman;serif"/>
          <w:b w:val="false"/>
          <w:color w:val="000000"/>
          <w:sz w:val="24"/>
        </w:rPr>
        <w:t>the Company has notified Executive of the Cause Condition Existence by the time of such termination of Executive’s employment. For the avoidance of doubt, Executive will be deemed to have experienced a material diminution of Executive’s duties, responsibilities or authority if, after a Change in Control (as defined below), Executive is no longer [•] of a public company or reporting to the most senior member of management in the Company’s controlled group.</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Notice of Termination</w:t>
      </w:r>
      <w:r>
        <w:rPr>
          <w:rFonts w:ascii="Times New Roman;serif" w:hAnsi="Times New Roman;serif"/>
          <w:b w:val="false"/>
          <w:color w:val="000000"/>
          <w:sz w:val="24"/>
        </w:rPr>
        <w:t xml:space="preserve">. Except for termination as specified in </w:t>
      </w:r>
      <w:r>
        <w:rPr>
          <w:rFonts w:ascii="Times New Roman;serif" w:hAnsi="Times New Roman;serif"/>
          <w:b w:val="false"/>
          <w:color w:val="000000"/>
          <w:sz w:val="24"/>
          <w:u w:val="single"/>
        </w:rPr>
        <w:t>Section 3(a)</w:t>
      </w:r>
      <w:r>
        <w:rPr>
          <w:rFonts w:ascii="Times New Roman;serif" w:hAnsi="Times New Roman;serif"/>
          <w:b w:val="false"/>
          <w:color w:val="000000"/>
          <w:sz w:val="24"/>
        </w:rPr>
        <w:t>, any termination of Executive’s employment by the Company or any such termination by Executive shall be communicated by written Notice of Termination to the other party hereto. For purposes of this Agreement, a “</w:t>
      </w:r>
      <w:r>
        <w:rPr>
          <w:rFonts w:ascii="Times New Roman;serif" w:hAnsi="Times New Roman;serif"/>
          <w:b/>
          <w:i/>
          <w:color w:val="000000"/>
          <w:sz w:val="24"/>
        </w:rPr>
        <w:t>Notice of Termination</w:t>
      </w:r>
      <w:r>
        <w:rPr>
          <w:color w:val="000000"/>
        </w:rPr>
        <w:t xml:space="preserve">” </w:t>
      </w:r>
      <w:r>
        <w:rPr>
          <w:rFonts w:ascii="Times New Roman;serif" w:hAnsi="Times New Roman;serif"/>
          <w:b w:val="false"/>
          <w:color w:val="000000"/>
          <w:sz w:val="24"/>
        </w:rPr>
        <w:t>shall mean a notice which shall indicate the specific termination provision in this Agreement relied upon.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Termination Date</w:t>
      </w:r>
      <w:r>
        <w:rPr>
          <w:rFonts w:ascii="Times New Roman;serif" w:hAnsi="Times New Roman;serif"/>
          <w:b w:val="false"/>
          <w:color w:val="000000"/>
          <w:sz w:val="24"/>
        </w:rPr>
        <w:t>. “</w:t>
      </w:r>
      <w:r>
        <w:rPr>
          <w:rFonts w:ascii="Times New Roman;serif" w:hAnsi="Times New Roman;serif"/>
          <w:b/>
          <w:i/>
          <w:color w:val="000000"/>
          <w:sz w:val="24"/>
        </w:rPr>
        <w:t>Termination Date</w:t>
      </w:r>
      <w:r>
        <w:rPr>
          <w:color w:val="000000"/>
        </w:rPr>
        <w:t xml:space="preserve">” </w:t>
      </w:r>
      <w:r>
        <w:rPr>
          <w:rFonts w:ascii="Times New Roman;serif" w:hAnsi="Times New Roman;serif"/>
          <w:b w:val="false"/>
          <w:color w:val="000000"/>
          <w:sz w:val="24"/>
        </w:rPr>
        <w:t xml:space="preserve">shall mean: (i) if Executive’s employment is terminated by Executive’s death, the date of Executive’s death; (ii) if Executive’s employment is terminated on account of disability under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or by the Company for Cause under </w:t>
      </w: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the date on which a Notice of Termination is received by Executive; (iii) if Executive’s employment is terminated by the Company under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the date that is 90 days after the date on which a Notice of Termination is received by Executive (or such earlier date specified in the Notice of Termination if the Company is providing payment in lieu of notice in accordance with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(iv) if Executive’s employment is terminated by Executive under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 xml:space="preserve">without Good Reason, the date that is 30 days after the date on which a Notice of Termination is given to the Company; and (v) if Executive’s employment is terminated by Executive under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with Good Reason, the date on which a Notice of Termination is given within 60 days after the end of the Cure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color w:val="000000"/>
        </w:rPr>
        <w:t>    </w:t>
      </w:r>
      <w:r>
        <w:rPr>
          <w:rFonts w:ascii="Times New Roman;serif" w:hAnsi="Times New Roman;serif"/>
          <w:b/>
          <w:color w:val="000000"/>
          <w:sz w:val="24"/>
          <w:u w:val="single"/>
        </w:rPr>
        <w:t>COMPENSATION UPON TERMINATION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Termination Generally</w:t>
      </w:r>
      <w:r>
        <w:rPr>
          <w:rFonts w:ascii="Times New Roman;serif" w:hAnsi="Times New Roman;serif"/>
          <w:b w:val="false"/>
          <w:color w:val="000000"/>
          <w:sz w:val="24"/>
        </w:rPr>
        <w:t xml:space="preserve">. If Executive’s employment with the Company is terminated for any reason, the Company shall pay or provide to Executive (or to Executive’s authorized representative or estate as applicable): (i) any Base Salary earned through the Termination Date, unpaid expense reimbursements, and unused vacation that accrued through the Termination Date on or before the time required by law but in no event more than 30 days after Executive’s Termination Date; and (ii) any vested benefits or amounts due to Executive under any employee benefit or equity plan, program or practice of the Company, which benefits or </w:t>
      </w: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amount shall be paid and/or provided in accordance with the terms of such employee benefit or equity plans, program or practice (collectively, the “</w:t>
      </w:r>
      <w:r>
        <w:rPr>
          <w:rFonts w:ascii="Times New Roman;serif" w:hAnsi="Times New Roman;serif"/>
          <w:b/>
          <w:i/>
          <w:color w:val="000000"/>
          <w:sz w:val="24"/>
        </w:rPr>
        <w:t>Accrued Benefits</w:t>
      </w:r>
      <w:r>
        <w:rPr>
          <w:color w:val="000000"/>
        </w:rPr>
        <w:t>”</w:t>
      </w:r>
      <w:r>
        <w:rPr>
          <w:rFonts w:ascii="Times New Roman;serif" w:hAnsi="Times New Roman;serif"/>
          <w:b w:val="false"/>
          <w:color w:val="000000"/>
          <w:sz w:val="24"/>
        </w:rPr>
        <w:t>). Executive shall also retain all rights to indemnification and coverage under directors and officer liability insurance policies to the same extent provided to the Company’s other directors and officers in accordance with the terms of such policies.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Termination by Death, Disability, the Company Without Cause, or by</w:t>
      </w:r>
      <w:r>
        <w:rPr>
          <w:color w:val="000000"/>
        </w:rPr>
        <w:t xml:space="preserve"> </w:t>
      </w:r>
      <w:r>
        <w:rPr>
          <w:rFonts w:ascii="Times New Roman;serif" w:hAnsi="Times New Roman;serif"/>
          <w:b w:val="false"/>
          <w:color w:val="000000"/>
          <w:sz w:val="24"/>
          <w:u w:val="single"/>
        </w:rPr>
        <w:t>Executive with Good Reason</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below, if Executive’s employment is terminated by Executive’s death as provided in </w:t>
      </w:r>
      <w:r>
        <w:rPr>
          <w:rFonts w:ascii="Times New Roman;serif" w:hAnsi="Times New Roman;serif"/>
          <w:b w:val="false"/>
          <w:color w:val="000000"/>
          <w:sz w:val="24"/>
          <w:u w:val="single"/>
        </w:rPr>
        <w:t>Section 3(a)</w:t>
      </w:r>
      <w:r>
        <w:rPr>
          <w:rFonts w:ascii="Times New Roman;serif" w:hAnsi="Times New Roman;serif"/>
          <w:b w:val="false"/>
          <w:color w:val="000000"/>
          <w:sz w:val="24"/>
        </w:rPr>
        <w:t xml:space="preserve">, on account of disability under </w:t>
      </w:r>
      <w:r>
        <w:rPr>
          <w:rFonts w:ascii="Times New Roman;serif" w:hAnsi="Times New Roman;serif"/>
          <w:b w:val="false"/>
          <w:color w:val="000000"/>
          <w:sz w:val="24"/>
          <w:u w:val="single"/>
        </w:rPr>
        <w:t>Section 3(b)</w:t>
      </w:r>
      <w:r>
        <w:rPr>
          <w:rFonts w:ascii="Times New Roman;serif" w:hAnsi="Times New Roman;serif"/>
          <w:b w:val="false"/>
          <w:color w:val="000000"/>
          <w:sz w:val="24"/>
        </w:rPr>
        <w:t xml:space="preserve">, by the Company without Cause as provided in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or by Executive for Good Reason as provided in </w:t>
      </w:r>
      <w:r>
        <w:rPr>
          <w:rFonts w:ascii="Times New Roman;serif" w:hAnsi="Times New Roman;serif"/>
          <w:b w:val="false"/>
          <w:color w:val="000000"/>
          <w:sz w:val="24"/>
          <w:u w:val="single"/>
        </w:rPr>
        <w:t>Section 3(e)</w:t>
      </w:r>
      <w:r>
        <w:rPr>
          <w:rFonts w:ascii="Times New Roman;serif" w:hAnsi="Times New Roman;serif"/>
          <w:b w:val="false"/>
          <w:color w:val="000000"/>
          <w:sz w:val="24"/>
        </w:rPr>
        <w:t>, then: (1) the Company shall pay to Executive (or Executive’s estate as applicable) the Accrued Benefits; and (2) subject to Executive (or the Executive’s estate as applicable) signing and causing to become irrevocable a general release of claims in favor of the Octave Group in substantially the form typically used by the Company in connection with severance pay modified to reflect the terms of this Agreement (the “</w:t>
      </w:r>
      <w:r>
        <w:rPr>
          <w:rFonts w:ascii="Times New Roman;serif" w:hAnsi="Times New Roman;serif"/>
          <w:b/>
          <w:i/>
          <w:color w:val="000000"/>
          <w:sz w:val="24"/>
        </w:rPr>
        <w:t>Release</w:t>
      </w:r>
      <w:r>
        <w:rPr>
          <w:color w:val="000000"/>
        </w:rPr>
        <w:t>”</w:t>
      </w:r>
      <w:r>
        <w:rPr>
          <w:rFonts w:ascii="Times New Roman;serif" w:hAnsi="Times New Roman;serif"/>
          <w:b w:val="false"/>
          <w:color w:val="000000"/>
          <w:sz w:val="24"/>
        </w:rPr>
        <w:t>) within 55 days after the Termination Date (the “</w:t>
      </w:r>
      <w:r>
        <w:rPr>
          <w:rFonts w:ascii="Times New Roman;serif" w:hAnsi="Times New Roman;serif"/>
          <w:b/>
          <w:i/>
          <w:color w:val="000000"/>
          <w:sz w:val="24"/>
        </w:rPr>
        <w:t>Release Requirement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to the extent unpaid as of the Termination Date, the Company shall pay to Executive (or to Executive’s authorized representative or estate) an amount in cash equal to any annual cash incentive earned by Executive for the Company’s fiscal year prior to the fiscal year in which the Termination Date occurs, as determined based on Executive’s and the Company’s actual performance for such year, as applicable (the “</w:t>
      </w:r>
      <w:r>
        <w:rPr>
          <w:rFonts w:ascii="Times New Roman;serif" w:hAnsi="Times New Roman;serif"/>
          <w:b/>
          <w:i/>
          <w:color w:val="000000"/>
          <w:sz w:val="24"/>
        </w:rPr>
        <w:t>Prior-Year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the Company shall pay to Executive (or to Executive’s authorized representative or estate) a pro-rated portion of Executive’s Annual Bonus for the year in which the Termination Date occurs determined by multiplying Executive’s Annual Bonus for such year (calculated based on actual performance for the full performance period and without regard to such material reduction in Base Salary or target Annual Bonus which (if applicable) gave rise to Executive’s claim of Good Reason pursuant to </w:t>
      </w:r>
      <w:r>
        <w:rPr>
          <w:rFonts w:ascii="Times New Roman;serif" w:hAnsi="Times New Roman;serif"/>
          <w:b w:val="false"/>
          <w:color w:val="000000"/>
          <w:sz w:val="24"/>
          <w:u w:val="single"/>
        </w:rPr>
        <w:t>Section 3(e)(ii)</w:t>
      </w:r>
      <w:r>
        <w:rPr>
          <w:color w:val="000000"/>
        </w:rPr>
        <w:t xml:space="preserve"> </w:t>
      </w:r>
      <w:r>
        <w:rPr>
          <w:rFonts w:ascii="Times New Roman;serif" w:hAnsi="Times New Roman;serif"/>
          <w:b w:val="false"/>
          <w:color w:val="000000"/>
          <w:sz w:val="24"/>
        </w:rPr>
        <w:t>of this Agreement) by a fraction, the numerator of which is the number of days during such year that Executive was employed by the Company and the denominator of which is the number of days in such year (the “</w:t>
      </w:r>
      <w:r>
        <w:rPr>
          <w:rFonts w:ascii="Times New Roman;serif" w:hAnsi="Times New Roman;serif"/>
          <w:b/>
          <w:i/>
          <w:color w:val="000000"/>
          <w:sz w:val="24"/>
        </w:rPr>
        <w:t>Pro-Rata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the Company shall pay to Executive (or to Executive’s estate) a lump sum in cash in an amount equal to [•] the sum of: (A) Executive’s then-existing annual Base Salary rate,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Executive’s target Annual Bonus for the current fiscal year (each of clause (A) and (B), determined without regard to such material reduction in Base Salary or target Annual Bonus which (if applicable) gave rise to Executive’s claim of Good Reason pursuant to </w:t>
      </w:r>
      <w:r>
        <w:rPr>
          <w:rFonts w:ascii="Times New Roman;serif" w:hAnsi="Times New Roman;serif"/>
          <w:b w:val="false"/>
          <w:color w:val="000000"/>
          <w:sz w:val="24"/>
          <w:u w:val="single"/>
        </w:rPr>
        <w:t>Section 3(e)(ii)</w:t>
      </w:r>
      <w:r>
        <w:rPr>
          <w:color w:val="000000"/>
        </w:rPr>
        <w:t xml:space="preserve"> </w:t>
      </w:r>
      <w:r>
        <w:rPr>
          <w:rFonts w:ascii="Times New Roman;serif" w:hAnsi="Times New Roman;serif"/>
          <w:b w:val="false"/>
          <w:color w:val="000000"/>
          <w:sz w:val="24"/>
        </w:rPr>
        <w:t>of this Agreement) (the “</w:t>
      </w:r>
      <w:r>
        <w:rPr>
          <w:rFonts w:ascii="Times New Roman;serif" w:hAnsi="Times New Roman;serif"/>
          <w:b/>
          <w:i/>
          <w:color w:val="000000"/>
          <w:sz w:val="24"/>
        </w:rPr>
        <w:t>Severance Amount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if Executive materially breaches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 payment of the Severance Amount shall immediately cease and if the Severance Amount has already been paid to Executive, then Executive will promptly repay such Severance Amount to the Company;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(iv)    notwithstanding anything to the contrary in any applicable option agreement or stock-based award agreement, (A) all time-vesting stock options and other stock-based awards held by Executive (to the extent not already vested or forfeited) shall accelerate </w:t>
      </w: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immediately become exercisable, vested and/or nonforfeitable, and (B) all stock-based awards granted by the Company to Executive in replacement of Executive’s performance awards in Hexagon that were cancelled in connection with consummation of the Spin-off (the “</w:t>
      </w:r>
      <w:r>
        <w:rPr>
          <w:rFonts w:ascii="Times New Roman;serif" w:hAnsi="Times New Roman;serif"/>
          <w:b/>
          <w:i/>
          <w:color w:val="000000"/>
          <w:sz w:val="24"/>
        </w:rPr>
        <w:t>Hexagon Replacement Awards</w:t>
      </w:r>
      <w:r>
        <w:rPr>
          <w:color w:val="000000"/>
        </w:rPr>
        <w:t>”</w:t>
      </w:r>
      <w:r>
        <w:rPr>
          <w:rFonts w:ascii="Times New Roman;serif" w:hAnsi="Times New Roman;serif"/>
          <w:b w:val="false"/>
          <w:color w:val="000000"/>
          <w:sz w:val="24"/>
        </w:rPr>
        <w:t xml:space="preserve">), shall accelerate and immediately become vested and exercisable and (C) with respect to each performance-vesting stock option award and other stock-based award held by Executive (to the extent not already vested or forfeited), Executive will remain eligible to vest in a pro-rata portion of such award without regard to continued service, with such pro-rata portion equal to the amount of the award that is ultimately earned and vested based on actual performance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a fraction, the numerator of which is the number of days Executive was employed during the applicable performance period and the denominator of which is the number of total days in the applicable performance period;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the period of time during which Executive may exercise Executive’s vested stock options shall be extended to the longer of (A) six-months after Executive’s Termination Date or (B) seven days after the commencement of the Company’s first open trading window that occurs after the Termination Date, subject to any longer exercise period in the event of Executive’s death or disability as may be provided in the applicable option agreement, but in no event later than the original expiration date applicable to such stock options;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    if Executive was participating in the Company’s health, dental and/or vision plans immediately prior to the Termination Date, then the Company shall pay to Executive (or to Executive’s estate) an amount equal to the product of the monthly COBRA premium applicable to the Company’s health, dental, and vision plans in which Executive was participating immediately prior to the Termination Date,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(the “</w:t>
      </w:r>
      <w:r>
        <w:rPr>
          <w:rFonts w:ascii="Times New Roman;serif" w:hAnsi="Times New Roman;serif"/>
          <w:b/>
          <w:i/>
          <w:color w:val="000000"/>
          <w:sz w:val="24"/>
        </w:rPr>
        <w:t>COBRA Benefit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Severance Amount shall be paid in one lump sum payment within 60 days following the Termination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however, that if the 60-day period begins in one calendar year and ends in a second calendar year, the Severance Amount shall be paid in the second calendar year. The Prior-Year Bonus and the Pro-Rata Bonus shall be paid on the same date that the annual cash incentive for the applicable year would have been paid if Executive’s employment had not been terminated. The COBRA Benefit shall be paid in a single lump sum cash payment within 60-days after the Termination Date, but if such 60-day period spans two calendar years, such amount shall be paid in the second calendar year. </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color w:val="000000"/>
        </w:rPr>
        <w:t>    </w:t>
      </w:r>
      <w:r>
        <w:rPr>
          <w:rFonts w:ascii="Times New Roman;serif" w:hAnsi="Times New Roman;serif"/>
          <w:b/>
          <w:color w:val="000000"/>
          <w:sz w:val="24"/>
          <w:u w:val="single"/>
        </w:rPr>
        <w:t>CHANGE OF CONTROL IMPLICATIONS</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set forth certain terms of an agreement reached between Executive and the Company regarding Executive’s rights and obligations upon the occurrence of a Change in Control. These provisions shall apply in lieu of, and expressly supersede, the provisions of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regarding severance pay and benefits upon a termination of employment to the extent provided in this </w:t>
      </w:r>
      <w:r>
        <w:rPr>
          <w:rFonts w:ascii="Times New Roman;serif" w:hAnsi="Times New Roman;serif"/>
          <w:b w:val="false"/>
          <w:color w:val="000000"/>
          <w:sz w:val="24"/>
          <w:u w:val="single"/>
        </w:rPr>
        <w:t>Section 5</w:t>
      </w:r>
      <w:r>
        <w:rPr>
          <w:rFonts w:ascii="Times New Roman;serif" w:hAnsi="Times New Roman;serif"/>
          <w:b w:val="false"/>
          <w:color w:val="000000"/>
          <w:sz w:val="24"/>
        </w:rPr>
        <w:t>, if such termination of employment occurs during the period beginning 180-days prior to the effective date of a definitive agreement that results in a Change in Control (and is in connection with such Change in Control) and ending 24-months after the consummation (closing) of a Change in Control (such period, the “</w:t>
      </w:r>
      <w:r>
        <w:rPr>
          <w:rFonts w:ascii="Times New Roman;serif" w:hAnsi="Times New Roman;serif"/>
          <w:b/>
          <w:i/>
          <w:color w:val="000000"/>
          <w:sz w:val="24"/>
        </w:rPr>
        <w:t>CIC Protection Period</w:t>
      </w:r>
      <w:r>
        <w:rPr>
          <w:color w:val="000000"/>
        </w:rPr>
        <w:t>”</w:t>
      </w:r>
      <w:r>
        <w:rPr>
          <w:rFonts w:ascii="Times New Roman;serif" w:hAnsi="Times New Roman;serif"/>
          <w:b w:val="false"/>
          <w:color w:val="000000"/>
          <w:sz w:val="24"/>
        </w:rPr>
        <w:t xml:space="preserve">) and such </w:t>
      </w: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termination is by the Company without Cause as provided in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 xml:space="preserve">or by Executive for Good Reason as provided in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(such a termination that so occurs during the 180-day period prior to the effective date of a definitive agreement that results in a Change in Control, an “</w:t>
      </w:r>
      <w:r>
        <w:rPr>
          <w:rFonts w:ascii="Times New Roman;serif" w:hAnsi="Times New Roman;serif"/>
          <w:b/>
          <w:i/>
          <w:color w:val="000000"/>
          <w:sz w:val="24"/>
        </w:rPr>
        <w:t>Anticipatory CIC Termination</w:t>
      </w:r>
      <w:r>
        <w:rPr>
          <w:color w:val="000000"/>
        </w:rPr>
        <w:t>”</w:t>
      </w:r>
      <w:r>
        <w:rPr>
          <w:rFonts w:ascii="Times New Roman;serif" w:hAnsi="Times New Roman;serif"/>
          <w:b w:val="false"/>
          <w:color w:val="000000"/>
          <w:sz w:val="24"/>
        </w:rPr>
        <w:t>). For purposes of this Agreement, “</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 xml:space="preserve">shall have the meaning set forth in the Octave Intelligence plc Long-Term Incentive Plan.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If, during the CIC Protection Period, Executive’s employment is terminated by the Company without Cause as provided in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 xml:space="preserve">or Executive terminates Executive’s employment for Good Reason as provided in </w:t>
      </w:r>
      <w:r>
        <w:rPr>
          <w:rFonts w:ascii="Times New Roman;serif" w:hAnsi="Times New Roman;serif"/>
          <w:b w:val="false"/>
          <w:color w:val="000000"/>
          <w:sz w:val="24"/>
          <w:u w:val="single"/>
        </w:rPr>
        <w:t>Section 3(e)</w:t>
      </w:r>
      <w:r>
        <w:rPr>
          <w:rFonts w:ascii="Times New Roman;serif" w:hAnsi="Times New Roman;serif"/>
          <w:b w:val="false"/>
          <w:color w:val="000000"/>
          <w:sz w:val="24"/>
        </w:rPr>
        <w:t>, then, in addition to the Accrued Benefits, subject to the Release Requirement: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Company shall pay Executive the Prior-Year Bonus;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the Company shall pay to Executive (or to Executive’s authorized representative or estate) a pro-rated portion of Executive’s Annual Bonus for the year in which the Termination Date occurs determined by multiplying Executive’s Annual Bonus for such year (calculated based on target performance for the full performance period and without regard to such material reduction in Base Salary or target Annual Bonus which (if applicable) gave rise to Executive’s claim of Good Reason pursuant to </w:t>
      </w:r>
      <w:r>
        <w:rPr>
          <w:rFonts w:ascii="Times New Roman;serif" w:hAnsi="Times New Roman;serif"/>
          <w:b w:val="false"/>
          <w:color w:val="000000"/>
          <w:sz w:val="24"/>
          <w:u w:val="single"/>
        </w:rPr>
        <w:t>Section 3(e)(ii)</w:t>
      </w:r>
      <w:r>
        <w:rPr>
          <w:color w:val="000000"/>
        </w:rPr>
        <w:t xml:space="preserve"> </w:t>
      </w:r>
      <w:r>
        <w:rPr>
          <w:rFonts w:ascii="Times New Roman;serif" w:hAnsi="Times New Roman;serif"/>
          <w:b w:val="false"/>
          <w:color w:val="000000"/>
          <w:sz w:val="24"/>
        </w:rPr>
        <w:t>of this Agreement) by a fraction, the numerator of which is the number of days during such year that Executive was employed by the Company and the denominator of which is the number of days in such year (the “</w:t>
      </w:r>
      <w:r>
        <w:rPr>
          <w:rFonts w:ascii="Times New Roman;serif" w:hAnsi="Times New Roman;serif"/>
          <w:b/>
          <w:i/>
          <w:color w:val="000000"/>
          <w:sz w:val="24"/>
        </w:rPr>
        <w:t>CIC Pro-Rata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the Company shall pay Executive a lump sum in cash in an amount equal to [•] the sum of: (A) Executive’s then-existing annual Base Salary rate (or Executive’s Base Salary rate in effect immediately prior to the Change in Control, if higher);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(B) Executive’s target Annual Bonus for the then-current fiscal year;</w:t>
      </w:r>
    </w:p>
    <w:p>
      <w:pPr>
        <w:pStyle w:val="TextBody"/>
        <w:bidi w:val="0"/>
        <w:spacing w:lineRule="auto" w:line="288" w:before="0" w:after="240"/>
        <w:ind w:left="0" w:right="0" w:firstLine="2160"/>
        <w:jc w:val="both"/>
        <w:rPr/>
      </w:pPr>
      <w:r>
        <w:rPr>
          <w:rFonts w:ascii="Times New Roman;serif" w:hAnsi="Times New Roman;serif"/>
          <w:b w:val="false"/>
          <w:color w:val="000000"/>
          <w:sz w:val="24"/>
        </w:rPr>
        <w:t>(iv)    notwithstanding anything to the contrary in any applicable option agreement or stock-based award agreement, all stock options and other stock-based awards held by Executive, including the Hexagon Replacement Awards, (to the extent not already vested or forfeited) shall immediately become fully exercisable, vested and/or nonforfeitable on an accelerated basis (with the level of achievement of any applicable performance objectives determined as set forth in the LTSI Program and applicable award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event of an Anticipatory CIC Termination, Executive’s stock options and other stock-based awards to which this </w:t>
      </w:r>
      <w:r>
        <w:rPr>
          <w:rFonts w:ascii="Times New Roman;serif" w:hAnsi="Times New Roman;serif"/>
          <w:b w:val="false"/>
          <w:color w:val="000000"/>
          <w:sz w:val="24"/>
          <w:u w:val="single"/>
        </w:rPr>
        <w:t>Section 5(a)(iv)</w:t>
      </w:r>
      <w:r>
        <w:rPr>
          <w:color w:val="000000"/>
        </w:rPr>
        <w:t xml:space="preserve"> </w:t>
      </w:r>
      <w:r>
        <w:rPr>
          <w:rFonts w:ascii="Times New Roman;serif" w:hAnsi="Times New Roman;serif"/>
          <w:b w:val="false"/>
          <w:color w:val="000000"/>
          <w:sz w:val="24"/>
        </w:rPr>
        <w:t xml:space="preserve">would otherwise apply shall be deemed to have continued to remain outstanding (to the extent not otherwise vested and paid under </w:t>
      </w:r>
      <w:r>
        <w:rPr>
          <w:rFonts w:ascii="Times New Roman;serif" w:hAnsi="Times New Roman;serif"/>
          <w:b w:val="false"/>
          <w:color w:val="000000"/>
          <w:sz w:val="24"/>
          <w:u w:val="single"/>
        </w:rPr>
        <w:t>Section 4(b)(iv)</w:t>
      </w:r>
      <w:r>
        <w:rPr>
          <w:rFonts w:ascii="Times New Roman;serif" w:hAnsi="Times New Roman;serif"/>
          <w:b w:val="false"/>
          <w:color w:val="000000"/>
          <w:sz w:val="24"/>
        </w:rPr>
        <w:t>), but only pursuant to their other terms and conditions, until the date of such Change in Control);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    if Executive was participating in the Company’s health, dental and vision plans immediately prior to the Termination Date, then the Company shall pay to Executive a lump sum cash payment in an amount equal to the product of the monthly COBRA premium applicable to the Company’s health, dental, and vision plans in which Executive was participating immediately prior to the Termination Date,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    The amount payable under </w:t>
      </w:r>
      <w:r>
        <w:rPr>
          <w:rFonts w:ascii="Times New Roman;serif" w:hAnsi="Times New Roman;serif"/>
          <w:b w:val="false"/>
          <w:color w:val="000000"/>
          <w:sz w:val="24"/>
          <w:u w:val="single"/>
        </w:rPr>
        <w:t>Section 5(a)(i)</w:t>
      </w:r>
      <w:r>
        <w:rPr>
          <w:color w:val="000000"/>
        </w:rPr>
        <w:t xml:space="preserve"> </w:t>
      </w:r>
      <w:r>
        <w:rPr>
          <w:rFonts w:ascii="Times New Roman;serif" w:hAnsi="Times New Roman;serif"/>
          <w:b w:val="false"/>
          <w:color w:val="000000"/>
          <w:sz w:val="24"/>
        </w:rPr>
        <w:t xml:space="preserve">shall be paid on the same date that the annual cash incentive for the applicable year would have been paid if Executive’s employment had not been terminated. The amounts payable under </w:t>
      </w:r>
      <w:r>
        <w:rPr>
          <w:rFonts w:ascii="Times New Roman;serif" w:hAnsi="Times New Roman;serif"/>
          <w:b w:val="false"/>
          <w:color w:val="000000"/>
          <w:sz w:val="24"/>
          <w:u w:val="single"/>
        </w:rPr>
        <w:t>Sections 5(a)(ii)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shall be paid within 60 days after the Termination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60-day period begins in one calendar year and ends in a second calendar year, such payment shall be paid or commence to be paid in the second calendar year by the last day of such 60-day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In the event of a termination under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that is not an Anticipatory CIC Termination, the amounts under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will be paid in lieu of the amounts payable under </w:t>
      </w:r>
      <w:r>
        <w:rPr>
          <w:rFonts w:ascii="Times New Roman;serif" w:hAnsi="Times New Roman;serif"/>
          <w:b w:val="false"/>
          <w:color w:val="000000"/>
          <w:sz w:val="24"/>
          <w:u w:val="single"/>
        </w:rPr>
        <w:t>Section 4(b)</w:t>
      </w:r>
      <w:r>
        <w:rPr>
          <w:rFonts w:ascii="Times New Roman;serif" w:hAnsi="Times New Roman;serif"/>
          <w:b w:val="false"/>
          <w:color w:val="000000"/>
          <w:sz w:val="24"/>
        </w:rPr>
        <w:t xml:space="preserve">. In the event of an Anticipatory CIC Termination, the amounts under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will be paid only to the extent they are in excess of amounts payable under </w:t>
      </w:r>
      <w:r>
        <w:rPr>
          <w:rFonts w:ascii="Times New Roman;serif" w:hAnsi="Times New Roman;serif"/>
          <w:b w:val="false"/>
          <w:color w:val="000000"/>
          <w:sz w:val="24"/>
          <w:u w:val="single"/>
        </w:rPr>
        <w:t>Section 4(b)</w:t>
      </w:r>
      <w:r>
        <w:rPr>
          <w:rFonts w:ascii="Times New Roman;serif" w:hAnsi="Times New Roman;serif"/>
          <w:b w:val="false"/>
          <w:color w:val="000000"/>
          <w:sz w:val="24"/>
        </w:rPr>
        <w:t xml:space="preserve">, and the date of the Change in Control will be treated as the date of such termination under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for purposes of payment timing for such excess amounts.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color w:val="000000"/>
        </w:rPr>
        <w:t>    </w:t>
      </w:r>
      <w:r>
        <w:rPr>
          <w:rFonts w:ascii="Times New Roman;serif" w:hAnsi="Times New Roman;serif"/>
          <w:b/>
          <w:color w:val="000000"/>
          <w:sz w:val="24"/>
          <w:u w:val="single"/>
        </w:rPr>
        <w:t>SECTION 409A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This Agreement is intended, to the extent applicable, to constitute good faith compliance with the requirements of Section 409A of the U.S. Internal Revenue Code of 1986, as amended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The Company and Executive agree that they shall cooperate in good faith to amend any provision hereof to the extent required to maintain compliance with the provisions of Section 409A of the Code as they may be modified hereafter (including by subsequent regulations or other guidance of the Internal Revenue Service). For purposes of Section 409A of the Code, each payment made under this Agreement will be treated as a separate payment. In no event may Executive, directly or indirectly, designate the calendar year of payment. Executive further acknowledges that any tax liability incurred by Executive under Section 409A of the Code is solely the responsibility of Executive.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Notwithstanding any provision of this Agreement to the contrary, if necessary to comply with the restriction in Section 409A(a)(2)(B) of the Code concerning payments to “specified employees” (as defined in Section 409A) any payment on account of Executive’s separation from service that would otherwise be due hereunder within six (6) months after such separation will nonetheless be delayed until the first business day of the seventh month following Executive’s date of termination and the first such payment will include the cumulative amount of any payments that would have been paid prior to such date if not for such restriction. Notwithstanding anything contained herein to the contrary, Executive will not be considered to have terminated employment with the Company for purposes of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or Section </w:t>
      </w:r>
      <w:r>
        <w:rPr>
          <w:rFonts w:ascii="Times New Roman;serif" w:hAnsi="Times New Roman;serif"/>
          <w:b w:val="false"/>
          <w:color w:val="000000"/>
          <w:sz w:val="24"/>
          <w:u w:val="single"/>
        </w:rPr>
        <w:t>5</w:t>
      </w:r>
      <w:r>
        <w:rPr>
          <w:color w:val="000000"/>
        </w:rPr>
        <w:t xml:space="preserve"> </w:t>
      </w:r>
      <w:r>
        <w:rPr>
          <w:rFonts w:ascii="Times New Roman;serif" w:hAnsi="Times New Roman;serif"/>
          <w:b w:val="false"/>
          <w:color w:val="000000"/>
          <w:sz w:val="24"/>
        </w:rPr>
        <w:t>hereof unless Executive would be considered to have incurred a “separation from service” from the Company within the meaning of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color w:val="000000"/>
        </w:rPr>
        <w:t>    </w:t>
      </w:r>
      <w:r>
        <w:rPr>
          <w:rFonts w:ascii="Times New Roman;serif" w:hAnsi="Times New Roman;serif"/>
          <w:b/>
          <w:color w:val="000000"/>
          <w:sz w:val="24"/>
          <w:u w:val="single"/>
        </w:rPr>
        <w:t>SECTION 280G</w:t>
      </w:r>
      <w:r>
        <w:rPr>
          <w:rFonts w:ascii="Times New Roman;serif" w:hAnsi="Times New Roman;serif"/>
          <w:b w:val="false"/>
          <w:color w:val="000000"/>
          <w:sz w:val="24"/>
        </w:rPr>
        <w:t>. In the event that any payments or benefits provided for in this Agreement or otherwise payable to Executive (collectively, the “</w:t>
      </w:r>
      <w:r>
        <w:rPr>
          <w:rFonts w:ascii="Times New Roman;serif" w:hAnsi="Times New Roman;serif"/>
          <w:b/>
          <w:i/>
          <w:color w:val="000000"/>
          <w:sz w:val="24"/>
        </w:rPr>
        <w:t>Payments</w:t>
      </w:r>
      <w:r>
        <w:rPr>
          <w:color w:val="000000"/>
        </w:rPr>
        <w:t>”</w:t>
      </w:r>
      <w:r>
        <w:rPr>
          <w:rFonts w:ascii="Times New Roman;serif" w:hAnsi="Times New Roman;serif"/>
          <w:b w:val="false"/>
          <w:color w:val="000000"/>
          <w:sz w:val="24"/>
        </w:rPr>
        <w:t xml:space="preserve">) (a) constitute “parachute payments” within the meaning of Section 280G of Code, and (b) but for this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would be subject to the excise tax imposed by Section 4999 of the Code, then the Payments will be either (i) delivered in full, or (ii) delivered as to such lesser extent that would result in no portion of the Payments being subject to excise tax under Section 4999 of the Code, </w:t>
      </w:r>
    </w:p>
    <w:p>
      <w:pPr>
        <w:pStyle w:val="TextBody"/>
        <w:bidi w:val="0"/>
        <w:spacing w:before="0" w:after="0"/>
        <w:jc w:val="righ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Payments, notwithstanding that all or some portion of such Payments may be taxable under Section 4999 of the Code. Any reduction in the Payments required by this provision will occur in the following order, as applicable: (x) reduction of cash payments; (y) reduction of vesting acceleration of equity awards; and (z) reduction of other benefits paid or provided to Executive. In the event that acceleration of vesting of equity awards is to be reduced, such acceleration of vesting will be cancelled in the reverse order of the date of grant for equity awards. If two or more equity awards are granted on the same date, each award will be reduced on a pro-rata basis.</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color w:val="000000"/>
        </w:rPr>
        <w:t>    </w:t>
      </w:r>
      <w:r>
        <w:rPr>
          <w:rFonts w:ascii="Times New Roman;serif" w:hAnsi="Times New Roman;serif"/>
          <w:b/>
          <w:color w:val="000000"/>
          <w:sz w:val="24"/>
          <w:u w:val="single"/>
        </w:rPr>
        <w:t>RECOVERY OF INCENTIVE COMPENSATION RECEIVED UPON</w:t>
      </w:r>
      <w:r>
        <w:rPr>
          <w:color w:val="000000"/>
        </w:rPr>
        <w:t xml:space="preserve"> </w:t>
      </w:r>
      <w:r>
        <w:rPr>
          <w:rFonts w:ascii="Times New Roman;serif" w:hAnsi="Times New Roman;serif"/>
          <w:b/>
          <w:color w:val="000000"/>
          <w:sz w:val="24"/>
          <w:u w:val="single"/>
        </w:rPr>
        <w:t>SUBSEQUENT RESTATEMENT</w:t>
      </w:r>
      <w:r>
        <w:rPr>
          <w:rFonts w:ascii="Times New Roman;serif" w:hAnsi="Times New Roman;serif"/>
          <w:b w:val="false"/>
          <w:color w:val="000000"/>
          <w:sz w:val="24"/>
        </w:rPr>
        <w:t>. Executive understands that Executive is or may become subject to the Company’s Incentive Compensation Recoupment Policy adopted pursuant to Rule 10D-1 promulgated under the Exchange Act and Nasdaq Rule 5608, or any successor rule (the “</w:t>
      </w:r>
      <w:r>
        <w:rPr>
          <w:rFonts w:ascii="Times New Roman;serif" w:hAnsi="Times New Roman;serif"/>
          <w:b/>
          <w:i/>
          <w:color w:val="000000"/>
          <w:sz w:val="24"/>
        </w:rPr>
        <w:t>Clawback Policy</w:t>
      </w:r>
      <w:r>
        <w:rPr>
          <w:color w:val="000000"/>
        </w:rPr>
        <w:t>”</w:t>
      </w:r>
      <w:r>
        <w:rPr>
          <w:rFonts w:ascii="Times New Roman;serif" w:hAnsi="Times New Roman;serif"/>
          <w:b w:val="false"/>
          <w:color w:val="000000"/>
          <w:sz w:val="24"/>
        </w:rPr>
        <w:t xml:space="preserve">). Executive understands that such recovery may be sought under the Clawback Policy and occur after Executive’s employment with the Company terminates.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color w:val="000000"/>
        </w:rPr>
        <w:t>    </w:t>
      </w:r>
      <w:r>
        <w:rPr>
          <w:rFonts w:ascii="Times New Roman;serif" w:hAnsi="Times New Roman;serif"/>
          <w:b/>
          <w:color w:val="000000"/>
          <w:sz w:val="24"/>
          <w:u w:val="single"/>
        </w:rPr>
        <w:t>NO DUTY TO MITIGATE</w:t>
      </w:r>
      <w:r>
        <w:rPr>
          <w:rFonts w:ascii="Times New Roman;serif" w:hAnsi="Times New Roman;serif"/>
          <w:b w:val="false"/>
          <w:color w:val="000000"/>
          <w:sz w:val="24"/>
        </w:rPr>
        <w:t>. In no event shall Executive be obligated to seek other employment or take any other action by way of mitigation of the amounts payable to Executive under any of the provisions of this Agreement and any benefits payable to Executive hereunder shall not be subject to reduction for any compensation received from other employment.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color w:val="000000"/>
        </w:rPr>
        <w:t>    </w:t>
      </w:r>
      <w:r>
        <w:rPr>
          <w:rFonts w:ascii="Times New Roman;serif" w:hAnsi="Times New Roman;serif"/>
          <w:b/>
          <w:color w:val="000000"/>
          <w:sz w:val="24"/>
          <w:u w:val="single"/>
        </w:rPr>
        <w:t>INDEMNIFICATION AND INSURANCE</w:t>
      </w:r>
      <w:r>
        <w:rPr>
          <w:rFonts w:ascii="Times New Roman;serif" w:hAnsi="Times New Roman;serif"/>
          <w:b w:val="false"/>
          <w:color w:val="000000"/>
          <w:sz w:val="24"/>
        </w:rPr>
        <w:t>. The parties acknowledge that Executive is entering into an indemnification agreement in connection with execution of this Agreement. During the term of Executive’s employment and through the sixth anniversary of the Termination Date, the Company shall maintain, for the benefit of Executive, D&amp;O insurance coverage at no less than the level provided for other executive officers of the Octave Group.</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color w:val="000000"/>
        </w:rPr>
        <w:t>    </w:t>
      </w:r>
      <w:r>
        <w:rPr>
          <w:rFonts w:ascii="Times New Roman;serif" w:hAnsi="Times New Roman;serif"/>
          <w:b/>
          <w:color w:val="000000"/>
          <w:sz w:val="24"/>
          <w:u w:val="single"/>
        </w:rPr>
        <w:t>RESIGNATION AS DIRECTOR</w:t>
      </w:r>
      <w:r>
        <w:rPr>
          <w:rFonts w:ascii="Times New Roman;serif" w:hAnsi="Times New Roman;serif"/>
          <w:b w:val="false"/>
          <w:color w:val="000000"/>
          <w:sz w:val="24"/>
        </w:rPr>
        <w:t>. In the event Executive’s employment by the Company terminates for any reason, including termination by the Company or by reason of Executive’s disability or resignation, if Executive is then a member of the Board, Executive will be deemed to resign from (a) the board of directors (or similar body) of any member of the Octave Group (including the Board, if applicable) and (b) any position with any member of the Octave Group. Executive agrees to execute such agreements as reasonably requested by any member of the Octave Group.</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color w:val="000000"/>
        </w:rPr>
        <w:t>    </w:t>
      </w:r>
      <w:r>
        <w:rPr>
          <w:rFonts w:ascii="Times New Roman;serif" w:hAnsi="Times New Roman;serif"/>
          <w:b/>
          <w:color w:val="000000"/>
          <w:sz w:val="24"/>
          <w:u w:val="single"/>
        </w:rPr>
        <w:t>SURVIVING COVENANTS</w:t>
      </w:r>
      <w:r>
        <w:rPr>
          <w:rFonts w:ascii="Times New Roman;serif" w:hAnsi="Times New Roman;serif"/>
          <w:b w:val="false"/>
          <w:color w:val="000000"/>
          <w:sz w:val="24"/>
        </w:rPr>
        <w:t>. Executive agrees: (i) that, as a condition to this Agreement Executive shall execute the Company’s customary Proprietary Information and Inventions Agreement on the Start Date, which includes non-disclosure, non-compete and/or non-solicitation agreements with the Company and applies to the Octave Group (the “</w:t>
      </w:r>
      <w:r>
        <w:rPr>
          <w:rFonts w:ascii="Times New Roman;serif" w:hAnsi="Times New Roman;serif"/>
          <w:b/>
          <w:i/>
          <w:color w:val="000000"/>
          <w:sz w:val="24"/>
        </w:rPr>
        <w:t>PIIA</w:t>
      </w:r>
      <w:r>
        <w:rPr>
          <w:color w:val="000000"/>
        </w:rPr>
        <w:t>”</w:t>
      </w:r>
      <w:r>
        <w:rPr>
          <w:rFonts w:ascii="Times New Roman;serif" w:hAnsi="Times New Roman;serif"/>
          <w:b w:val="false"/>
          <w:color w:val="000000"/>
          <w:sz w:val="24"/>
        </w:rPr>
        <w:t xml:space="preserve">); and (ii) the terms of such PIIA are incorporated herein by reference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color w:val="000000"/>
        </w:rPr>
        <w:t>    </w:t>
      </w:r>
      <w:r>
        <w:rPr>
          <w:rFonts w:ascii="Times New Roman;serif" w:hAnsi="Times New Roman;serif"/>
          <w:b/>
          <w:color w:val="000000"/>
          <w:sz w:val="24"/>
          <w:u w:val="single"/>
        </w:rPr>
        <w:t>EXPENSES; WITHHOLDING</w:t>
      </w:r>
      <w:r>
        <w:rPr>
          <w:rFonts w:ascii="Times New Roman;serif" w:hAnsi="Times New Roman;serif"/>
          <w:b w:val="false"/>
          <w:color w:val="000000"/>
          <w:sz w:val="24"/>
        </w:rPr>
        <w:t>. Executive shall be entitled to reimbursement for all reasonable and necessary out-of-pocket business, entertainment, and travel expenses incurred by Executive in connection with the performance of Executive's duties hereunder in accordance with the Company’s expense reimbursement policies and procedures. Further, the Company agrees to pay as incurred and within twenty (20) days after submission of supporting documentation, to the full extent permitted by law, all legal fees and expenses Executive may reasonably incur as a result of any contest by the Company, Executive or others of the validity or enforceability of, or liability under, any provision of this Agreement (including as a result of any contest by Executive about the amount of any payment pursuant to this Agreement) with respect to which Executive is successful on the merits, plus, in each case, interest on any delayed payment at the applicable Federal rate provided for in Section 7872(f)(2)(A) of the Code. The Company’s payment of any eligible expenses must be made no later than December 31 of the year after the year in which the expense was incurred.</w:t>
      </w:r>
      <w:r>
        <w:rPr>
          <w:color w:val="000000"/>
        </w:rPr>
        <w:t xml:space="preserve"> </w:t>
      </w:r>
      <w:r>
        <w:rPr>
          <w:rFonts w:ascii="Times New Roman;serif" w:hAnsi="Times New Roman;serif"/>
          <w:b w:val="false"/>
          <w:color w:val="000000"/>
          <w:sz w:val="24"/>
        </w:rPr>
        <w:t>All payments and benefits under this Agreement will be subject to withholding of applicable income and employment 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color w:val="000000"/>
        </w:rPr>
        <w:t>    </w:t>
      </w:r>
      <w:r>
        <w:rPr>
          <w:rFonts w:ascii="Times New Roman;serif" w:hAnsi="Times New Roman;serif"/>
          <w:b/>
          <w:color w:val="000000"/>
          <w:sz w:val="24"/>
          <w:u w:val="single"/>
        </w:rPr>
        <w:t>SPIN-OFF CONTINGENCY</w:t>
      </w:r>
      <w:r>
        <w:rPr>
          <w:rFonts w:ascii="Times New Roman;serif" w:hAnsi="Times New Roman;serif"/>
          <w:b w:val="false"/>
          <w:color w:val="000000"/>
          <w:sz w:val="24"/>
        </w:rPr>
        <w:t>. The parties acknowledge and agree that: (a) this Agreement is contingent upon the consummation of the Spin-off and will govern Executive’s employment upon such date; (b) if the Spin-off does not consummate for whatever reason then this Agreement shall be null, void, and of no force or effect; and (c) any employment-related agreements between Hexagon (or one or more of its subsidiaries as of the date hereof) and Executive shall continue in full force and effect unless and until the Spin-off is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color w:val="000000"/>
        </w:rPr>
        <w:t>    </w:t>
      </w:r>
      <w:r>
        <w:rPr>
          <w:rFonts w:ascii="Times New Roman;serif" w:hAnsi="Times New Roman;serif"/>
          <w:b/>
          <w:color w:val="000000"/>
          <w:sz w:val="24"/>
          <w:u w:val="single"/>
        </w:rPr>
        <w:t>FRACTIONAL SHARES</w:t>
      </w:r>
      <w:r>
        <w:rPr>
          <w:rFonts w:ascii="Times New Roman;serif" w:hAnsi="Times New Roman;serif"/>
          <w:b w:val="false"/>
          <w:color w:val="000000"/>
          <w:sz w:val="24"/>
        </w:rPr>
        <w:t>. Notwithstanding anything herein to the contrary, in the event that any calculation hereunder results in a fractional share of the Company’s equity, it will be rounded up to the nearest whole number.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color w:val="000000"/>
        </w:rPr>
        <w:t>    </w:t>
      </w:r>
      <w:r>
        <w:rPr>
          <w:rFonts w:ascii="Times New Roman;serif" w:hAnsi="Times New Roman;serif"/>
          <w:b/>
          <w:color w:val="000000"/>
          <w:sz w:val="24"/>
          <w:u w:val="single"/>
        </w:rPr>
        <w:t>JURISDICTION AND CHOICE OF FORUM</w:t>
      </w:r>
      <w:r>
        <w:rPr>
          <w:rFonts w:ascii="Times New Roman;serif" w:hAnsi="Times New Roman;serif"/>
          <w:b w:val="false"/>
          <w:color w:val="000000"/>
          <w:sz w:val="24"/>
        </w:rPr>
        <w:t>. The Company and Executive hereby irrevocably submit to the exclusive jurisdiction of any state or federal court located in the County of Madison, State of Alabama, over any controversy or claim between the Company and Executive arising out of, relating to or concerning this Agreement (including, without limitation, any claim regarding or related to the interpretation, scope, effect, enforcement, termination, breach, legality, remedies or other aspects of this Agreement, or the conduct and communications of the parties regarding the foregoing) or any aspect of Executive’s employment with the Company or the termination of that employment (together, an “</w:t>
      </w:r>
      <w:r>
        <w:rPr>
          <w:rFonts w:ascii="Times New Roman;serif" w:hAnsi="Times New Roman;serif"/>
          <w:b/>
          <w:i/>
          <w:color w:val="000000"/>
          <w:sz w:val="24"/>
        </w:rPr>
        <w:t>Employment Matter</w:t>
      </w:r>
      <w:r>
        <w:rPr>
          <w:color w:val="000000"/>
        </w:rPr>
        <w:t>”</w:t>
      </w:r>
      <w:r>
        <w:rPr>
          <w:rFonts w:ascii="Times New Roman;serif" w:hAnsi="Times New Roman;serif"/>
          <w:b w:val="false"/>
          <w:color w:val="000000"/>
          <w:sz w:val="24"/>
        </w:rPr>
        <w:t xml:space="preserve">). The Company and Executive (i) acknowledge that the forum designated by this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has a reasonable relation to this Agreement and to the relationship between Executive and the Company and that the submission to the forum will apply even if the forum chooses to apply non-forum law, (ii) hereby waive, to the fullest extent permitted by applicable law, any objection to personal jurisdiction or to the laying of venue of any suit, action or proceeding covered by this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in the forum stated in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 xml:space="preserve">, (iii) undertake not to commence any such suit, action or proceeding in any forum other than the forum described in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 and (iv) agree that, to the fullest extent permitted by applicable law, a final and non-appealable judgment in any such suit, action or proceeding in any such court will be conclusive and binding upon the Company and the Executive.</w:t>
      </w:r>
    </w:p>
    <w:p>
      <w:pPr>
        <w:pStyle w:val="TextBody"/>
        <w:bidi w:val="0"/>
        <w:spacing w:before="0" w:after="0"/>
        <w:jc w:val="righ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color w:val="000000"/>
        </w:rPr>
        <w:t>    </w:t>
      </w:r>
      <w:r>
        <w:rPr>
          <w:rFonts w:ascii="Times New Roman;serif" w:hAnsi="Times New Roman;serif"/>
          <w:b/>
          <w:color w:val="000000"/>
          <w:sz w:val="24"/>
          <w:u w:val="single"/>
        </w:rPr>
        <w:t>WAIVER OF JURY TRIAL</w:t>
      </w:r>
      <w:r>
        <w:rPr>
          <w:rFonts w:ascii="Times New Roman;serif" w:hAnsi="Times New Roman;serif"/>
          <w:b w:val="false"/>
          <w:color w:val="000000"/>
          <w:sz w:val="24"/>
        </w:rPr>
        <w:t>. TO THE EXTENT PERMITTED BY LAW, THE COMPANY AND EXECUTIVE WAIVE ANY AND ALL RIGHTS TO TRIAL BY JURY IN RESPECT OF ANY EMPLOYMENT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color w:val="000000"/>
        </w:rPr>
        <w:t>    </w:t>
      </w:r>
      <w:r>
        <w:rPr>
          <w:rFonts w:ascii="Times New Roman;serif" w:hAnsi="Times New Roman;serif"/>
          <w:b/>
          <w:color w:val="000000"/>
          <w:sz w:val="24"/>
          <w:u w:val="single"/>
        </w:rPr>
        <w:t>MISCELLANEOUS</w:t>
      </w:r>
      <w:r>
        <w:rPr>
          <w:rFonts w:ascii="Times New Roman;serif" w:hAnsi="Times New Roman;serif"/>
          <w:b w:val="false"/>
          <w:color w:val="000000"/>
          <w:sz w:val="24"/>
        </w:rPr>
        <w:t>. Notices and all other communications provided for in this Agreement shall be in writing and shall be delivered personally, sent by registered or certified mail, return receipt requested or by overnight carrier, or by electronic mail to (a) if to the Executive, at the address contained in the employment records of the Company, or (b) if to the Company, at the addresses set forth on the signature page hereto. This Agreement shall be binding on the successors and assigns of the Company and the Company will require any successor or acquirer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defined above and any successor to or acquirer of its business and/or assets that assumes and agrees to perform this Agreement. This Agreement shall inure to the benefit of and be enforceable by Executive’s personal representatives, executors, administrators, heirs, distributees, devisees and legatees. This Agreement may not be amended or modified otherwise than by a written agreement executed by the parties hereto or their respective successors and legal representatives. The parties hereby acknowledge valuable consideration hereof. If any one or more of the provisions of this Agreement is invalid, illegal or unenforceable in any respect, it will be ineffective only to the extent of such invalidity, illegality or unenforceability, and will not in any way affect or impair the validity, legality and enforceability of the balance of such provision or any other provision contained herein. This Agreement shall be construed and interpreted according to the laws of the State of Alabama, which is the location of the headquarters of the Octave Group.</w:t>
      </w:r>
      <w:r>
        <w:rPr>
          <w:color w:val="000000"/>
          <w:shd w:fill="FFFFFF" w:val="clear"/>
        </w:rPr>
        <w:t xml:space="preserve"> </w:t>
      </w:r>
      <w:r>
        <w:rPr>
          <w:rFonts w:ascii="Times New Roman;serif" w:hAnsi="Times New Roman;serif"/>
          <w:b w:val="false"/>
          <w:color w:val="000000"/>
          <w:sz w:val="24"/>
          <w:shd w:fill="FFFFFF" w:val="clear"/>
        </w:rPr>
        <w:t xml:space="preserve">Upon termination of this Agreement, the respective rights and obligations of the parties hereto shall survive such expiration or other termination to the extent necessary to carry out the intentions of the parties under this Agreement. </w:t>
      </w:r>
      <w:r>
        <w:rPr>
          <w:rFonts w:ascii="Times New Roman;serif" w:hAnsi="Times New Roman;serif"/>
          <w:b w:val="false"/>
          <w:color w:val="000000"/>
          <w:sz w:val="24"/>
        </w:rPr>
        <w:t>This Agreement may be executed in counterparts, and each counterpart will have the same force and effect as an original and will constitute an effective, binding agreement on the part of each of the undersigned.</w:t>
      </w:r>
    </w:p>
    <w:p>
      <w:pPr>
        <w:pStyle w:val="TextBody"/>
        <w:bidi w:val="0"/>
        <w:spacing w:lineRule="auto" w:line="288" w:before="0" w:after="276"/>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executed this Agreement as of the date hereof.</w:t>
      </w:r>
    </w:p>
    <w:tbl>
      <w:tblPr>
        <w:tblW w:w="6271" w:type="dxa"/>
        <w:jc w:val="left"/>
        <w:tblInd w:w="0" w:type="dxa"/>
        <w:tblLayout w:type="fixed"/>
        <w:tblCellMar>
          <w:top w:w="28" w:type="dxa"/>
          <w:left w:w="28" w:type="dxa"/>
          <w:bottom w:w="28" w:type="dxa"/>
          <w:right w:w="28" w:type="dxa"/>
        </w:tblCellMar>
      </w:tblPr>
      <w:tblGrid>
        <w:gridCol w:w="124"/>
        <w:gridCol w:w="109"/>
        <w:gridCol w:w="109"/>
        <w:gridCol w:w="343"/>
        <w:gridCol w:w="343"/>
        <w:gridCol w:w="343"/>
        <w:gridCol w:w="343"/>
        <w:gridCol w:w="343"/>
        <w:gridCol w:w="343"/>
        <w:gridCol w:w="471"/>
        <w:gridCol w:w="471"/>
        <w:gridCol w:w="484"/>
        <w:gridCol w:w="319"/>
        <w:gridCol w:w="319"/>
        <w:gridCol w:w="319"/>
        <w:gridCol w:w="232"/>
        <w:gridCol w:w="232"/>
        <w:gridCol w:w="232"/>
        <w:gridCol w:w="232"/>
        <w:gridCol w:w="232"/>
        <w:gridCol w:w="3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u w:val="single"/>
              </w:rPr>
              <w:t>COMPANY</w:t>
            </w:r>
            <w:r>
              <w:rPr>
                <w:rFonts w:ascii="Times New Roman;serif" w:hAnsi="Times New Roman;serif"/>
                <w:b/>
                <w:color w:val="000000"/>
                <w:sz w:val="24"/>
              </w:rPr>
              <w:t>:</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INTERGRAPH CORPORATION D/B/A OCTAVE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1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1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41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c>
          <w:tcPr>
            <w:tcW w:w="2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305 Intergraph Way</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Madison, AL 35758</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Attn: Human Resources</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w:t>
            </w:r>
          </w:p>
        </w:tc>
        <w:tc>
          <w:tcPr>
            <w:tcW w:w="16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u w:val="single"/>
              </w:rPr>
              <w:t>EXECUTIVE</w:t>
            </w:r>
            <w:r>
              <w:rPr>
                <w:rFonts w:ascii="Times New Roman;serif" w:hAnsi="Times New Roman;serif"/>
                <w:b/>
                <w:color w:val="000000"/>
                <w:sz w:val="24"/>
              </w:rPr>
              <w:t>:</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240"/>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tbl>
      <w:tblPr>
        <w:tblW w:w="3821" w:type="dxa"/>
        <w:jc w:val="left"/>
        <w:tblInd w:w="0" w:type="dxa"/>
        <w:tblLayout w:type="fixed"/>
        <w:tblCellMar>
          <w:top w:w="28" w:type="dxa"/>
          <w:left w:w="28" w:type="dxa"/>
          <w:bottom w:w="28" w:type="dxa"/>
          <w:right w:w="28" w:type="dxa"/>
        </w:tblCellMar>
      </w:tblPr>
      <w:tblGrid>
        <w:gridCol w:w="555"/>
        <w:gridCol w:w="486"/>
        <w:gridCol w:w="486"/>
        <w:gridCol w:w="486"/>
        <w:gridCol w:w="486"/>
        <w:gridCol w:w="497"/>
        <w:gridCol w:w="151"/>
        <w:gridCol w:w="151"/>
        <w:gridCol w:w="151"/>
        <w:gridCol w:w="109"/>
        <w:gridCol w:w="109"/>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6" w:type="dxa"/>
            <w:gridSpan w:val="6"/>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OCTAVE TOPCO</w:t>
            </w:r>
            <w:r>
              <w:rPr>
                <w:rFonts w:ascii="Times New Roman;serif" w:hAnsi="Times New Roman;serif"/>
                <w:b/>
                <w:color w:val="000000"/>
                <w:sz w:val="24"/>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OCTAVE INTELLIGENCE PLC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92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10.8</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Executive Employment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Executive Employment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EXECUTIVE 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EXECUTIVE EMPLOYMENT AGREEMENT</w:t>
      </w:r>
      <w:r>
        <w:rPr>
          <w:color w:val="000000"/>
        </w:rPr>
        <w:t xml:space="preserve"> </w:t>
      </w:r>
      <w:r>
        <w:rPr>
          <w:rFonts w:ascii="Times New Roman;serif" w:hAnsi="Times New Roman;serif"/>
          <w:b w:val="false"/>
          <w:color w:val="000000"/>
          <w:sz w:val="24"/>
        </w:rPr>
        <w:t>(this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as of March 22, 2026, by and between</w:t>
      </w:r>
      <w:r>
        <w:rPr>
          <w:color w:val="000000"/>
        </w:rPr>
        <w:t xml:space="preserve"> </w:t>
      </w:r>
      <w:r>
        <w:rPr>
          <w:rFonts w:ascii="Times New Roman;serif" w:hAnsi="Times New Roman;serif"/>
          <w:b/>
          <w:color w:val="000000"/>
          <w:sz w:val="24"/>
        </w:rPr>
        <w:t>MATTIAS STENBERG</w:t>
      </w:r>
      <w:r>
        <w:rPr>
          <w:rFonts w:ascii="Times New Roman;serif" w:hAnsi="Times New Roman;serif"/>
          <w:b w:val="false"/>
          <w:color w:val="000000"/>
          <w:sz w:val="24"/>
        </w:rPr>
        <w:t>, an individual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INTERGRAPH CORPORATION D/B/A OCTAVE</w:t>
      </w:r>
      <w:r>
        <w:rPr>
          <w:rFonts w:ascii="Times New Roman;serif" w:hAnsi="Times New Roman;serif"/>
          <w:b w:val="false"/>
          <w:color w:val="000000"/>
          <w:sz w:val="24"/>
        </w:rPr>
        <w:t>,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Hexagon AB, a public Swedish company (“</w:t>
      </w:r>
      <w:r>
        <w:rPr>
          <w:rFonts w:ascii="Times New Roman;serif" w:hAnsi="Times New Roman;serif"/>
          <w:b/>
          <w:i/>
          <w:color w:val="000000"/>
          <w:sz w:val="24"/>
        </w:rPr>
        <w:t>Hexagon</w:t>
      </w:r>
      <w:r>
        <w:rPr>
          <w:color w:val="000000"/>
        </w:rPr>
        <w:t>”</w:t>
      </w:r>
      <w:r>
        <w:rPr>
          <w:rFonts w:ascii="Times New Roman;serif" w:hAnsi="Times New Roman;serif"/>
          <w:b w:val="false"/>
          <w:color w:val="000000"/>
          <w:sz w:val="24"/>
        </w:rPr>
        <w:t>), intends to spin-off its Asset Lifecycle Intelligence, Safety, Infrastructure &amp; Geospatial divisions, along with its “ETQ”, “Projectmates”, and “Bricsys” business units and publicly list such collective business (such transaction being, the “</w:t>
      </w:r>
      <w:r>
        <w:rPr>
          <w:rFonts w:ascii="Times New Roman;serif" w:hAnsi="Times New Roman;serif"/>
          <w:b/>
          <w:i/>
          <w:color w:val="000000"/>
          <w:sz w:val="24"/>
        </w:rPr>
        <w:t>Spin-off</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new collective business resulting from the Spin-off (“</w:t>
      </w:r>
      <w:r>
        <w:rPr>
          <w:rFonts w:ascii="Times New Roman;serif" w:hAnsi="Times New Roman;serif"/>
          <w:b/>
          <w:i/>
          <w:color w:val="000000"/>
          <w:sz w:val="24"/>
        </w:rPr>
        <w:t>Octave</w:t>
      </w:r>
      <w:r>
        <w:rPr>
          <w:color w:val="000000"/>
        </w:rPr>
        <w:t>”</w:t>
      </w:r>
      <w:r>
        <w:rPr>
          <w:rFonts w:ascii="Times New Roman;serif" w:hAnsi="Times New Roman;serif"/>
          <w:b w:val="false"/>
          <w:color w:val="000000"/>
          <w:sz w:val="24"/>
        </w:rPr>
        <w:t>) will operate as Octave</w:t>
      </w:r>
      <w:r>
        <w:rPr>
          <w:rFonts w:ascii="Times New Roman;serif" w:hAnsi="Times New Roman;serif"/>
          <w:b/>
          <w:color w:val="000000"/>
          <w:sz w:val="16"/>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is currently a subsidiary of Hexagon and will form part of the Spin-off, such that the Company will be a part of the group of companies (the “</w:t>
      </w:r>
      <w:r>
        <w:rPr>
          <w:rFonts w:ascii="Times New Roman;serif" w:hAnsi="Times New Roman;serif"/>
          <w:b/>
          <w:i/>
          <w:color w:val="000000"/>
          <w:sz w:val="24"/>
        </w:rPr>
        <w:t>Octave Group</w:t>
      </w:r>
      <w:r>
        <w:rPr>
          <w:color w:val="000000"/>
        </w:rPr>
        <w:t>”</w:t>
      </w:r>
      <w:r>
        <w:rPr>
          <w:rFonts w:ascii="Times New Roman;serif" w:hAnsi="Times New Roman;serif"/>
          <w:b w:val="false"/>
          <w:color w:val="000000"/>
          <w:sz w:val="24"/>
        </w:rPr>
        <w:t>) ultimately owned by Octave Intelligence plc, an Irish public limited company (“</w:t>
      </w:r>
      <w:r>
        <w:rPr>
          <w:rFonts w:ascii="Times New Roman;serif" w:hAnsi="Times New Roman;serif"/>
          <w:b/>
          <w:i/>
          <w:color w:val="000000"/>
          <w:sz w:val="24"/>
        </w:rPr>
        <w:t>Octave TopCo</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TopCo</w:t>
      </w:r>
      <w:r>
        <w:rPr>
          <w:color w:val="000000"/>
        </w:rPr>
        <w:t>”</w:t>
      </w:r>
      <w:r>
        <w:rPr>
          <w:rFonts w:ascii="Times New Roman;serif" w:hAnsi="Times New Roman;serif"/>
          <w:b w:val="false"/>
          <w:color w:val="000000"/>
          <w:sz w:val="24"/>
        </w:rPr>
        <w:t>), and in connection with the Spin-off, Hexagon will distribute all of the issued and outstanding shares of TopCo to its shareholders, resulting in TopCo becoming a publicly-listed company;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subject to and contingent upon the consummation of the Spin-off, Executive and the Company desire to memorialize herein the mutual terms and conditions of Executive’s employment with Octave.</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of the covenants and agreements contained herein, the parties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u w:val="single"/>
        </w:rPr>
        <w:t>EMPLOYMENT</w:t>
      </w:r>
      <w:r>
        <w:rPr>
          <w:rFonts w:ascii="Times New Roman;serif" w:hAnsi="Times New Roman;serif"/>
          <w:b w:val="false"/>
          <w:color w:val="000000"/>
          <w:sz w:val="24"/>
        </w:rPr>
        <w:t>. As of the date of consummation of the Spin-off (the “</w:t>
      </w:r>
      <w:r>
        <w:rPr>
          <w:rFonts w:ascii="Times New Roman;serif" w:hAnsi="Times New Roman;serif"/>
          <w:b/>
          <w:i/>
          <w:color w:val="000000"/>
          <w:sz w:val="24"/>
        </w:rPr>
        <w:t>Start Date</w:t>
      </w:r>
      <w:r>
        <w:rPr>
          <w:color w:val="000000"/>
        </w:rPr>
        <w:t>”</w:t>
      </w:r>
      <w:r>
        <w:rPr>
          <w:rFonts w:ascii="Times New Roman;serif" w:hAnsi="Times New Roman;serif"/>
          <w:b w:val="false"/>
          <w:color w:val="000000"/>
          <w:sz w:val="24"/>
        </w:rPr>
        <w:t>), Executive will serve, and the Company will employ Executive as the President and Chief Executive Officer of TopCo reporting to the Board of Directors of TopCo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Executive will perform such duties normally associated with such position and such other duties as the Board may, from time to time, reasonably assign to Executive. Executive agrees that Executive will serve the Company diligently and to the best of Executive’s ability, that Executive will devote all of Executive’s business time, energy and skills to the business and affairs of the Company. Without the consent of the Board</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will not serve on the board of directors, trustees or any similar governing body of any outside entity. Executive will be based out of the Company’s offices located in Madison, Alabama (the “</w:t>
      </w:r>
      <w:r>
        <w:rPr>
          <w:rFonts w:ascii="Times New Roman;serif" w:hAnsi="Times New Roman;serif"/>
          <w:b/>
          <w:i/>
          <w:color w:val="000000"/>
          <w:sz w:val="24"/>
        </w:rPr>
        <w:t>Primary Work Location</w:t>
      </w:r>
      <w:r>
        <w:rPr>
          <w:color w:val="000000"/>
        </w:rPr>
        <w:t>”</w:t>
      </w:r>
      <w:r>
        <w:rPr>
          <w:rFonts w:ascii="Times New Roman;serif" w:hAnsi="Times New Roman;serif"/>
          <w:b w:val="false"/>
          <w:color w:val="000000"/>
          <w:sz w:val="24"/>
        </w:rPr>
        <w:t>), but Executive may also work remotely and will be expected to travel from time-to-time. Executive agrees to abide by all policies of the Octave Group, including, without limitation, the Corporate Governance Guidelines, Code of Business Conduct and Ethics, Insider Trading Policy, and Employee Handbook.</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5"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u w:val="single"/>
        </w:rPr>
        <w:t>COMPENSATION</w:t>
      </w:r>
      <w:r>
        <w:rPr>
          <w:rFonts w:ascii="Times New Roman;serif" w:hAnsi="Times New Roman;serif"/>
          <w:b w:val="false"/>
          <w:color w:val="000000"/>
          <w:sz w:val="24"/>
        </w:rPr>
        <w:t xml:space="preserve">. As compensation for services provided and duties performed, Executive will receive the following: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Base Salary</w:t>
      </w:r>
      <w:r>
        <w:rPr>
          <w:rFonts w:ascii="Times New Roman;serif" w:hAnsi="Times New Roman;serif"/>
          <w:b w:val="false"/>
          <w:color w:val="000000"/>
          <w:sz w:val="24"/>
        </w:rPr>
        <w:t>. Executive will receive an annual base salary of $850,000 (“</w:t>
      </w:r>
      <w:r>
        <w:rPr>
          <w:rFonts w:ascii="Times New Roman;serif" w:hAnsi="Times New Roman;serif"/>
          <w:b/>
          <w:i/>
          <w:color w:val="000000"/>
          <w:sz w:val="24"/>
        </w:rPr>
        <w:t>Base Salary</w:t>
      </w:r>
      <w:r>
        <w:rPr>
          <w:color w:val="000000"/>
        </w:rPr>
        <w:t>”</w:t>
      </w:r>
      <w:r>
        <w:rPr>
          <w:rFonts w:ascii="Times New Roman;serif" w:hAnsi="Times New Roman;serif"/>
          <w:b w:val="false"/>
          <w:color w:val="000000"/>
          <w:sz w:val="24"/>
        </w:rPr>
        <w:t>), payable by the Company in accordance with its normal payroll practices. If Executive’s Base Salary is increased by the Company, such increased Base Salary will then constitute the Base Salary for all purposes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Annual Incentive Bonus</w:t>
      </w:r>
      <w:r>
        <w:rPr>
          <w:rFonts w:ascii="Times New Roman;serif" w:hAnsi="Times New Roman;serif"/>
          <w:b w:val="false"/>
          <w:color w:val="000000"/>
          <w:sz w:val="24"/>
        </w:rPr>
        <w:t>. Executive will be eligible for an annual target incentive bonus opportunity (“</w:t>
      </w:r>
      <w:r>
        <w:rPr>
          <w:rFonts w:ascii="Times New Roman;serif" w:hAnsi="Times New Roman;serif"/>
          <w:b/>
          <w:i/>
          <w:color w:val="000000"/>
          <w:sz w:val="24"/>
        </w:rPr>
        <w:t>Annual Bonus</w:t>
      </w:r>
      <w:r>
        <w:rPr>
          <w:color w:val="000000"/>
        </w:rPr>
        <w:t>”</w:t>
      </w:r>
      <w:r>
        <w:rPr>
          <w:rFonts w:ascii="Times New Roman;serif" w:hAnsi="Times New Roman;serif"/>
          <w:b w:val="false"/>
          <w:color w:val="000000"/>
          <w:sz w:val="24"/>
        </w:rPr>
        <w:t>) in accordance with the terms of the Octave Group management annual bonus plan (the “</w:t>
      </w:r>
      <w:r>
        <w:rPr>
          <w:rFonts w:ascii="Times New Roman;serif" w:hAnsi="Times New Roman;serif"/>
          <w:b/>
          <w:i/>
          <w:color w:val="000000"/>
          <w:sz w:val="24"/>
        </w:rPr>
        <w:t>Bonus Plan</w:t>
      </w:r>
      <w:r>
        <w:rPr>
          <w:color w:val="000000"/>
        </w:rPr>
        <w:t>”</w:t>
      </w:r>
      <w:r>
        <w:rPr>
          <w:rFonts w:ascii="Times New Roman;serif" w:hAnsi="Times New Roman;serif"/>
          <w:b w:val="false"/>
          <w:color w:val="000000"/>
          <w:sz w:val="24"/>
        </w:rPr>
        <w:t>) applicable to members of the Octave Group executive leadership team (the “</w:t>
      </w:r>
      <w:r>
        <w:rPr>
          <w:rFonts w:ascii="Times New Roman;serif" w:hAnsi="Times New Roman;serif"/>
          <w:b/>
          <w:i/>
          <w:color w:val="000000"/>
          <w:sz w:val="24"/>
        </w:rPr>
        <w:t>Leadership Team</w:t>
      </w:r>
      <w:r>
        <w:rPr>
          <w:color w:val="000000"/>
        </w:rPr>
        <w:t>”</w:t>
      </w:r>
      <w:r>
        <w:rPr>
          <w:rFonts w:ascii="Times New Roman;serif" w:hAnsi="Times New Roman;serif"/>
          <w:b w:val="false"/>
          <w:color w:val="000000"/>
          <w:sz w:val="24"/>
        </w:rPr>
        <w:t>), which, for the initial year, such target opportunity will be 100% of Base Salary, and for subsequent years, the target will be communicated to Executive annually. The actual amount of Executive’s Annual Bonus, if any, will be determined by the Board or the Compensation Committee of the Board (the “</w:t>
      </w:r>
      <w:r>
        <w:rPr>
          <w:rFonts w:ascii="Times New Roman;serif" w:hAnsi="Times New Roman;serif"/>
          <w:b/>
          <w:i/>
          <w:color w:val="000000"/>
          <w:sz w:val="24"/>
        </w:rPr>
        <w:t>Compensation Committee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and paid in accordance with the Company’s normal procedures.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Long-Term Stock Incentive Awards</w:t>
      </w:r>
      <w:r>
        <w:rPr>
          <w:rFonts w:ascii="Times New Roman;serif" w:hAnsi="Times New Roman;serif"/>
          <w:b w:val="false"/>
          <w:color w:val="000000"/>
          <w:sz w:val="24"/>
        </w:rPr>
        <w:t>. Executive will be eligible to participate in the Octave Group’s annual long-term incentive equity program as in effect from time to time (the “</w:t>
      </w:r>
      <w:r>
        <w:rPr>
          <w:rFonts w:ascii="Times New Roman;serif" w:hAnsi="Times New Roman;serif"/>
          <w:b/>
          <w:i/>
          <w:color w:val="000000"/>
          <w:sz w:val="24"/>
        </w:rPr>
        <w:t>LTSI Program</w:t>
      </w:r>
      <w:r>
        <w:rPr>
          <w:color w:val="000000"/>
        </w:rPr>
        <w:t>”</w:t>
      </w:r>
      <w:r>
        <w:rPr>
          <w:rFonts w:ascii="Times New Roman;serif" w:hAnsi="Times New Roman;serif"/>
          <w:b w:val="false"/>
          <w:color w:val="000000"/>
          <w:sz w:val="24"/>
        </w:rPr>
        <w:t xml:space="preserve">) in a manner consistent with other members of the Leadership Team, all as determined by the Board or the Compensation Committee and expressed in the applicable award agreement. It is expected that Executive will receive an initial long-term incentive equity award with a target grant date value of $8,750,000, when other initial long-term incentive equity awards are granted to other members of the Leadership Team. Except for the Hexagon Replacement Awards (as defined below), such initial long-term incentive equity award shall be Executive’s sole and total equity award for the year of the Spin-off and shall be subject to the terms and conditions of the LTSI Program, including any required approvals related thereto and applicable vesting conditions.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Executive shall be entitled to participate in all employee benefit plans and programs maintained by the Company as are made available to other senior executives of the Company from time to time (collectively, “</w:t>
      </w:r>
      <w:r>
        <w:rPr>
          <w:rFonts w:ascii="Times New Roman;serif" w:hAnsi="Times New Roman;serif"/>
          <w:b/>
          <w:i/>
          <w:color w:val="000000"/>
          <w:sz w:val="24"/>
        </w:rPr>
        <w:t>Employee Benefit Plans</w:t>
      </w:r>
      <w:r>
        <w:rPr>
          <w:color w:val="000000"/>
        </w:rPr>
        <w:t>”</w:t>
      </w:r>
      <w:r>
        <w:rPr>
          <w:rFonts w:ascii="Times New Roman;serif" w:hAnsi="Times New Roman;serif"/>
          <w:b w:val="false"/>
          <w:color w:val="000000"/>
          <w:sz w:val="24"/>
        </w:rPr>
        <w:t>)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color w:val="000000"/>
          <w:sz w:val="24"/>
          <w:u w:val="single"/>
        </w:rPr>
        <w:t>TERM; TERMINATION</w:t>
      </w:r>
      <w:r>
        <w:rPr>
          <w:rFonts w:ascii="Times New Roman;serif" w:hAnsi="Times New Roman;serif"/>
          <w:b w:val="false"/>
          <w:color w:val="000000"/>
          <w:sz w:val="24"/>
        </w:rPr>
        <w:t xml:space="preserve">. Executive’s employment with the Company shall be continuous until terminated and shall be “at-will” and may be terminated hereunder by Executive or the Company, at any time and for any reason, or no reason, subject to the provisions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Death</w:t>
      </w:r>
      <w:r>
        <w:rPr>
          <w:rFonts w:ascii="Times New Roman;serif" w:hAnsi="Times New Roman;serif"/>
          <w:b w:val="false"/>
          <w:color w:val="000000"/>
          <w:sz w:val="24"/>
        </w:rPr>
        <w:t>. Executive’s employment hereunder shall terminate upon Executive’s death.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Disability</w:t>
      </w:r>
      <w:r>
        <w:rPr>
          <w:rFonts w:ascii="Times New Roman;serif" w:hAnsi="Times New Roman;serif"/>
          <w:b w:val="false"/>
          <w:color w:val="000000"/>
          <w:sz w:val="24"/>
        </w:rPr>
        <w:t xml:space="preserve">. The Company may terminate Executive’s employment if Executive has been unable to perform the essential functions of Executive’s then-existing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6"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position or positions under this Agreement with or without reasonable accommodation for a period of 180 days (which need not be consecutive) in any 12-month period as a result of physical or mental incapacity or illness (“</w:t>
      </w:r>
      <w:r>
        <w:rPr>
          <w:rFonts w:ascii="Times New Roman;serif" w:hAnsi="Times New Roman;serif"/>
          <w:b/>
          <w:i/>
          <w:color w:val="000000"/>
          <w:sz w:val="24"/>
        </w:rPr>
        <w:t>disabled</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disability</w:t>
      </w:r>
      <w:r>
        <w:rPr>
          <w:color w:val="000000"/>
        </w:rPr>
        <w:t>”</w:t>
      </w:r>
      <w:r>
        <w:rPr>
          <w:rFonts w:ascii="Times New Roman;serif" w:hAnsi="Times New Roman;serif"/>
          <w:b w:val="false"/>
          <w:color w:val="000000"/>
          <w:sz w:val="24"/>
        </w:rPr>
        <w:t xml:space="preserve">). If any question shall arise as to whether during any period Executive is disabled so as to be unable to perform the essential functions of Executive’s then-existing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or was so disabled, and such certification shall for the purposes of this Agreement be conclusive of the issue. Executive shall cooperate with any reasonable request of the physician in connection with such certification. Nothing in this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shall be construed to waive Executive’s rights, if any, under existing law including, without limitation, the Family and Medical Leave Act of 1993, 29 U.S.C. § 2601 </w:t>
      </w:r>
      <w:r>
        <w:rPr>
          <w:rFonts w:ascii="Times New Roman;serif" w:hAnsi="Times New Roman;serif"/>
          <w:b w:val="false"/>
          <w:i/>
          <w:color w:val="000000"/>
          <w:sz w:val="24"/>
        </w:rPr>
        <w:t>et seq</w:t>
      </w:r>
      <w:r>
        <w:rPr>
          <w:rFonts w:ascii="Times New Roman;serif" w:hAnsi="Times New Roman;serif"/>
          <w:b w:val="false"/>
          <w:color w:val="000000"/>
          <w:sz w:val="24"/>
        </w:rPr>
        <w:t>. and the Americans with Disabilities Act, 42 U.S.C. § 12101 </w:t>
      </w:r>
      <w:r>
        <w:rPr>
          <w:rFonts w:ascii="Times New Roman;serif" w:hAnsi="Times New Roman;serif"/>
          <w:b w:val="false"/>
          <w:i/>
          <w:color w:val="000000"/>
          <w:sz w:val="24"/>
        </w:rPr>
        <w:t>et seq.</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Executive’s employment hereunder may be terminated by the Company for Cause. For purposes of this Agreement, “</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shall mean: (i) Executive’s willful and continued failure to substantially perform Executive’s duties to the Company (other than any such failure resulting from Executive’s incapacity due to death or disability),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has delivered a written demand for performance to Executive specifically identifying the manner in which the Company believes that Executive has not substantially performed Executive’s duties and Executive does not materially cure such failure within 45 days after such demand; (ii) willful conduct by Executive which is demonstrably and materially injurious to the Octave Group; (iii) Executive’s conviction of, or pleading of guilty or nolo contendere to, a felony; or (iv) Executive’s material and confirmed violation of the Code of Business Conduct and Ethics or other applicable written policy of the Octave Group regarding harassment or unlawful discrimination. For purposes of this definition, no act or failure to act on Executive’s part shall be deemed “willful” unless done or omitted to be done by Executive in bad faith and without reasonable belief that Executive’s action or omission was in the best interests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xml:space="preserve">. The Company may terminate Executive’s employment hereunder at any time without Cause upon 90 days prior written notice to Executive,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may satisfy all or a portion of the notice period by providing Executive with Executive’s Base Salary during such period in lieu of such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Termination by Executive</w:t>
      </w:r>
      <w:r>
        <w:rPr>
          <w:rFonts w:ascii="Times New Roman;serif" w:hAnsi="Times New Roman;serif"/>
          <w:b w:val="false"/>
          <w:color w:val="000000"/>
          <w:sz w:val="24"/>
        </w:rPr>
        <w:t>. Executive may terminate Executive’s employment hereunder at any time for any reason, including but not limited to Good Reason. For purposes of this Agreement, “</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shall mean the occurrence of any of the following conditions without Executive’s prior written consent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solely with respect to clauses (ii) through (v) below, Executive has given the Company notice of its occurrence within 90 days after the occurrence, the Company fails to remedy the condition within 30-days following such notice (the “</w:t>
      </w:r>
      <w:r>
        <w:rPr>
          <w:rFonts w:ascii="Times New Roman;serif" w:hAnsi="Times New Roman;serif"/>
          <w:b/>
          <w:i/>
          <w:color w:val="000000"/>
          <w:sz w:val="24"/>
        </w:rPr>
        <w:t>Cure Period</w:t>
      </w:r>
      <w:r>
        <w:rPr>
          <w:color w:val="000000"/>
        </w:rPr>
        <w:t>”</w:t>
      </w:r>
      <w:r>
        <w:rPr>
          <w:rFonts w:ascii="Times New Roman;serif" w:hAnsi="Times New Roman;serif"/>
          <w:b w:val="false"/>
          <w:color w:val="000000"/>
          <w:sz w:val="24"/>
        </w:rPr>
        <w:t xml:space="preserve">), and Executive terminates Executive’s employment within 60-days after the end of the Cure Period: (i) a material diminution of Executive’s duties, responsibilities or authority; (ii) a reduction of Executive’s then-existing Base Salary rate or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7"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target Annual Bonus opportunity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reduction or other action that is consistent with similar actions taken with respect to base salary or target annual bonus opportunity of the other similarly-situated employees of the Company generally shall not constitute Good Reason for purposes of this clause (ii) or clause (iv) below); (iii) a material change in the Primary Work Location; (iv) a material breach of this Agreement by the Company; or (v) a material adverse change in Executive’s reporting relationship. Executive shall not be considered to have terminated Executive’s employment for Good Reason if (x)</w:t>
      </w:r>
      <w:r>
        <w:rPr>
          <w:color w:val="000000"/>
        </w:rPr>
        <w:t> </w:t>
      </w:r>
      <w:r>
        <w:rPr>
          <w:rFonts w:ascii="Times New Roman;serif" w:hAnsi="Times New Roman;serif"/>
          <w:b w:val="false"/>
          <w:color w:val="000000"/>
          <w:sz w:val="24"/>
        </w:rPr>
        <w:t>Cause exists (or continues to exist) at the time of either such Good Reason condition or such termination of Executive’s employment (“</w:t>
      </w:r>
      <w:r>
        <w:rPr>
          <w:rFonts w:ascii="Times New Roman;serif" w:hAnsi="Times New Roman;serif"/>
          <w:b/>
          <w:i/>
          <w:color w:val="000000"/>
          <w:sz w:val="24"/>
        </w:rPr>
        <w:t>Cause Condition Existence</w:t>
      </w:r>
      <w:r>
        <w:rPr>
          <w:color w:val="000000"/>
        </w:rPr>
        <w:t>”</w:t>
      </w:r>
      <w:r>
        <w:rPr>
          <w:rFonts w:ascii="Times New Roman;serif" w:hAnsi="Times New Roman;serif"/>
          <w:b w:val="false"/>
          <w:color w:val="000000"/>
          <w:sz w:val="24"/>
        </w:rPr>
        <w:t>), and (y)</w:t>
      </w:r>
      <w:r>
        <w:rPr>
          <w:color w:val="000000"/>
        </w:rPr>
        <w:t> </w:t>
      </w:r>
      <w:r>
        <w:rPr>
          <w:rFonts w:ascii="Times New Roman;serif" w:hAnsi="Times New Roman;serif"/>
          <w:b w:val="false"/>
          <w:color w:val="000000"/>
          <w:sz w:val="24"/>
        </w:rPr>
        <w:t>the Company has notified Executive of the Cause Condition Existence by the time of such termination of Executive’s employment. For the avoidance of doubt, Executive will be deemed to have experienced a material diminution of Executive’s duties, responsibilities or authority if, after a Change in Control (as defined below), Executive is no longer Chief Executive Officer of a public company or the most senior member of management in the Company’s controlled group.</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Notice of Termination</w:t>
      </w:r>
      <w:r>
        <w:rPr>
          <w:rFonts w:ascii="Times New Roman;serif" w:hAnsi="Times New Roman;serif"/>
          <w:b w:val="false"/>
          <w:color w:val="000000"/>
          <w:sz w:val="24"/>
        </w:rPr>
        <w:t xml:space="preserve">. Except for termination as specified in </w:t>
      </w:r>
      <w:r>
        <w:rPr>
          <w:rFonts w:ascii="Times New Roman;serif" w:hAnsi="Times New Roman;serif"/>
          <w:b w:val="false"/>
          <w:color w:val="000000"/>
          <w:sz w:val="24"/>
          <w:u w:val="single"/>
        </w:rPr>
        <w:t>Section 3(a)</w:t>
      </w:r>
      <w:r>
        <w:rPr>
          <w:rFonts w:ascii="Times New Roman;serif" w:hAnsi="Times New Roman;serif"/>
          <w:b w:val="false"/>
          <w:color w:val="000000"/>
          <w:sz w:val="24"/>
        </w:rPr>
        <w:t>, any termination of Executive’s employment by the Company or any such termination by Executive shall be communicated by written Notice of Termination to the other party hereto. For purposes of this Agreement, a “</w:t>
      </w:r>
      <w:r>
        <w:rPr>
          <w:rFonts w:ascii="Times New Roman;serif" w:hAnsi="Times New Roman;serif"/>
          <w:b/>
          <w:i/>
          <w:color w:val="000000"/>
          <w:sz w:val="24"/>
        </w:rPr>
        <w:t>Notice of Termination</w:t>
      </w:r>
      <w:r>
        <w:rPr>
          <w:color w:val="000000"/>
        </w:rPr>
        <w:t xml:space="preserve">” </w:t>
      </w:r>
      <w:r>
        <w:rPr>
          <w:rFonts w:ascii="Times New Roman;serif" w:hAnsi="Times New Roman;serif"/>
          <w:b w:val="false"/>
          <w:color w:val="000000"/>
          <w:sz w:val="24"/>
        </w:rPr>
        <w:t>shall mean a notice which shall indicate the specific termination provision in this Agreement relied upon.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Termination Date</w:t>
      </w:r>
      <w:r>
        <w:rPr>
          <w:rFonts w:ascii="Times New Roman;serif" w:hAnsi="Times New Roman;serif"/>
          <w:b w:val="false"/>
          <w:color w:val="000000"/>
          <w:sz w:val="24"/>
        </w:rPr>
        <w:t>. “</w:t>
      </w:r>
      <w:r>
        <w:rPr>
          <w:rFonts w:ascii="Times New Roman;serif" w:hAnsi="Times New Roman;serif"/>
          <w:b/>
          <w:i/>
          <w:color w:val="000000"/>
          <w:sz w:val="24"/>
        </w:rPr>
        <w:t>Termination Date</w:t>
      </w:r>
      <w:r>
        <w:rPr>
          <w:color w:val="000000"/>
        </w:rPr>
        <w:t xml:space="preserve">” </w:t>
      </w:r>
      <w:r>
        <w:rPr>
          <w:rFonts w:ascii="Times New Roman;serif" w:hAnsi="Times New Roman;serif"/>
          <w:b w:val="false"/>
          <w:color w:val="000000"/>
          <w:sz w:val="24"/>
        </w:rPr>
        <w:t xml:space="preserve">shall mean: (i) if Executive’s employment is terminated by Executive’s death, the date of Executive’s death; (ii) if Executive’s employment is terminated on account of disability under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or by the Company for Cause under </w:t>
      </w: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the date on which a Notice of Termination is received by Executive; (iii) if Executive’s employment is terminated by the Company under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the date that is 90 days after the date on which a Notice of Termination is received by Executive (or such earlier date specified in the Notice of Termination if the Company is providing payment in lieu of notice in accordance with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(iv) if Executive’s employment is terminated by Executive under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 xml:space="preserve">without Good Reason, the date that is 30 days after the date on which a Notice of Termination is given to the Company; and (v) if Executive’s employment is terminated by Executive under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with Good Reason, the date on which a Notice of Termination is given within 60 days after the end of the Cure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color w:val="000000"/>
          <w:sz w:val="24"/>
          <w:u w:val="single"/>
        </w:rPr>
        <w:t>COMPENSATION UPON TERMINATION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Termination Generally</w:t>
      </w:r>
      <w:r>
        <w:rPr>
          <w:rFonts w:ascii="Times New Roman;serif" w:hAnsi="Times New Roman;serif"/>
          <w:b w:val="false"/>
          <w:color w:val="000000"/>
          <w:sz w:val="24"/>
        </w:rPr>
        <w:t>. If Executive’s employment with the Company is terminated for any reason, the Company shall pay or provide to Executive (or to Executive’s authorized representative or estate as applicable): (i) any Base Salary earned through the Termination Date, unpaid expense reimbursements, and unused vacation that accrued through the Termination Date on or before the time required by law but in no event more than 30 days after Executive’s Termination Date; and (ii) any vested benefits or amounts due to Executive under any employee benefit or equity plan, program or practice of the Company, which benefits or amount shall be paid and/or provided in accordance with the terms of such employee benefit or equity plans, program or practice (collectively, the “</w:t>
      </w:r>
      <w:r>
        <w:rPr>
          <w:rFonts w:ascii="Times New Roman;serif" w:hAnsi="Times New Roman;serif"/>
          <w:b/>
          <w:i/>
          <w:color w:val="000000"/>
          <w:sz w:val="24"/>
        </w:rPr>
        <w:t>Accrued Benefits</w:t>
      </w:r>
      <w:r>
        <w:rPr>
          <w:color w:val="000000"/>
        </w:rPr>
        <w:t>”</w:t>
      </w:r>
      <w:r>
        <w:rPr>
          <w:rFonts w:ascii="Times New Roman;serif" w:hAnsi="Times New Roman;serif"/>
          <w:b w:val="false"/>
          <w:color w:val="000000"/>
          <w:sz w:val="24"/>
        </w:rPr>
        <w:t xml:space="preserve">). Executive shall also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retain all rights to indemnification and coverage under directors and officer liability insurance policies to the same extent provided to the Company’s other directors and officers in accordance with the terms of such policies.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Termination by Death, Disability, the Company Without Cause, or by Executive with Good Reason</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below, if Executive’s employment is terminated by Executive’s death as provided in </w:t>
      </w:r>
      <w:r>
        <w:rPr>
          <w:rFonts w:ascii="Times New Roman;serif" w:hAnsi="Times New Roman;serif"/>
          <w:b w:val="false"/>
          <w:color w:val="000000"/>
          <w:sz w:val="24"/>
          <w:u w:val="single"/>
        </w:rPr>
        <w:t>Section 3(a)</w:t>
      </w:r>
      <w:r>
        <w:rPr>
          <w:rFonts w:ascii="Times New Roman;serif" w:hAnsi="Times New Roman;serif"/>
          <w:b w:val="false"/>
          <w:color w:val="000000"/>
          <w:sz w:val="24"/>
        </w:rPr>
        <w:t xml:space="preserve">, on account of disability under </w:t>
      </w:r>
      <w:r>
        <w:rPr>
          <w:rFonts w:ascii="Times New Roman;serif" w:hAnsi="Times New Roman;serif"/>
          <w:b w:val="false"/>
          <w:color w:val="000000"/>
          <w:sz w:val="24"/>
          <w:u w:val="single"/>
        </w:rPr>
        <w:t>Section 3(b)</w:t>
      </w:r>
      <w:r>
        <w:rPr>
          <w:rFonts w:ascii="Times New Roman;serif" w:hAnsi="Times New Roman;serif"/>
          <w:b w:val="false"/>
          <w:color w:val="000000"/>
          <w:sz w:val="24"/>
        </w:rPr>
        <w:t xml:space="preserve">, by the Company without Cause as provided in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or by Executive for Good Reason as provided in </w:t>
      </w:r>
      <w:r>
        <w:rPr>
          <w:rFonts w:ascii="Times New Roman;serif" w:hAnsi="Times New Roman;serif"/>
          <w:b w:val="false"/>
          <w:color w:val="000000"/>
          <w:sz w:val="24"/>
          <w:u w:val="single"/>
        </w:rPr>
        <w:t>Section 3(e)</w:t>
      </w:r>
      <w:r>
        <w:rPr>
          <w:rFonts w:ascii="Times New Roman;serif" w:hAnsi="Times New Roman;serif"/>
          <w:b w:val="false"/>
          <w:color w:val="000000"/>
          <w:sz w:val="24"/>
        </w:rPr>
        <w:t>, then: (1) the Company shall pay to Executive (or Executive’s estate as applicable) the Accrued Benefits; and (2) subject to Executive (or the Executive’s estate as applicable) signing and causing to become irrevocable a general release of claims in favor of the Octave Group in substantially the form typically used by the Company in connection with severance pay modified to reflect the terms of this Agreement (the “</w:t>
      </w:r>
      <w:r>
        <w:rPr>
          <w:rFonts w:ascii="Times New Roman;serif" w:hAnsi="Times New Roman;serif"/>
          <w:b/>
          <w:i/>
          <w:color w:val="000000"/>
          <w:sz w:val="24"/>
        </w:rPr>
        <w:t>Release</w:t>
      </w:r>
      <w:r>
        <w:rPr>
          <w:color w:val="000000"/>
        </w:rPr>
        <w:t>”</w:t>
      </w:r>
      <w:r>
        <w:rPr>
          <w:rFonts w:ascii="Times New Roman;serif" w:hAnsi="Times New Roman;serif"/>
          <w:b w:val="false"/>
          <w:color w:val="000000"/>
          <w:sz w:val="24"/>
        </w:rPr>
        <w:t>) within 55 days after the Termination Date (the “</w:t>
      </w:r>
      <w:r>
        <w:rPr>
          <w:rFonts w:ascii="Times New Roman;serif" w:hAnsi="Times New Roman;serif"/>
          <w:b/>
          <w:i/>
          <w:color w:val="000000"/>
          <w:sz w:val="24"/>
        </w:rPr>
        <w:t>Release Requirement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to the extent unpaid as of the Termination Date, the Company shall pay to Executive (or to Executive’s authorized representative or estate) an amount in cash equal to any annual cash incentive earned by Executive for the Company’s fiscal year prior to the fiscal year in which the Termination Date occurs, as determined based on Executive’s and the Company’s actual performance for such year, as applicable (the “</w:t>
      </w:r>
      <w:r>
        <w:rPr>
          <w:rFonts w:ascii="Times New Roman;serif" w:hAnsi="Times New Roman;serif"/>
          <w:b/>
          <w:i/>
          <w:color w:val="000000"/>
          <w:sz w:val="24"/>
        </w:rPr>
        <w:t>Prior-Year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the Company shall pay to Executive (or to Executive’s authorized representative or estate) a pro-rated portion of Executive’s Annual Bonus for the year in which the Termination Date occurs determined by multiplying Executive’s Annual Bonus for such year (calculated based on actual performance for the full performance period and without regard to such material reduction in Base Salary or target Annual Bonus which (if applicable) gave rise to Executive’s claim of Good Reason pursuant to </w:t>
      </w:r>
      <w:r>
        <w:rPr>
          <w:rFonts w:ascii="Times New Roman;serif" w:hAnsi="Times New Roman;serif"/>
          <w:b w:val="false"/>
          <w:color w:val="000000"/>
          <w:sz w:val="24"/>
          <w:u w:val="single"/>
        </w:rPr>
        <w:t>Section 3(e)(ii)</w:t>
      </w:r>
      <w:r>
        <w:rPr>
          <w:color w:val="000000"/>
        </w:rPr>
        <w:t xml:space="preserve"> </w:t>
      </w:r>
      <w:r>
        <w:rPr>
          <w:rFonts w:ascii="Times New Roman;serif" w:hAnsi="Times New Roman;serif"/>
          <w:b w:val="false"/>
          <w:color w:val="000000"/>
          <w:sz w:val="24"/>
        </w:rPr>
        <w:t>of this Agreement) by a fraction, the numerator of which is the number of days during such year that Executive was employed by the Company and the denominator of which is the number of days in such year (the “</w:t>
      </w:r>
      <w:r>
        <w:rPr>
          <w:rFonts w:ascii="Times New Roman;serif" w:hAnsi="Times New Roman;serif"/>
          <w:b/>
          <w:i/>
          <w:color w:val="000000"/>
          <w:sz w:val="24"/>
        </w:rPr>
        <w:t>Pro-Rata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the Company shall pay to Executive (or to Executive’s estate) a lump sum in cash in an amount equal to 1.5x (one and one-half times) the sum of: (A) Executive’s then-existing annual Base Salary rate,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Executive’s target Annual Bonus for the current fiscal year (each of clause (A) and (B), determined without regard to such material reduction in Base Salary or target Annual Bonus which (if applicable) gave rise to Executive’s claim of Good Reason pursuant to </w:t>
      </w:r>
      <w:r>
        <w:rPr>
          <w:rFonts w:ascii="Times New Roman;serif" w:hAnsi="Times New Roman;serif"/>
          <w:b w:val="false"/>
          <w:color w:val="000000"/>
          <w:sz w:val="24"/>
          <w:u w:val="single"/>
        </w:rPr>
        <w:t>Section 3(e)(ii)</w:t>
      </w:r>
      <w:r>
        <w:rPr>
          <w:color w:val="000000"/>
        </w:rPr>
        <w:t xml:space="preserve"> </w:t>
      </w:r>
      <w:r>
        <w:rPr>
          <w:rFonts w:ascii="Times New Roman;serif" w:hAnsi="Times New Roman;serif"/>
          <w:b w:val="false"/>
          <w:color w:val="000000"/>
          <w:sz w:val="24"/>
        </w:rPr>
        <w:t>of this Agreement) (the “</w:t>
      </w:r>
      <w:r>
        <w:rPr>
          <w:rFonts w:ascii="Times New Roman;serif" w:hAnsi="Times New Roman;serif"/>
          <w:b/>
          <w:i/>
          <w:color w:val="000000"/>
          <w:sz w:val="24"/>
        </w:rPr>
        <w:t>Severance Amount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if Executive materially breaches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 payment of the Severance Amount shall immediately cease and if the Severance Amount has already been paid to Executive, then Executive will promptly repay such Severance Amount to the Company;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(iv)    notwithstanding anything to the contrary in any applicable option agreement or stock-based award agreement, (A) all time-vesting stock options and other stock-based awards held by Executive (to the extent not already vested or forfeited) shall accelerate and immediately become exercisable, vested and/or nonforfeitable, and (B) all stock-based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5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awards granted by the Company to Executive in replacement of Executive’s performance awards in Hexagon that were cancelled in connection with consummation of the Spin-off (the “</w:t>
      </w:r>
      <w:r>
        <w:rPr>
          <w:rFonts w:ascii="Times New Roman;serif" w:hAnsi="Times New Roman;serif"/>
          <w:b/>
          <w:i/>
          <w:color w:val="000000"/>
          <w:sz w:val="24"/>
        </w:rPr>
        <w:t>Hexagon Replacement Awards</w:t>
      </w:r>
      <w:r>
        <w:rPr>
          <w:color w:val="000000"/>
        </w:rPr>
        <w:t>”</w:t>
      </w:r>
      <w:r>
        <w:rPr>
          <w:rFonts w:ascii="Times New Roman;serif" w:hAnsi="Times New Roman;serif"/>
          <w:b w:val="false"/>
          <w:color w:val="000000"/>
          <w:sz w:val="24"/>
        </w:rPr>
        <w:t xml:space="preserve">), shall accelerate and immediately become vested and exercisable and (C) with respect to each performance-vesting stock option award and other stock-based award held by Executive (to the extent not already vested or forfeited), Executive will remain eligible to vest in a pro-rata portion of such award without regard to continued service, with such pro-rata portion equal to the amount of the award that is ultimately earned and vested based on actual performance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a fraction, the numerator of which is the number of days Executive was employed during the applicable performance period and the denominator of which is the number of total days in the applicable performance period;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the period of time during which Executive may exercise Executive’s vested stock options shall be extended to the longer of (A) six-months after Executive’s Termination Date or (B) seven days after the commencement of the Company’s first open trading window that occurs after the Termination Date, subject to any longer exercise period in the event of Executive’s death or disability as may be provided in the applicable option agreement, but in no event later than the original expiration date applicable to such stock options;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    if Executive was participating in the Company’s health, dental and/or vision plans immediately prior to the Termination Date, then the Company shall pay to Executive (or to Executive’s estate) an amount equal to the product of the monthly COBRA premium applicable to the Company’s health, dental, and vision plans in which Executive was participating immediately prior to the Termination Date,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24 (twenty-four) (the “</w:t>
      </w:r>
      <w:r>
        <w:rPr>
          <w:rFonts w:ascii="Times New Roman;serif" w:hAnsi="Times New Roman;serif"/>
          <w:b/>
          <w:i/>
          <w:color w:val="000000"/>
          <w:sz w:val="24"/>
        </w:rPr>
        <w:t>COBRA Benefit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Severance Amount shall be paid in one lump sum payment within 60 days following the Termination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however, that if the 60-day period begins in one calendar year and ends in a second calendar year, the Severance Amount shall be paid in the second calendar year. The Prior-Year Bonus and the Pro-Rata Bonus shall be paid on the same date that the annual cash incentive for the applicable year would have been paid if Executive’s employment had not been terminated. The COBRA Benefit shall be paid in a single lump sum cash payment within 60-days after the Termination Date, but if such 60-day period spans two calendar years, such amount shall be paid in the second calendar year. </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color w:val="000000"/>
          <w:sz w:val="24"/>
          <w:u w:val="single"/>
        </w:rPr>
        <w:t>CHANGE OF CONTROL IMPLICATIONS</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set forth certain terms of an agreement reached between Executive and the Company regarding Executive’s rights and obligations upon the occurrence of a Change in Control. These provisions shall apply in lieu of, and expressly supersede, the provisions of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regarding severance pay and benefits upon a termination of employment to the extent provided in this </w:t>
      </w:r>
      <w:r>
        <w:rPr>
          <w:rFonts w:ascii="Times New Roman;serif" w:hAnsi="Times New Roman;serif"/>
          <w:b w:val="false"/>
          <w:color w:val="000000"/>
          <w:sz w:val="24"/>
          <w:u w:val="single"/>
        </w:rPr>
        <w:t>Section 5</w:t>
      </w:r>
      <w:r>
        <w:rPr>
          <w:rFonts w:ascii="Times New Roman;serif" w:hAnsi="Times New Roman;serif"/>
          <w:b w:val="false"/>
          <w:color w:val="000000"/>
          <w:sz w:val="24"/>
        </w:rPr>
        <w:t>, if such termination of employment occurs during the period beginning 180-days prior to the effective date of a definitive agreement that results in a Change in Control (and is in connection with such Change in Control) and ending 24-months after the consummation (closing) of a Change in Control (such period, the “</w:t>
      </w:r>
      <w:r>
        <w:rPr>
          <w:rFonts w:ascii="Times New Roman;serif" w:hAnsi="Times New Roman;serif"/>
          <w:b/>
          <w:i/>
          <w:color w:val="000000"/>
          <w:sz w:val="24"/>
        </w:rPr>
        <w:t>CIC Protection Period</w:t>
      </w:r>
      <w:r>
        <w:rPr>
          <w:color w:val="000000"/>
        </w:rPr>
        <w:t>”</w:t>
      </w:r>
      <w:r>
        <w:rPr>
          <w:rFonts w:ascii="Times New Roman;serif" w:hAnsi="Times New Roman;serif"/>
          <w:b w:val="false"/>
          <w:color w:val="000000"/>
          <w:sz w:val="24"/>
        </w:rPr>
        <w:t xml:space="preserve">) and such termination is by the Company without Cause as provided in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 xml:space="preserve">or by Executive for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0"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Good Reason as provided in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(such a termination that so occurs during the 180-day period prior to the effective date of a definitive agreement that results in a Change in Control, an “</w:t>
      </w:r>
      <w:r>
        <w:rPr>
          <w:rFonts w:ascii="Times New Roman;serif" w:hAnsi="Times New Roman;serif"/>
          <w:b/>
          <w:i/>
          <w:color w:val="000000"/>
          <w:sz w:val="24"/>
        </w:rPr>
        <w:t>Anticipatory CIC Termination</w:t>
      </w:r>
      <w:r>
        <w:rPr>
          <w:color w:val="000000"/>
        </w:rPr>
        <w:t>”</w:t>
      </w:r>
      <w:r>
        <w:rPr>
          <w:rFonts w:ascii="Times New Roman;serif" w:hAnsi="Times New Roman;serif"/>
          <w:b w:val="false"/>
          <w:color w:val="000000"/>
          <w:sz w:val="24"/>
        </w:rPr>
        <w:t>). For purposes of this Agreement, “</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shall have the meaning set forth in the Octave Intelligence plc Long-Term Incentive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If, during the CIC Protection Period, Executive’s employment is terminated by the Company without Cause as provided in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 xml:space="preserve">or Executive terminates Executive’s employment for Good Reason as provided in </w:t>
      </w:r>
      <w:r>
        <w:rPr>
          <w:rFonts w:ascii="Times New Roman;serif" w:hAnsi="Times New Roman;serif"/>
          <w:b w:val="false"/>
          <w:color w:val="000000"/>
          <w:sz w:val="24"/>
          <w:u w:val="single"/>
        </w:rPr>
        <w:t>Section 3(e)</w:t>
      </w:r>
      <w:r>
        <w:rPr>
          <w:rFonts w:ascii="Times New Roman;serif" w:hAnsi="Times New Roman;serif"/>
          <w:b w:val="false"/>
          <w:color w:val="000000"/>
          <w:sz w:val="24"/>
        </w:rPr>
        <w:t>, then, in addition to the Accrued Benefits, subject to the Release Requirement: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Company shall pay Executive the Prior-Year Bonus;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the Company shall pay to Executive (or to Executive’s authorized representative or estate) a pro-rated portion of Executive’s Annual Bonus for the year in which the Termination Date occurs determined by multiplying Executive’s Annual Bonus for such year (calculated based on target performance for the full performance period and without regard to such material reduction in Base Salary or target Annual Bonus which (if applicable) gave rise to Executive’s claim of Good Reason pursuant to </w:t>
      </w:r>
      <w:r>
        <w:rPr>
          <w:rFonts w:ascii="Times New Roman;serif" w:hAnsi="Times New Roman;serif"/>
          <w:b w:val="false"/>
          <w:color w:val="000000"/>
          <w:sz w:val="24"/>
          <w:u w:val="single"/>
        </w:rPr>
        <w:t>Section 3(e)(ii)</w:t>
      </w:r>
      <w:r>
        <w:rPr>
          <w:color w:val="000000"/>
        </w:rPr>
        <w:t xml:space="preserve"> </w:t>
      </w:r>
      <w:r>
        <w:rPr>
          <w:rFonts w:ascii="Times New Roman;serif" w:hAnsi="Times New Roman;serif"/>
          <w:b w:val="false"/>
          <w:color w:val="000000"/>
          <w:sz w:val="24"/>
        </w:rPr>
        <w:t>of this Agreement) by a fraction, the numerator of which is the number of days during such year that Executive was employed by the Company and the denominator of which is the number of days in such year (the “</w:t>
      </w:r>
      <w:r>
        <w:rPr>
          <w:rFonts w:ascii="Times New Roman;serif" w:hAnsi="Times New Roman;serif"/>
          <w:b/>
          <w:i/>
          <w:color w:val="000000"/>
          <w:sz w:val="24"/>
        </w:rPr>
        <w:t>CIC Pro-Rata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the Company shall pay Executive a lump sum in cash in an amount equal to 2x (two times) the sum of: (A) Executive’s then-existing annual Base Salary rate (or Executive’s Base Salary rate in effect immediately prior to the Change in Control, if higher);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(B) Executive’s target Annual Bonus for the then-current fiscal year;</w:t>
      </w:r>
    </w:p>
    <w:p>
      <w:pPr>
        <w:pStyle w:val="TextBody"/>
        <w:bidi w:val="0"/>
        <w:spacing w:lineRule="auto" w:line="288" w:before="0" w:after="240"/>
        <w:ind w:left="0" w:right="0" w:firstLine="2160"/>
        <w:jc w:val="both"/>
        <w:rPr/>
      </w:pPr>
      <w:r>
        <w:rPr>
          <w:rFonts w:ascii="Times New Roman;serif" w:hAnsi="Times New Roman;serif"/>
          <w:b w:val="false"/>
          <w:color w:val="000000"/>
          <w:sz w:val="24"/>
        </w:rPr>
        <w:t>(iv)    notwithstanding anything to the contrary in any applicable option agreement or stock-based award agreement, all stock options and other stock-based awards held by Executive, including the Hexagon Replacement Awards, (to the extent not already vested or forfeited) shall immediately become fully exercisable, vested and/or nonforfeitable on an accelerated basis (with the level of achievement of any applicable performance objectives determined as set forth in the LTSI Program and applicable award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event of an Anticipatory CIC Termination, Executive’s stock options and other stock-based awards to which this </w:t>
      </w:r>
      <w:r>
        <w:rPr>
          <w:rFonts w:ascii="Times New Roman;serif" w:hAnsi="Times New Roman;serif"/>
          <w:b w:val="false"/>
          <w:color w:val="000000"/>
          <w:sz w:val="24"/>
          <w:u w:val="single"/>
        </w:rPr>
        <w:t>Section 5(a)(iv)</w:t>
      </w:r>
      <w:r>
        <w:rPr>
          <w:color w:val="000000"/>
        </w:rPr>
        <w:t xml:space="preserve"> </w:t>
      </w:r>
      <w:r>
        <w:rPr>
          <w:rFonts w:ascii="Times New Roman;serif" w:hAnsi="Times New Roman;serif"/>
          <w:b w:val="false"/>
          <w:color w:val="000000"/>
          <w:sz w:val="24"/>
        </w:rPr>
        <w:t xml:space="preserve">would otherwise apply shall be deemed to have continued to remain outstanding (to the extent not otherwise vested and paid under </w:t>
      </w:r>
      <w:r>
        <w:rPr>
          <w:rFonts w:ascii="Times New Roman;serif" w:hAnsi="Times New Roman;serif"/>
          <w:b w:val="false"/>
          <w:color w:val="000000"/>
          <w:sz w:val="24"/>
          <w:u w:val="single"/>
        </w:rPr>
        <w:t>Section 4(b)(iv)</w:t>
      </w:r>
      <w:r>
        <w:rPr>
          <w:rFonts w:ascii="Times New Roman;serif" w:hAnsi="Times New Roman;serif"/>
          <w:b w:val="false"/>
          <w:color w:val="000000"/>
          <w:sz w:val="24"/>
        </w:rPr>
        <w:t>), but only pursuant to their other terms and conditions, until the date of such Change in Control);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    if Executive was participating in the Company’s health, dental and vision plans immediately prior to the Termination Date, then the Company shall pay to Executive a lump sum cash payment in an amount equal to the product of the monthly COBRA premium applicable to the Company’s health, dental, and vision plans in which Executive was participating immediately prior to the Termination Date,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24 (twenty-four).</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    The amount payable under </w:t>
      </w:r>
      <w:r>
        <w:rPr>
          <w:rFonts w:ascii="Times New Roman;serif" w:hAnsi="Times New Roman;serif"/>
          <w:b w:val="false"/>
          <w:color w:val="000000"/>
          <w:sz w:val="24"/>
          <w:u w:val="single"/>
        </w:rPr>
        <w:t>Section 5(a)(i)</w:t>
      </w:r>
      <w:r>
        <w:rPr>
          <w:color w:val="000000"/>
        </w:rPr>
        <w:t xml:space="preserve"> </w:t>
      </w:r>
      <w:r>
        <w:rPr>
          <w:rFonts w:ascii="Times New Roman;serif" w:hAnsi="Times New Roman;serif"/>
          <w:b w:val="false"/>
          <w:color w:val="000000"/>
          <w:sz w:val="24"/>
        </w:rPr>
        <w:t xml:space="preserve">shall be paid on the same date that the annual cash incentive for the applicable year would have been paid if Executive’s employment had not been terminated. The amounts payable under </w:t>
      </w:r>
      <w:r>
        <w:rPr>
          <w:rFonts w:ascii="Times New Roman;serif" w:hAnsi="Times New Roman;serif"/>
          <w:b w:val="false"/>
          <w:color w:val="000000"/>
          <w:sz w:val="24"/>
          <w:u w:val="single"/>
        </w:rPr>
        <w:t>Sections 5(a)(ii)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shall be paid within 60 days after the Termination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60-day period begins in one calendar year and ends in a second calendar year, such payment shall be paid or commence to be paid in the second calendar year by the last day of such 60-day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In the event of a termination under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that is not an Anticipatory CIC Termination, the amounts under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will be paid in lieu of the amounts payable under </w:t>
      </w:r>
      <w:r>
        <w:rPr>
          <w:rFonts w:ascii="Times New Roman;serif" w:hAnsi="Times New Roman;serif"/>
          <w:b w:val="false"/>
          <w:color w:val="000000"/>
          <w:sz w:val="24"/>
          <w:u w:val="single"/>
        </w:rPr>
        <w:t>Section 4(b)</w:t>
      </w:r>
      <w:r>
        <w:rPr>
          <w:rFonts w:ascii="Times New Roman;serif" w:hAnsi="Times New Roman;serif"/>
          <w:b w:val="false"/>
          <w:color w:val="000000"/>
          <w:sz w:val="24"/>
        </w:rPr>
        <w:t xml:space="preserve">. In the event of an Anticipatory CIC Termination, the amounts under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will be paid only to the extent they are in excess of amounts payable under </w:t>
      </w:r>
      <w:r>
        <w:rPr>
          <w:rFonts w:ascii="Times New Roman;serif" w:hAnsi="Times New Roman;serif"/>
          <w:b w:val="false"/>
          <w:color w:val="000000"/>
          <w:sz w:val="24"/>
          <w:u w:val="single"/>
        </w:rPr>
        <w:t>Section 4(b)</w:t>
      </w:r>
      <w:r>
        <w:rPr>
          <w:rFonts w:ascii="Times New Roman;serif" w:hAnsi="Times New Roman;serif"/>
          <w:b w:val="false"/>
          <w:color w:val="000000"/>
          <w:sz w:val="24"/>
        </w:rPr>
        <w:t xml:space="preserve">, and the date of the Change in Control will be treated as the date of such termination under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for purposes of payment timing for such excess amounts.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color w:val="000000"/>
          <w:sz w:val="24"/>
          <w:u w:val="single"/>
        </w:rPr>
        <w:t>SECTION 409A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This Agreement is intended, to the extent applicable, to constitute good faith compliance with the requirements of Section 409A of the U.S. Internal Revenue Code of 1986, as amended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The Company and Executive agree that they shall cooperate in good faith to amend any provision hereof to the extent required to maintain compliance with the provisions of Section 409A of the Code as they may be modified hereafter (including by subsequent regulations or other guidance of the Internal Revenue Service). For purposes of Section 409A of the Code, each payment made under this Agreement will be treated as a separate payment. In no event may Executive, directly or indirectly, designate the calendar year of payment. Executive further acknowledges that any tax liability incurred by Executive under Section 409A of the Code is solely the responsibility of Executive.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Notwithstanding any provision of this Agreement to the contrary, if necessary to comply with the restriction in Section 409A(a)(2)(B) of the Code concerning payments to “specified employees” (as defined in Section 409A) any payment on account of Executive’s separation from service that would otherwise be due hereunder within six (6) months after such separation will nonetheless be delayed until the first business day of the seventh month following Executive’s date of termination and the first such payment will include the cumulative amount of any payments that would have been paid prior to such date if not for such restriction. Notwithstanding anything contained herein to the contrary, Executive will not be considered to have terminated employment with the Company for purposes of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or Section </w:t>
      </w:r>
      <w:r>
        <w:rPr>
          <w:rFonts w:ascii="Times New Roman;serif" w:hAnsi="Times New Roman;serif"/>
          <w:b w:val="false"/>
          <w:color w:val="000000"/>
          <w:sz w:val="24"/>
          <w:u w:val="single"/>
        </w:rPr>
        <w:t>5</w:t>
      </w:r>
      <w:r>
        <w:rPr>
          <w:color w:val="000000"/>
        </w:rPr>
        <w:t xml:space="preserve"> </w:t>
      </w:r>
      <w:r>
        <w:rPr>
          <w:rFonts w:ascii="Times New Roman;serif" w:hAnsi="Times New Roman;serif"/>
          <w:b w:val="false"/>
          <w:color w:val="000000"/>
          <w:sz w:val="24"/>
        </w:rPr>
        <w:t>hereof unless Executive would be considered to have incurred a “separation from service” from the Company within the meaning of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color w:val="000000"/>
          <w:sz w:val="24"/>
          <w:u w:val="single"/>
        </w:rPr>
        <w:t>SECTION 280G</w:t>
      </w:r>
      <w:r>
        <w:rPr>
          <w:rFonts w:ascii="Times New Roman;serif" w:hAnsi="Times New Roman;serif"/>
          <w:b w:val="false"/>
          <w:color w:val="000000"/>
          <w:sz w:val="24"/>
        </w:rPr>
        <w:t>. In the event that any payments or benefits provided for in this Agreement or otherwise payable to Executive (collectively, the “</w:t>
      </w:r>
      <w:r>
        <w:rPr>
          <w:rFonts w:ascii="Times New Roman;serif" w:hAnsi="Times New Roman;serif"/>
          <w:b/>
          <w:i/>
          <w:color w:val="000000"/>
          <w:sz w:val="24"/>
        </w:rPr>
        <w:t>Payments</w:t>
      </w:r>
      <w:r>
        <w:rPr>
          <w:color w:val="000000"/>
        </w:rPr>
        <w:t>”</w:t>
      </w:r>
      <w:r>
        <w:rPr>
          <w:rFonts w:ascii="Times New Roman;serif" w:hAnsi="Times New Roman;serif"/>
          <w:b w:val="false"/>
          <w:color w:val="000000"/>
          <w:sz w:val="24"/>
        </w:rPr>
        <w:t xml:space="preserve">) (a) constitute “parachute payments” within the meaning of Section 280G of Code, and (b) but for this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would be subject to the excise tax imposed by Section 4999 of the Code, then the Payments will be either (i) delivered in full, or (ii) delivered as to such lesser extent that would result in no portion of the Payments being subject to excise tax under Section 4999 of the Code,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Payments, notwithstanding that all or some portion of such Payments may be taxable under Section 4999 of the Code. Any reduction in the Payments required by this provision will occur in the following order, as applicable: (x) reduction of cash payments; (y) reduction of vesting acceleration of equity awards; and (z) reduction of other benefits paid or provided to Executive. In the event that acceleration of vesting of equity awards is to be reduced, such acceleration of vesting will be cancelled in the reverse order of the date of grant for equity awards. If two or more equity awards are granted on the same date, each award will be reduced on a pro-rata basis.</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color w:val="000000"/>
          <w:sz w:val="24"/>
          <w:u w:val="single"/>
        </w:rPr>
        <w:t>RECOVERY OF INCENTIVE COMPENSATION RECEIVED UPON SUBSEQUENT RESTATEMENT</w:t>
      </w:r>
      <w:r>
        <w:rPr>
          <w:rFonts w:ascii="Times New Roman;serif" w:hAnsi="Times New Roman;serif"/>
          <w:b w:val="false"/>
          <w:color w:val="000000"/>
          <w:sz w:val="24"/>
        </w:rPr>
        <w:t>. Executive understands that Executive is or may become subject to the Company’s Incentive Compensation Recoupment Policy adopted pursuant to Rule 10D-1 promulgated under the Exchange Act and Nasdaq Rule 5608, or any successor rule (the “</w:t>
      </w:r>
      <w:r>
        <w:rPr>
          <w:rFonts w:ascii="Times New Roman;serif" w:hAnsi="Times New Roman;serif"/>
          <w:b/>
          <w:i/>
          <w:color w:val="000000"/>
          <w:sz w:val="24"/>
        </w:rPr>
        <w:t>Clawback Policy</w:t>
      </w:r>
      <w:r>
        <w:rPr>
          <w:color w:val="000000"/>
        </w:rPr>
        <w:t>”</w:t>
      </w:r>
      <w:r>
        <w:rPr>
          <w:rFonts w:ascii="Times New Roman;serif" w:hAnsi="Times New Roman;serif"/>
          <w:b w:val="false"/>
          <w:color w:val="000000"/>
          <w:sz w:val="24"/>
        </w:rPr>
        <w:t xml:space="preserve">). Executive understands that such recovery may be sought under the Clawback Policy and occur after Executive’s employment with the Company terminates.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color w:val="000000"/>
          <w:sz w:val="24"/>
          <w:u w:val="single"/>
        </w:rPr>
        <w:t>NO DUTY TO MITIGATE</w:t>
      </w:r>
      <w:r>
        <w:rPr>
          <w:rFonts w:ascii="Times New Roman;serif" w:hAnsi="Times New Roman;serif"/>
          <w:b w:val="false"/>
          <w:color w:val="000000"/>
          <w:sz w:val="24"/>
        </w:rPr>
        <w:t>. In no event shall Executive be obligated to seek other employment or take any other action by way of mitigation of the amounts payable to Executive under any of the provisions of this Agreement and any benefits payable to Executive hereunder shall not be subject to reduction for any compensation received from other employment.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color w:val="000000"/>
          <w:sz w:val="24"/>
          <w:u w:val="single"/>
        </w:rPr>
        <w:t>INDEMNIFICATION AND INSURANCE</w:t>
      </w:r>
      <w:r>
        <w:rPr>
          <w:rFonts w:ascii="Times New Roman;serif" w:hAnsi="Times New Roman;serif"/>
          <w:b w:val="false"/>
          <w:color w:val="000000"/>
          <w:sz w:val="24"/>
        </w:rPr>
        <w:t>. The parties acknowledge that Executive is entering into an indemnification agreement in connection with execution of this Agreement. During the term of Executive’s employment and through the sixth anniversary of the Termination Date, the Company shall maintain, for the benefit of Executive, D&amp;O insurance coverage at no less than the level provided for other executive officers of the Octave Group.</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color w:val="000000"/>
          <w:sz w:val="24"/>
          <w:u w:val="single"/>
        </w:rPr>
        <w:t>RESIGNATION AS DIRECTOR</w:t>
      </w:r>
      <w:r>
        <w:rPr>
          <w:rFonts w:ascii="Times New Roman;serif" w:hAnsi="Times New Roman;serif"/>
          <w:b w:val="false"/>
          <w:color w:val="000000"/>
          <w:sz w:val="24"/>
        </w:rPr>
        <w:t>. In the event Executive’s employment by the Company terminates for any reason, including termination by the Company or by reason of Executive’s disability or resignation, if Executive is then a member of the Board, Executive will be deemed to resign from (a) the board of directors (or similar body) of any member of the Octave Group (including the Board, if applicable) and (b) any position with any member of the Octave Group. Executive agrees to execute such agreements as reasonably requested by any member of the Octave Group.</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color w:val="000000"/>
          <w:sz w:val="24"/>
          <w:u w:val="single"/>
        </w:rPr>
        <w:t>SURVIVING COVENANTS</w:t>
      </w:r>
      <w:r>
        <w:rPr>
          <w:rFonts w:ascii="Times New Roman;serif" w:hAnsi="Times New Roman;serif"/>
          <w:b w:val="false"/>
          <w:color w:val="000000"/>
          <w:sz w:val="24"/>
        </w:rPr>
        <w:t>. Executive agrees: (i) that, as a condition to this Agreement Executive shall execute the Company’s customary Proprietary Information and Inventions Agreement on the Start Date, which includes non-disclosure, non-compete and/or non-solicitation agreements with the Company and applies to the Octave Group (the “</w:t>
      </w:r>
      <w:r>
        <w:rPr>
          <w:rFonts w:ascii="Times New Roman;serif" w:hAnsi="Times New Roman;serif"/>
          <w:b/>
          <w:i/>
          <w:color w:val="000000"/>
          <w:sz w:val="24"/>
        </w:rPr>
        <w:t>PIIA</w:t>
      </w:r>
      <w:r>
        <w:rPr>
          <w:color w:val="000000"/>
        </w:rPr>
        <w:t>”</w:t>
      </w:r>
      <w:r>
        <w:rPr>
          <w:rFonts w:ascii="Times New Roman;serif" w:hAnsi="Times New Roman;serif"/>
          <w:b w:val="false"/>
          <w:color w:val="000000"/>
          <w:sz w:val="24"/>
        </w:rPr>
        <w:t xml:space="preserve">); and (ii) the terms of such PIIA are incorporated herein by reference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color w:val="000000"/>
          <w:sz w:val="24"/>
          <w:u w:val="single"/>
        </w:rPr>
        <w:t>EXPENSES; WITHHOLDING</w:t>
      </w:r>
      <w:r>
        <w:rPr>
          <w:rFonts w:ascii="Times New Roman;serif" w:hAnsi="Times New Roman;serif"/>
          <w:b w:val="false"/>
          <w:color w:val="000000"/>
          <w:sz w:val="24"/>
        </w:rPr>
        <w:t>. Executive shall be entitled to reimbursement for all reasonable and necessary out-of-pocket business, entertainment, and travel expenses incurred by Executive in connection with the performance of Executive's duties hereunder in accordance with the Company’s expense reimbursement policies and procedures. Further, the Company agrees to pay as incurred and within twenty (20) days after submission of supporting documentation, to the full extent permitted by law, all legal fees and expenses Executive may reasonably incur as a result of any contest by the Company, Executive or others of the validity or enforceability of, or liability under, any provision of this Agreement (including as a result of any contest by Executive about the amount of any payment pursuant to this Agreement) with respect to which Executive is successful on the merits, plus, in each case, interest on any delayed payment at the applicable Federal rate provided for in Section 7872(f)(2)(A) of the Code. The Company’s payment of any eligible expenses must be made no later than December 31 of the year after the year in which the expense was incurred.</w:t>
      </w:r>
      <w:r>
        <w:rPr>
          <w:color w:val="000000"/>
        </w:rPr>
        <w:t xml:space="preserve"> </w:t>
      </w:r>
      <w:r>
        <w:rPr>
          <w:rFonts w:ascii="Times New Roman;serif" w:hAnsi="Times New Roman;serif"/>
          <w:b w:val="false"/>
          <w:color w:val="000000"/>
          <w:sz w:val="24"/>
        </w:rPr>
        <w:t>All payments and benefits under this Agreement will be subject to withholding of applicable income and employment 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color w:val="000000"/>
          <w:sz w:val="24"/>
          <w:u w:val="single"/>
        </w:rPr>
        <w:t>SPIN-OFF CONTINGENCY</w:t>
      </w:r>
      <w:r>
        <w:rPr>
          <w:rFonts w:ascii="Times New Roman;serif" w:hAnsi="Times New Roman;serif"/>
          <w:b w:val="false"/>
          <w:color w:val="000000"/>
          <w:sz w:val="24"/>
        </w:rPr>
        <w:t>. The parties acknowledge and agree that: (a) this Agreement is contingent upon the consummation of the Spin-off and will govern Executive’s employment upon such date; (b) if the Spin-off does not consummate for whatever reason then this Agreement shall be null, void, and of no force or effect; and (c) any employment-related agreements between Hexagon (or one or more of its subsidiaries as of the date hereof) and Executive shall continue in full force and effect unless and until the Spin-off is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color w:val="000000"/>
          <w:sz w:val="24"/>
          <w:u w:val="single"/>
        </w:rPr>
        <w:t>FRACTIONAL SHARES</w:t>
      </w:r>
      <w:r>
        <w:rPr>
          <w:rFonts w:ascii="Times New Roman;serif" w:hAnsi="Times New Roman;serif"/>
          <w:b w:val="false"/>
          <w:color w:val="000000"/>
          <w:sz w:val="24"/>
        </w:rPr>
        <w:t>. Notwithstanding anything herein to the contrary, in the event that any calculation hereunder results in a fractional share of the Company’s equity, it will be rounded up to the nearest whole number.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color w:val="000000"/>
          <w:sz w:val="24"/>
          <w:u w:val="single"/>
        </w:rPr>
        <w:t>JURISDICTION AND CHOICE OF FORUM</w:t>
      </w:r>
      <w:r>
        <w:rPr>
          <w:rFonts w:ascii="Times New Roman;serif" w:hAnsi="Times New Roman;serif"/>
          <w:b w:val="false"/>
          <w:color w:val="000000"/>
          <w:sz w:val="24"/>
        </w:rPr>
        <w:t>. The Company and Executive hereby irrevocably submit to the exclusive jurisdiction of any state or federal court located in the County of Madison, State of Alabama, over any controversy or claim between the Company and Executive arising out of, relating to or concerning this Agreement (including, without limitation, any claim regarding or related to the interpretation, scope, effect, enforcement, termination, breach, legality, remedies or other aspects of this Agreement, or the conduct and communications of the parties regarding the foregoing) or any aspect of Executive’s employment with the Company or the termination of that employment (together, an “</w:t>
      </w:r>
      <w:r>
        <w:rPr>
          <w:rFonts w:ascii="Times New Roman;serif" w:hAnsi="Times New Roman;serif"/>
          <w:b/>
          <w:i/>
          <w:color w:val="000000"/>
          <w:sz w:val="24"/>
        </w:rPr>
        <w:t>Employment Matter</w:t>
      </w:r>
      <w:r>
        <w:rPr>
          <w:color w:val="000000"/>
        </w:rPr>
        <w:t>”</w:t>
      </w:r>
      <w:r>
        <w:rPr>
          <w:rFonts w:ascii="Times New Roman;serif" w:hAnsi="Times New Roman;serif"/>
          <w:b w:val="false"/>
          <w:color w:val="000000"/>
          <w:sz w:val="24"/>
        </w:rPr>
        <w:t xml:space="preserve">). The Company and Executive (i) acknowledge that the forum designated by this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has a reasonable relation to this Agreement and to the relationship between Executive and the Company and that the submission to the forum will apply even if the forum chooses to apply non-forum law, (ii) hereby waive, to the fullest extent permitted by applicable law, any objection to personal jurisdiction or to the laying of venue of any suit, action or proceeding covered by this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in the forum stated in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 xml:space="preserve">, (iii) undertake not to commence any such suit, action or proceeding in any forum other than the forum described in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 and (iv) agree that, to the fullest extent permitted by applicable law, a final and non-appealable judgment in any such suit, action or proceeding in any such court will be conclusive and binding upon the Company and the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color w:val="000000"/>
          <w:sz w:val="24"/>
          <w:u w:val="single"/>
        </w:rPr>
        <w:t>WAIVER OF JURY TRIAL</w:t>
      </w:r>
      <w:r>
        <w:rPr>
          <w:rFonts w:ascii="Times New Roman;serif" w:hAnsi="Times New Roman;serif"/>
          <w:b w:val="false"/>
          <w:color w:val="000000"/>
          <w:sz w:val="24"/>
        </w:rPr>
        <w:t>. TO THE EXTENT PERMITTED BY LAW, THE COMPANY AND EXECUTIVE WAIVE ANY AND ALL RIGHTS TO TRIAL BY JURY IN RESPECT OF ANY EMPLOYMENT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color w:val="000000"/>
          <w:sz w:val="24"/>
          <w:u w:val="single"/>
        </w:rPr>
        <w:t>MISCELLANEOUS</w:t>
      </w:r>
      <w:r>
        <w:rPr>
          <w:rFonts w:ascii="Times New Roman;serif" w:hAnsi="Times New Roman;serif"/>
          <w:b w:val="false"/>
          <w:color w:val="000000"/>
          <w:sz w:val="24"/>
        </w:rPr>
        <w:t>. Notices and all other communications provided for in this Agreement shall be in writing and shall be delivered personally, sent by registered or certified mail, return receipt requested or by overnight carrier, or by electronic mail to (a) if to the Executive, at the address contained in the employment records of the Company, or (b) if to the Company, at the addresses set forth on the signature page hereto. This Agreement shall be binding on the successors and assigns of the Company and the Company will require any successor or acquirer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defined above and any successor to or acquirer of its business and/or assets that assumes and agrees to perform this Agreement. This Agreement shall inure to the benefit of and be enforceable by Executive’s personal representatives, executors, administrators, heirs, distributees, devisees and legatees. This Agreement may not be amended or modified otherwise than by a written agreement executed by the parties hereto or their respective successors and legal representatives. The parties hereby acknowledge valuable consideration hereof. If any one or more of the provisions of this Agreement is invalid, illegal or unenforceable in any respect, it will be ineffective only to the extent of such invalidity, illegality or unenforceability, and will not in any way affect or impair the validity, legality and enforceability of the balance of such provision or any other provision contained herein. This Agreement shall be construed and interpreted according to the laws of the State of Alabama, which is the location of the headquarters of the Octave Group.</w:t>
      </w:r>
      <w:r>
        <w:rPr>
          <w:color w:val="000000"/>
          <w:shd w:fill="FFFFFF" w:val="clear"/>
        </w:rPr>
        <w:t xml:space="preserve"> </w:t>
      </w:r>
      <w:r>
        <w:rPr>
          <w:rFonts w:ascii="Times New Roman;serif" w:hAnsi="Times New Roman;serif"/>
          <w:b w:val="false"/>
          <w:color w:val="000000"/>
          <w:sz w:val="24"/>
          <w:shd w:fill="FFFFFF" w:val="clear"/>
        </w:rPr>
        <w:t xml:space="preserve">Upon termination of this Agreement, the respective rights and obligations of the parties hereto shall survive such expiration or other termination to the extent necessary to carry out the intentions of the parties under this Agreement. </w:t>
      </w:r>
      <w:r>
        <w:rPr>
          <w:rFonts w:ascii="Times New Roman;serif" w:hAnsi="Times New Roman;serif"/>
          <w:b w:val="false"/>
          <w:color w:val="000000"/>
          <w:sz w:val="24"/>
        </w:rPr>
        <w:t>This Agreement may be executed in counterparts, and each counterpart will have the same force and effect as an original and will constitute an effective, binding agreement on the part of each of the undersigned.</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5"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executed this Agreement as of the date hereof.</w:t>
      </w:r>
    </w:p>
    <w:tbl>
      <w:tblPr>
        <w:tblW w:w="6950" w:type="dxa"/>
        <w:jc w:val="right"/>
        <w:tblInd w:w="0" w:type="dxa"/>
        <w:tblLayout w:type="fixed"/>
        <w:tblCellMar>
          <w:top w:w="28" w:type="dxa"/>
          <w:left w:w="28" w:type="dxa"/>
          <w:bottom w:w="28" w:type="dxa"/>
          <w:right w:w="28" w:type="dxa"/>
        </w:tblCellMar>
      </w:tblPr>
      <w:tblGrid>
        <w:gridCol w:w="774"/>
        <w:gridCol w:w="680"/>
        <w:gridCol w:w="680"/>
        <w:gridCol w:w="1225"/>
        <w:gridCol w:w="1225"/>
        <w:gridCol w:w="1239"/>
        <w:gridCol w:w="326"/>
        <w:gridCol w:w="326"/>
        <w:gridCol w:w="475"/>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82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u w:val="single"/>
              </w:rPr>
              <w:t>COMPANY</w:t>
            </w:r>
            <w:r>
              <w:rPr>
                <w:rFonts w:ascii="Times New Roman;serif" w:hAnsi="Times New Roman;serif"/>
                <w:b/>
                <w:color w:val="000000"/>
                <w:sz w:val="24"/>
              </w:rPr>
              <w:t>:</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INTERGRAPH CORPORATION D/B/A OCTAVE</w:t>
            </w:r>
          </w:p>
        </w:tc>
      </w:tr>
      <w:tr>
        <w:trPr/>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Jennifer Kaplan</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Jennifer Kaplan</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6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 Global Human</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Resources</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21" w:type="dxa"/>
        <w:jc w:val="right"/>
        <w:tblInd w:w="0" w:type="dxa"/>
        <w:tblLayout w:type="fixed"/>
        <w:tblCellMar>
          <w:top w:w="28" w:type="dxa"/>
          <w:left w:w="28" w:type="dxa"/>
          <w:bottom w:w="28" w:type="dxa"/>
          <w:right w:w="28" w:type="dxa"/>
        </w:tblCellMar>
      </w:tblPr>
      <w:tblGrid>
        <w:gridCol w:w="347"/>
        <w:gridCol w:w="306"/>
        <w:gridCol w:w="307"/>
        <w:gridCol w:w="1084"/>
        <w:gridCol w:w="1084"/>
        <w:gridCol w:w="1087"/>
        <w:gridCol w:w="148"/>
        <w:gridCol w:w="148"/>
        <w:gridCol w:w="210"/>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305 Intergraph Way</w:t>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Madison, AL 35758</w:t>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Attn: Human Resources</w:t>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 Jennifer.kaplan@hexagon.com</w:t>
            </w:r>
          </w:p>
        </w:tc>
      </w:tr>
    </w:tbl>
    <w:tbl>
      <w:tblPr>
        <w:tblW w:w="2350" w:type="dxa"/>
        <w:jc w:val="right"/>
        <w:tblInd w:w="0" w:type="dxa"/>
        <w:tblLayout w:type="fixed"/>
        <w:tblCellMar>
          <w:top w:w="28" w:type="dxa"/>
          <w:left w:w="28" w:type="dxa"/>
          <w:bottom w:w="28" w:type="dxa"/>
          <w:right w:w="28" w:type="dxa"/>
        </w:tblCellMar>
      </w:tblPr>
      <w:tblGrid>
        <w:gridCol w:w="365"/>
        <w:gridCol w:w="322"/>
        <w:gridCol w:w="322"/>
        <w:gridCol w:w="322"/>
        <w:gridCol w:w="322"/>
        <w:gridCol w:w="325"/>
        <w:gridCol w:w="109"/>
        <w:gridCol w:w="109"/>
        <w:gridCol w:w="154"/>
      </w:tblGrid>
      <w:tr>
        <w:trPr/>
        <w:tc>
          <w:tcPr>
            <w:tcW w:w="3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u w:val="single"/>
              </w:rPr>
              <w:t>EXECUTIVE</w:t>
            </w:r>
            <w:r>
              <w:rPr>
                <w:rFonts w:ascii="Times New Roman;serif" w:hAnsi="Times New Roman;serif"/>
                <w:b/>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Mattias Stenberg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Mattias Stenberg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989" w:type="dxa"/>
        <w:jc w:val="left"/>
        <w:tblInd w:w="0" w:type="dxa"/>
        <w:tblLayout w:type="fixed"/>
        <w:tblCellMar>
          <w:top w:w="28" w:type="dxa"/>
          <w:left w:w="28" w:type="dxa"/>
          <w:bottom w:w="28" w:type="dxa"/>
          <w:right w:w="28" w:type="dxa"/>
        </w:tblCellMar>
      </w:tblPr>
      <w:tblGrid>
        <w:gridCol w:w="1278"/>
        <w:gridCol w:w="1123"/>
        <w:gridCol w:w="1588"/>
      </w:tblGrid>
      <w:tr>
        <w:trPr/>
        <w:tc>
          <w:tcPr>
            <w:tcW w:w="127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u w:val="single"/>
              </w:rPr>
              <w:t>OCTAVE TOPCO</w:t>
            </w:r>
            <w:r>
              <w:rPr>
                <w:rFonts w:ascii="Times New Roman;serif" w:hAnsi="Times New Roman;serif"/>
                <w:b/>
                <w:color w:val="000000"/>
                <w:sz w:val="24"/>
              </w:rPr>
              <w:t>:</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OCTAVE INTELLIGENCE PLC</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/s/ Brett Watson</w:t>
            </w:r>
          </w:p>
        </w:tc>
      </w:tr>
      <w:tr>
        <w:trPr/>
        <w:tc>
          <w:tcPr>
            <w:tcW w:w="39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Brett Watson</w:t>
            </w:r>
          </w:p>
        </w:tc>
      </w:tr>
      <w:tr>
        <w:trPr/>
        <w:tc>
          <w:tcPr>
            <w:tcW w:w="39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Chairman of the Board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Executive Employment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Executive Employment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before="0" w:after="180"/>
        <w:jc w:val="center"/>
        <w:rPr/>
      </w:pPr>
      <w:r>
        <w:rPr/>
        <w:drawing>
          <wp:inline distT="0" distB="0" distL="0" distR="0">
            <wp:extent cx="1685925" cy="495300"/>
            <wp:effectExtent l="0" t="0" r="0" b="0"/>
            <wp:docPr id="2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 descr=""/>
                    <pic:cNvPicPr>
                      <a:picLocks noChangeAspect="1" noChangeArrowheads="1"/>
                    </pic:cNvPicPr>
                  </pic:nvPicPr>
                  <pic:blipFill>
                    <a:blip r:embed="rId3"/>
                    <a:stretch>
                      <a:fillRect/>
                    </a:stretch>
                  </pic:blipFill>
                  <pic:spPr bwMode="auto">
                    <a:xfrm>
                      <a:off x="0" y="0"/>
                      <a:ext cx="1685925" cy="495300"/>
                    </a:xfrm>
                    <a:prstGeom prst="rect">
                      <a:avLst/>
                    </a:prstGeom>
                  </pic:spPr>
                </pic:pic>
              </a:graphicData>
            </a:graphic>
          </wp:inline>
        </w:drawing>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Dear Hexagon Shareholders: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 the general meeting of shareholders of Hexagon AB (“Hexagon”) approved the spin-off into a separate publicly traded company named Octave Intelligence plc (“Octave”) of Hexagon’s Asset Lifecycle Intelligence business, Safety, Infrastructure &amp; Geospatial business, ETQ business and Bricsys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strategic move underlines our commitment to evolving with our markets to ensure we are continually identifying and executing on opportunities to create shareholder value. As separate businesses, Hexagon and Octave will be better positioned to pursue their respective missions, adapt to market dynamics, and form strategic partnerships. With focused investments and clearer value propositions, both are expected to accelerate growth and deliver long-term value to shareholders. This exciting opportunity for Octave is described in more detail by Mattias in an accompanying letter to shareholders.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After the separation, Hexagon will be a market leader in precision measurement, reality capture, positioning and autonomy technologies and robotic solutions. We will be focused on delivering cutting edge solutions to the world’s most important industries, allowing customers to bridge physical and digital environments seamlessly. These solutions will help our customers overcome the key structural challenges that they face: improving sustainability, mitigating labor shortages and at the same time continually improving product and project quality. By partnering with our customers and innovating for the future, we will be able to build on our existing base of shareholder value, to drive continued improvement in gross profit margins, recurring revenues, organic growth, and cash generation.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separation will be effected by a pro rata distribution wherein each Hexagon shareholder of record on                     , which will be the record date, will be entitled to one (1) Octave Class A Ordinary Share for every ten (10) Hexagon Class A Shares and one (1) Octave Class B Ordinary Share for every ten (10) Hexagon Class B Shares held. Octave Class B Ordinary Shares will be delivered to holders of Hexagon Class B Shares, other than affiliates of Hexagon, in the form of Swedish Depository Receipts (the “Octave SDRs”). Octave Class A Ordinary Shares will be delivered to holders of Hexagon Class A Shares and Octave Class B Ordinary Shares will be delivered to holders of Hexagon Class B Shares that are Hexagon affiliates in book-entry form via Octave’s transfer agent.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is expected that the Octave Class B Ordinary Shares will be listed on the Nasdaq Global Select Market under the symbol “OCTV” and the Octave SDRs, which each represent one Octave Class B Ordinary Share, will trade on Nasdaq Stockholm under the symbol “OCTV SDB.” Hexagon Class B Shares will continue to trade on Nasdaq Stockholm under the symbol “HEXA B.” No action is required on your part to receive your Octave SDRs representing Octave Class B Ordinary Shares, and you do not need to pay any consideration to Hexagon or Octave, or surrender or exchange your Hexagon shares. As discussed in the accompanying information statement, the intent is for this distribution to be tax free to shareholders both in the United States and Sweden.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information statement describes the distribution of Octave shares following Octave’s separation from Hexagon and contains important information about Octave, including Octave’s financial statements, and I suggest that you read it carefully and in its entirety. In connection with the listing of the Octave SDRs, we have also made available a Swedish prospectus. If you have any questions regarding the distribution of the Octave shares, please contact the transfer and distribution agent, Computershare Trust Company, N.A. at (866) 644 4127. If you have any questions regarding the distribution of the Octave SDRs, please contact your bank or broker. If needed, you can also contact the Octave SDR depositary, Skandinaviska Enskilda Banken AB, via email: seb.sdr@seb.se.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remain committed to working on your behalf to continue to build long-term shareholder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Anders Svensson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 Hexagon AB</w:t>
      </w:r>
    </w:p>
    <w:p>
      <w:pPr>
        <w:pStyle w:val="TextBody"/>
        <w:bidi w:val="0"/>
        <w:spacing w:before="0" w:after="0"/>
        <w:jc w:val="center"/>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8"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center"/>
        <w:rPr/>
      </w:pPr>
      <w:r>
        <w:rPr/>
        <w:drawing>
          <wp:inline distT="0" distB="0" distL="0" distR="0">
            <wp:extent cx="1828800" cy="419100"/>
            <wp:effectExtent l="0" t="0" r="0" b="0"/>
            <wp:docPr id="26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3" descr=""/>
                    <pic:cNvPicPr>
                      <a:picLocks noChangeAspect="1" noChangeArrowheads="1"/>
                    </pic:cNvPicPr>
                  </pic:nvPicPr>
                  <pic:blipFill>
                    <a:blip r:embed="rId4"/>
                    <a:stretch>
                      <a:fillRect/>
                    </a:stretch>
                  </pic:blipFill>
                  <pic:spPr bwMode="auto">
                    <a:xfrm>
                      <a:off x="0" y="0"/>
                      <a:ext cx="1828800" cy="419100"/>
                    </a:xfrm>
                    <a:prstGeom prst="rect">
                      <a:avLst/>
                    </a:prstGeom>
                  </pic:spPr>
                </pic:pic>
              </a:graphicData>
            </a:graphic>
          </wp:inline>
        </w:drawing>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Dear Future Octave Shareholder,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behalf of Octave Intelligence plc (“Octave”), I am pleased to welcome you as a future shareholder. This is an important moment in the long history of the businesses that now form Octave, and a defining moment for our future. For decades, our business has helped organizations design, build, operate, and protect systems that power industries, cities, and essential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we prepare to separate from Hexagon and become an independent, publicly traded company, we will gain the strategic clarity and operational flexibility to invest more deeply in the capabilities our customers rely on. Independence strengthens our ability to focus, innovate, and move with greater speed as market demands evolve. This transition allows us to build on our strong foundation to become the trusted platform to help organizations design, build, operate, and protect the physical assets, people, and critical infrastructure that the world depends 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Organizations everywhere are navigating rising operational complexity. Infrastructure is under increasing pressure, data volumes are growing, and workforce turnover is accelerating. These shifts make it difficult to keep information connected and to understand what is happening in time to act. Octave helps customers meet these challenges by turning fragmented information into contextual intelligence that supports earlier action, reduces risk, and strengthens safety, performance, and resilience.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begin this new chapter with a global footprint, a world-class team, a proven product portfolio, and deep customer trust developed over many years. We are excited to build the future of Octave together, and we invite you to learn more about our company and our vision in the accompanying information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Mattias Stenberg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Chief Executive Officer, Octave Intelligence plc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DE1A1E"/>
          <w:sz w:val="20"/>
        </w:rPr>
      </w:pPr>
      <w:r>
        <w:rPr>
          <w:rFonts w:ascii="Times New Roman;serif" w:hAnsi="Times New Roman;serif"/>
          <w:b/>
          <w:color w:val="DE1A1E"/>
          <w:sz w:val="20"/>
        </w:rPr>
        <w:t>Information contained herein is subject to completion or amendment. A Registration Statement on Form 10 relating to these securities has been filed with the U.S. Securities and Exchange Commission.</w:t>
      </w:r>
    </w:p>
    <w:p>
      <w:pPr>
        <w:pStyle w:val="TextBody"/>
        <w:bidi w:val="0"/>
        <w:spacing w:lineRule="auto" w:line="288" w:before="0" w:after="0"/>
        <w:jc w:val="center"/>
        <w:rPr>
          <w:rFonts w:ascii="Times New Roman;serif" w:hAnsi="Times New Roman;serif"/>
          <w:b/>
          <w:color w:val="DE1A1E"/>
          <w:sz w:val="20"/>
        </w:rPr>
      </w:pPr>
      <w:r>
        <w:rPr>
          <w:rFonts w:ascii="Times New Roman;serif" w:hAnsi="Times New Roman;serif"/>
          <w:b/>
          <w:color w:val="DE1A1E"/>
          <w:sz w:val="20"/>
        </w:rPr>
        <w:t>PRELIMINARY INFORMATION STATEMENT</w:t>
      </w:r>
    </w:p>
    <w:p>
      <w:pPr>
        <w:pStyle w:val="TextBody"/>
        <w:bidi w:val="0"/>
        <w:spacing w:lineRule="auto" w:line="288" w:before="0" w:after="120"/>
        <w:jc w:val="center"/>
        <w:rPr>
          <w:rFonts w:ascii="Times New Roman;serif" w:hAnsi="Times New Roman;serif"/>
          <w:b/>
          <w:color w:val="DE1A1E"/>
          <w:sz w:val="20"/>
        </w:rPr>
      </w:pPr>
      <w:r>
        <w:rPr>
          <w:rFonts w:ascii="Times New Roman;serif" w:hAnsi="Times New Roman;serif"/>
          <w:b/>
          <w:color w:val="DE1A1E"/>
          <w:sz w:val="20"/>
        </w:rPr>
        <w:t>SUBJECT TO COMPLETION, DATED MARCH 24,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STATEMENT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Distribution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Ordinary Shares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(par value $0.01 per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 Ordinary Shares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(par value $0.01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This information statement is being furnished in connection with the distribution by Hexagon AB (“Hexagon”) to holders of its Class A Shares and Class B Shares (together, “Hexagon Shares”) of all the issued share capital of Octave Intelligence plc (which we refer to as, “we,” “us,” “our,” “Octave,” or the “Company”), consisting of A Ordinary Shares (“Octave Class A Ordinary Shares”) and B Ordinary Shares (“Octave Class B Ordinary Shares”) (together, the “Octave Shares”) (the “Distribution”). Prior to the Distribution, we will enter into a series of transactions with Hexagon pursuant to which Octave will own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which are currently owned and operated by Hexagon, as described in this information statement.</w:t>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 xml:space="preserve">Octave Shares will be distributed to holders of record of Hexagon Shares as of           ,          , which will be the record date for the Distribution. Each such holder will receive one (1) Octave Class A Ordinary Share for every ten (10) Hexagon Class A Shares and one (1) Octave Class B Ordinary Share for every ten (10) Hexagon Class B Shares held on the record date. The Distribution will be effective on           . The Octave Shares will be delivered to holders of record, other than holders of Octave Class A Ordinary Shares and affiliates of Hexagon, in the form of Swedish Depository Receipts (“Octave SDRs”). </w:t>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The Octave SDRs will be delivered to holders through Euroclear Sweden AB (“Euroclear Sweden”) two Swedish business days following the record date. No action is required from Hexagon shareholders to receive Octave SDRs. Hexagon shareholders will not be required to pay anything to Hexagon or Octave for the Octave SDRs or the Octave Shares, nor to surrender any Hexagon Shares. Eligible Hexagon shareholders will receive a cash payment in lieu of fractional Octave Shares or Octave SDRs, which generally will be taxable. See the sections of this information statement entitled “Material U.S. Federal Income Tax Consequences,” “Material Irish Tax Consequences,” and “Material Swedish Tax Consequences.”</w:t>
      </w:r>
    </w:p>
    <w:p>
      <w:pPr>
        <w:pStyle w:val="TextBody"/>
        <w:bidi w:val="0"/>
        <w:spacing w:lineRule="auto" w:line="288" w:before="0" w:after="180"/>
        <w:jc w:val="both"/>
        <w:rPr/>
      </w:pPr>
      <w:r>
        <w:rPr>
          <w:rFonts w:ascii="Times New Roman;serif" w:hAnsi="Times New Roman;serif"/>
          <w:b w:val="false"/>
          <w:color w:val="000000"/>
          <w:sz w:val="18"/>
        </w:rPr>
        <w:t xml:space="preserve">We are not asking you for a proxy and you are requested not to send us a proxy. There is currently no trading market for Octave Shares, although a “when-issued” market in Octave Class B Ordinary Shares may develop </w:t>
      </w:r>
      <w:r>
        <w:rPr>
          <w:rFonts w:ascii="Times New Roman;serif" w:hAnsi="Times New Roman;serif"/>
          <w:b w:val="false"/>
          <w:color w:val="000000"/>
          <w:sz w:val="20"/>
        </w:rPr>
        <w:t>as soon as one New York business day prior to</w:t>
      </w:r>
      <w:r>
        <w:rPr>
          <w:color w:val="000000"/>
        </w:rPr>
        <w:t xml:space="preserve"> </w:t>
      </w:r>
      <w:r>
        <w:rPr>
          <w:rFonts w:ascii="Times New Roman;serif" w:hAnsi="Times New Roman;serif"/>
          <w:b w:val="false"/>
          <w:color w:val="000000"/>
          <w:sz w:val="18"/>
        </w:rPr>
        <w:t>the record date for the Distribution.</w:t>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We have applied to list the Octave Class B Ordinary Shares on the Nasdaq Global Select Market (“Nasdaq New York”) under the symbol “OCTV.” We have applied to temporarily trade the Octave SDRs that each represent one Octave Class B Ordinary Share on Nasdaq Stockholm AB (“Nasdaq Stockholm”) under the symbol “OCTV SDB.”</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color w:val="000000"/>
          <w:sz w:val="18"/>
        </w:rPr>
        <w:t>IN REVIEWING THIS INFORMATION STATEMENT, YOU SHOULD CAREFULLY CONSIDER THE MATTERS DESCRIBED UNDER THE CAPTION “</w:t>
      </w:r>
      <w:hyperlink w:anchor="i11bf52a01415439da0fac9a8ef645ee7_34">
        <w:r>
          <w:rPr>
            <w:rStyle w:val="InternetLink"/>
            <w:rFonts w:ascii="Times New Roman;serif" w:hAnsi="Times New Roman;serif"/>
            <w:b/>
            <w:color w:val="0000FF"/>
            <w:sz w:val="18"/>
            <w:u w:val="single"/>
          </w:rPr>
          <w:t>RISK FACTORS</w:t>
        </w:r>
      </w:hyperlink>
      <w:r>
        <w:rPr>
          <w:color w:val="000000"/>
        </w:rPr>
        <w:t xml:space="preserve">” </w:t>
      </w:r>
      <w:r>
        <w:rPr>
          <w:rFonts w:ascii="Times New Roman;serif" w:hAnsi="Times New Roman;serif"/>
          <w:b/>
          <w:color w:val="000000"/>
          <w:sz w:val="18"/>
        </w:rPr>
        <w:t xml:space="preserve">BEGINNING ON PAGE </w:t>
      </w:r>
      <w:hyperlink w:anchor="i11bf52a01415439da0fac9a8ef645ee7_34">
        <w:r>
          <w:rPr>
            <w:rStyle w:val="InternetLink"/>
            <w:rFonts w:ascii="Times New Roman;serif" w:hAnsi="Times New Roman;serif"/>
            <w:b/>
            <w:color w:val="0000FF"/>
            <w:sz w:val="18"/>
            <w:u w:val="single"/>
          </w:rPr>
          <w:t>20</w:t>
        </w:r>
      </w:hyperlink>
      <w:r>
        <w:rPr>
          <w:rFonts w:ascii="Times New Roman;serif" w:hAnsi="Times New Roman;serif"/>
          <w:b/>
          <w:color w:val="000000"/>
          <w:sz w:val="18"/>
        </w:rPr>
        <w:t>.</w:t>
      </w:r>
    </w:p>
    <w:p>
      <w:pPr>
        <w:pStyle w:val="TextBody"/>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NEITHER THE SECURITIES AND EXCHANGE COMMISSION NOR ANY STATE SECURITIES COMMISSION HAS APPROVED OR DISAPPROVED THESE SECURITIES OR DETERMINED IF THIS INFORMATION STATEMENT IS TRUTHFUL OR COMPLETE. ANY REPRESENTATION TO THE CONTRARY IS A CRIMINAL OFFENSE.</w:t>
      </w:r>
    </w:p>
    <w:p>
      <w:pPr>
        <w:pStyle w:val="TextBody"/>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THIS INFORMATION STATEMENT DOES NOT CONSTITUTE AN OFFER TO SELL OR THE SOLICITATION OF AN OFFER TO BUY ANY SECURITIES.</w:t>
      </w:r>
    </w:p>
    <w:p>
      <w:pPr>
        <w:pStyle w:val="TextBody"/>
        <w:bidi w:val="0"/>
        <w:spacing w:lineRule="auto" w:line="288" w:before="0" w:after="180"/>
        <w:jc w:val="left"/>
        <w:rPr/>
      </w:pPr>
      <w:r>
        <w:rPr>
          <w:rFonts w:ascii="Times New Roman;serif" w:hAnsi="Times New Roman;serif"/>
          <w:b w:val="false"/>
          <w:color w:val="000000"/>
          <w:sz w:val="18"/>
        </w:rPr>
        <w:t>Shareholders of Hexagon with inquiries related to the Distribution of Octave Shares should contact Octave’s transfer and distribution agent, Computershare Trust</w:t>
      </w:r>
      <w:r>
        <w:rPr>
          <w:color w:val="000000"/>
        </w:rPr>
        <w:t xml:space="preserve"> </w:t>
      </w:r>
      <w:r>
        <w:rPr>
          <w:rFonts w:ascii="Times New Roman;serif" w:hAnsi="Times New Roman;serif"/>
          <w:b w:val="false"/>
          <w:color w:val="000000"/>
          <w:sz w:val="20"/>
        </w:rPr>
        <w:t>Company, N.A.</w:t>
      </w:r>
      <w:r>
        <w:rPr>
          <w:rFonts w:ascii="Times New Roman;serif" w:hAnsi="Times New Roman;serif"/>
          <w:b w:val="false"/>
          <w:color w:val="000000"/>
          <w:sz w:val="18"/>
        </w:rPr>
        <w:t>, at (866) 644 4127 and, with inquiries related to the Distribution of Octave SDRs, Skandinaviska Enskilda Banken AB, at +46 8 785 10 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rFonts w:ascii="Times New Roman;serif" w:hAnsi="Times New Roman;serif"/>
          <w:b/>
          <w:color w:val="000000"/>
          <w:sz w:val="16"/>
        </w:rPr>
        <w:t xml:space="preserve">This information statement was first made available to Hexagon shareholders on or about </w:t>
      </w:r>
      <w:r>
        <w:rPr>
          <w:color w:val="000000"/>
        </w:rPr>
        <w:t>                    </w:t>
      </w:r>
      <w:r>
        <w:rPr>
          <w:rFonts w:ascii="Times New Roman;serif" w:hAnsi="Times New Roman;serif"/>
          <w:b/>
          <w:color w:val="000000"/>
          <w:sz w:val="16"/>
        </w:rPr>
        <w:t>.</w:t>
      </w:r>
    </w:p>
    <w:p>
      <w:pPr>
        <w:pStyle w:val="TextBody"/>
        <w:bidi w:val="0"/>
        <w:spacing w:lineRule="auto" w:line="288" w:before="0" w:after="120"/>
        <w:jc w:val="center"/>
        <w:rPr/>
      </w:pPr>
      <w:r>
        <w:rPr>
          <w:rFonts w:ascii="Times New Roman;serif" w:hAnsi="Times New Roman;serif"/>
          <w:b/>
          <w:color w:val="000000"/>
          <w:sz w:val="16"/>
        </w:rPr>
        <w:t xml:space="preserve">The date of this information statement is </w:t>
      </w:r>
      <w:r>
        <w:rPr>
          <w:color w:val="000000"/>
        </w:rPr>
        <w:t>                    </w:t>
      </w:r>
      <w:r>
        <w:rPr>
          <w:rFonts w:ascii="Times New Roman;serif" w:hAnsi="Times New Roman;serif"/>
          <w:b/>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1" w:type="dxa"/>
        <w:jc w:val="right"/>
        <w:tblInd w:w="0" w:type="dxa"/>
        <w:tblLayout w:type="fixed"/>
        <w:tblCellMar>
          <w:top w:w="28" w:type="dxa"/>
          <w:left w:w="28" w:type="dxa"/>
          <w:bottom w:w="28" w:type="dxa"/>
          <w:right w:w="28" w:type="dxa"/>
        </w:tblCellMar>
      </w:tblPr>
      <w:tblGrid>
        <w:gridCol w:w="2984"/>
        <w:gridCol w:w="2624"/>
        <w:gridCol w:w="2642"/>
        <w:gridCol w:w="149"/>
        <w:gridCol w:w="149"/>
        <w:gridCol w:w="213"/>
      </w:tblGrid>
      <w:tr>
        <w:trPr/>
        <w:tc>
          <w:tcPr>
            <w:tcW w:w="298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0">
              <w:r>
                <w:rPr>
                  <w:rStyle w:val="InternetLink"/>
                  <w:rFonts w:ascii="Times New Roman;serif" w:hAnsi="Times New Roman;serif"/>
                  <w:b w:val="false"/>
                  <w:color w:val="0000FF"/>
                  <w:sz w:val="20"/>
                  <w:u w:val="single"/>
                </w:rPr>
                <w:t>Presentation of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11bf52a01415439da0fac9a8ef645ee7_10">
              <w:r>
                <w:rPr>
                  <w:rStyle w:val="InternetLink"/>
                  <w:rFonts w:ascii="Times New Roman;serif" w:hAnsi="Times New Roman;serif"/>
                  <w:b w:val="false"/>
                  <w:color w:val="0000FF"/>
                  <w:sz w:val="20"/>
                  <w:u w:val="single"/>
                </w:rPr>
                <w:t>ii</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3">
              <w:r>
                <w:rPr>
                  <w:rStyle w:val="InternetLink"/>
                  <w:rFonts w:ascii="Times New Roman;serif" w:hAnsi="Times New Roman;serif"/>
                  <w:b w:val="false"/>
                  <w:color w:val="000080"/>
                  <w:sz w:val="20"/>
                  <w:u w:val="single"/>
                </w:rPr>
                <w:t xml:space="preserve">Note </w:t>
              </w:r>
            </w:hyperlink>
            <w:hyperlink w:anchor="i11bf52a01415439da0fac9a8ef645ee7_13">
              <w:r>
                <w:rPr>
                  <w:rStyle w:val="InternetLink"/>
                  <w:rFonts w:ascii="Times New Roman;serif" w:hAnsi="Times New Roman;serif"/>
                  <w:b w:val="false"/>
                  <w:color w:val="000080"/>
                  <w:sz w:val="20"/>
                  <w:u w:val="single"/>
                </w:rPr>
                <w:t>R</w:t>
              </w:r>
            </w:hyperlink>
            <w:hyperlink w:anchor="i11bf52a01415439da0fac9a8ef645ee7_13">
              <w:r>
                <w:rPr>
                  <w:rStyle w:val="InternetLink"/>
                  <w:rFonts w:ascii="Times New Roman;serif" w:hAnsi="Times New Roman;serif"/>
                  <w:b w:val="false"/>
                  <w:color w:val="000080"/>
                  <w:sz w:val="20"/>
                  <w:u w:val="single"/>
                </w:rPr>
                <w:t xml:space="preserve">egarding the </w:t>
              </w:r>
            </w:hyperlink>
            <w:hyperlink w:anchor="i11bf52a01415439da0fac9a8ef645ee7_13">
              <w:r>
                <w:rPr>
                  <w:rStyle w:val="InternetLink"/>
                  <w:rFonts w:ascii="Times New Roman;serif" w:hAnsi="Times New Roman;serif"/>
                  <w:b w:val="false"/>
                  <w:color w:val="000080"/>
                  <w:sz w:val="20"/>
                  <w:u w:val="single"/>
                </w:rPr>
                <w:t>T</w:t>
              </w:r>
            </w:hyperlink>
            <w:hyperlink w:anchor="i11bf52a01415439da0fac9a8ef645ee7_13">
              <w:r>
                <w:rPr>
                  <w:rStyle w:val="InternetLink"/>
                  <w:rFonts w:ascii="Times New Roman;serif" w:hAnsi="Times New Roman;serif"/>
                  <w:b w:val="false"/>
                  <w:color w:val="000080"/>
                  <w:sz w:val="20"/>
                  <w:u w:val="single"/>
                </w:rPr>
                <w:t>rademarks/</w:t>
              </w:r>
            </w:hyperlink>
            <w:hyperlink w:anchor="i11bf52a01415439da0fac9a8ef645ee7_13">
              <w:r>
                <w:rPr>
                  <w:rStyle w:val="InternetLink"/>
                  <w:rFonts w:ascii="Times New Roman;serif" w:hAnsi="Times New Roman;serif"/>
                  <w:b w:val="false"/>
                  <w:color w:val="000080"/>
                  <w:sz w:val="20"/>
                  <w:u w:val="single"/>
                </w:rPr>
                <w:t>M</w:t>
              </w:r>
            </w:hyperlink>
            <w:hyperlink w:anchor="i11bf52a01415439da0fac9a8ef645ee7_13">
              <w:r>
                <w:rPr>
                  <w:rStyle w:val="InternetLink"/>
                  <w:rFonts w:ascii="Times New Roman;serif" w:hAnsi="Times New Roman;serif"/>
                  <w:b w:val="false"/>
                  <w:color w:val="000080"/>
                  <w:sz w:val="20"/>
                  <w:u w:val="single"/>
                </w:rPr>
                <w:t xml:space="preserve">arket and </w:t>
              </w:r>
            </w:hyperlink>
            <w:hyperlink w:anchor="i11bf52a01415439da0fac9a8ef645ee7_13">
              <w:r>
                <w:rPr>
                  <w:rStyle w:val="InternetLink"/>
                  <w:rFonts w:ascii="Times New Roman;serif" w:hAnsi="Times New Roman;serif"/>
                  <w:b w:val="false"/>
                  <w:color w:val="000080"/>
                  <w:sz w:val="20"/>
                  <w:u w:val="single"/>
                </w:rPr>
                <w:t>I</w:t>
              </w:r>
            </w:hyperlink>
            <w:hyperlink w:anchor="i11bf52a01415439da0fac9a8ef645ee7_13">
              <w:r>
                <w:rPr>
                  <w:rStyle w:val="InternetLink"/>
                  <w:rFonts w:ascii="Times New Roman;serif" w:hAnsi="Times New Roman;serif"/>
                  <w:b w:val="false"/>
                  <w:color w:val="000080"/>
                  <w:sz w:val="20"/>
                  <w:u w:val="single"/>
                </w:rPr>
                <w:t xml:space="preserve">ndustry </w:t>
              </w:r>
            </w:hyperlink>
            <w:hyperlink w:anchor="i11bf52a01415439da0fac9a8ef645ee7_13">
              <w:r>
                <w:rPr>
                  <w:rStyle w:val="InternetLink"/>
                  <w:rFonts w:ascii="Times New Roman;serif" w:hAnsi="Times New Roman;serif"/>
                  <w:b w:val="false"/>
                  <w:color w:val="000080"/>
                  <w:sz w:val="20"/>
                  <w:u w:val="single"/>
                </w:rPr>
                <w:t>D</w:t>
              </w:r>
            </w:hyperlink>
            <w:hyperlink w:anchor="i11bf52a01415439da0fac9a8ef645ee7_13">
              <w:r>
                <w:rPr>
                  <w:rStyle w:val="InternetLink"/>
                  <w:rFonts w:ascii="Times New Roman;serif" w:hAnsi="Times New Roman;serif"/>
                  <w:b w:val="false"/>
                  <w:color w:val="000080"/>
                  <w:sz w:val="20"/>
                  <w:u w:val="single"/>
                </w:rPr>
                <w:t>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13">
              <w:r>
                <w:rPr>
                  <w:rStyle w:val="InternetLink"/>
                  <w:rFonts w:ascii="Times New Roman;serif" w:hAnsi="Times New Roman;serif"/>
                  <w:b w:val="false"/>
                  <w:color w:val="0000FF"/>
                  <w:sz w:val="20"/>
                  <w:u w:val="single"/>
                </w:rPr>
                <w:t>iii</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6">
              <w:r>
                <w:rPr>
                  <w:rStyle w:val="InternetLink"/>
                  <w:rFonts w:ascii="Times New Roman;serif" w:hAnsi="Times New Roman;serif"/>
                  <w:b w:val="false"/>
                  <w:color w:val="0000FF"/>
                  <w:sz w:val="20"/>
                  <w:u w:val="single"/>
                </w:rPr>
                <w:t>Auditor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16">
              <w:r>
                <w:rPr>
                  <w:rStyle w:val="InternetLink"/>
                  <w:rFonts w:ascii="Times New Roman;serif" w:hAnsi="Times New Roman;serif"/>
                  <w:b w:val="false"/>
                  <w:color w:val="0000FF"/>
                  <w:sz w:val="20"/>
                  <w:u w:val="single"/>
                </w:rPr>
                <w:t>iv</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9">
              <w:r>
                <w:rPr>
                  <w:rStyle w:val="InternetLink"/>
                  <w:rFonts w:ascii="Times New Roman;serif" w:hAnsi="Times New Roman;serif"/>
                  <w:b w:val="false"/>
                  <w:color w:val="0000FF"/>
                  <w:sz w:val="20"/>
                  <w:u w:val="single"/>
                </w:rPr>
                <w:t>Questions and Answers About the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19">
              <w:r>
                <w:rPr>
                  <w:rStyle w:val="InternetLink"/>
                  <w:rFonts w:ascii="Times New Roman;serif" w:hAnsi="Times New Roman;serif"/>
                  <w:b w:val="false"/>
                  <w:color w:val="0000FF"/>
                  <w:sz w:val="20"/>
                  <w:u w:val="single"/>
                </w:rPr>
                <w:t>v</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22">
              <w:r>
                <w:rPr>
                  <w:rStyle w:val="InternetLink"/>
                  <w:rFonts w:ascii="Times New Roman;serif" w:hAnsi="Times New Roman;serif"/>
                  <w:b w:val="false"/>
                  <w:color w:val="0000FF"/>
                  <w:sz w:val="20"/>
                  <w:u w:val="single"/>
                </w:rPr>
                <w:t>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22">
              <w:r>
                <w:rPr>
                  <w:rStyle w:val="InternetLink"/>
                  <w:rFonts w:ascii="Times New Roman;serif" w:hAnsi="Times New Roman;serif"/>
                  <w:b w:val="false"/>
                  <w:color w:val="0000FF"/>
                  <w:sz w:val="20"/>
                  <w:u w:val="single"/>
                </w:rPr>
                <w:t>1</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34">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34">
              <w:r>
                <w:rPr>
                  <w:rStyle w:val="InternetLink"/>
                  <w:rFonts w:ascii="Times New Roman;serif" w:hAnsi="Times New Roman;serif"/>
                  <w:b w:val="false"/>
                  <w:color w:val="0000FF"/>
                  <w:sz w:val="20"/>
                  <w:u w:val="single"/>
                </w:rPr>
                <w:t>20</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37">
              <w:r>
                <w:rPr>
                  <w:rStyle w:val="InternetLink"/>
                  <w:rFonts w:ascii="Times New Roman;serif" w:hAnsi="Times New Roman;serif"/>
                  <w:b w:val="false"/>
                  <w:color w:val="0000FF"/>
                  <w:sz w:val="20"/>
                  <w:u w:val="single"/>
                </w:rPr>
                <w:t>Cautionary Statement Concerning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37">
              <w:r>
                <w:rPr>
                  <w:rStyle w:val="InternetLink"/>
                  <w:rFonts w:ascii="Times New Roman;serif" w:hAnsi="Times New Roman;serif"/>
                  <w:b w:val="false"/>
                  <w:color w:val="0000FF"/>
                  <w:sz w:val="20"/>
                  <w:u w:val="single"/>
                </w:rPr>
                <w:t>57</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40">
              <w:r>
                <w:rPr>
                  <w:rStyle w:val="InternetLink"/>
                  <w:rFonts w:ascii="Times New Roman;serif" w:hAnsi="Times New Roman;serif"/>
                  <w:b w:val="false"/>
                  <w:color w:val="0000FF"/>
                  <w:sz w:val="20"/>
                  <w:u w:val="single"/>
                </w:rPr>
                <w:t>The Separation and the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40">
              <w:r>
                <w:rPr>
                  <w:rStyle w:val="InternetLink"/>
                  <w:rFonts w:ascii="Times New Roman;serif" w:hAnsi="Times New Roman;serif"/>
                  <w:b w:val="false"/>
                  <w:color w:val="0000FF"/>
                  <w:sz w:val="20"/>
                  <w:u w:val="single"/>
                </w:rPr>
                <w:t>59</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43">
              <w:r>
                <w:rPr>
                  <w:rStyle w:val="InternetLink"/>
                  <w:rFonts w:ascii="Times New Roman;serif" w:hAnsi="Times New Roman;serif"/>
                  <w:b w:val="false"/>
                  <w:color w:val="0000FF"/>
                  <w:sz w:val="20"/>
                  <w:u w:val="single"/>
                </w:rPr>
                <w:t>Capitalization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43">
              <w:r>
                <w:rPr>
                  <w:rStyle w:val="InternetLink"/>
                  <w:rFonts w:ascii="Times New Roman;serif" w:hAnsi="Times New Roman;serif"/>
                  <w:b w:val="false"/>
                  <w:color w:val="0000FF"/>
                  <w:sz w:val="20"/>
                  <w:u w:val="single"/>
                </w:rPr>
                <w:t>63</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46">
              <w:r>
                <w:rPr>
                  <w:rStyle w:val="InternetLink"/>
                  <w:rFonts w:ascii="Times New Roman;serif" w:hAnsi="Times New Roman;serif"/>
                  <w:b w:val="false"/>
                  <w:color w:val="000080"/>
                  <w:sz w:val="20"/>
                  <w:u w:val="single"/>
                </w:rPr>
                <w:t>Unaudited Pro Forma</w:t>
              </w:r>
            </w:hyperlink>
            <w:hyperlink w:anchor="i11bf52a01415439da0fac9a8ef645ee7_46">
              <w:r>
                <w:rPr>
                  <w:rStyle w:val="InternetLink"/>
                  <w:rFonts w:ascii="Times New Roman;serif" w:hAnsi="Times New Roman;serif"/>
                  <w:b w:val="false"/>
                  <w:color w:val="000080"/>
                  <w:sz w:val="20"/>
                  <w:u w:val="single"/>
                </w:rPr>
                <w:t xml:space="preserve"> Combined 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46">
              <w:r>
                <w:rPr>
                  <w:rStyle w:val="InternetLink"/>
                  <w:rFonts w:ascii="Times New Roman;serif" w:hAnsi="Times New Roman;serif"/>
                  <w:b w:val="false"/>
                  <w:color w:val="0000FF"/>
                  <w:sz w:val="20"/>
                  <w:u w:val="single"/>
                </w:rPr>
                <w:t>64</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58">
              <w:r>
                <w:rPr>
                  <w:rStyle w:val="InternetLink"/>
                  <w:rFonts w:ascii="Times New Roman;serif" w:hAnsi="Times New Roman;serif"/>
                  <w:b w:val="false"/>
                  <w:color w:val="0000FF"/>
                  <w:sz w:val="20"/>
                  <w:u w:val="single"/>
                </w:rPr>
                <w:t>Business of Octave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58">
              <w:r>
                <w:rPr>
                  <w:rStyle w:val="InternetLink"/>
                  <w:rFonts w:ascii="Times New Roman;serif" w:hAnsi="Times New Roman;serif"/>
                  <w:b w:val="false"/>
                  <w:color w:val="0000FF"/>
                  <w:sz w:val="20"/>
                  <w:u w:val="single"/>
                </w:rPr>
                <w:t>72</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72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1722">
              <w:r>
                <w:rPr>
                  <w:rStyle w:val="InternetLink"/>
                  <w:rFonts w:ascii="Times New Roman;serif" w:hAnsi="Times New Roman;serif"/>
                  <w:b w:val="false"/>
                  <w:color w:val="0000FF"/>
                  <w:sz w:val="20"/>
                  <w:u w:val="single"/>
                </w:rPr>
                <w:t>85</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64">
              <w:r>
                <w:rPr>
                  <w:rStyle w:val="InternetLink"/>
                  <w:rFonts w:ascii="Times New Roman;serif" w:hAnsi="Times New Roman;serif"/>
                  <w:b w:val="false"/>
                  <w:color w:val="0000FF"/>
                  <w:sz w:val="20"/>
                  <w:u w:val="single"/>
                </w:rPr>
                <w:t>Corporate Governance and Management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64">
              <w:r>
                <w:rPr>
                  <w:rStyle w:val="InternetLink"/>
                  <w:rFonts w:ascii="Times New Roman;serif" w:hAnsi="Times New Roman;serif"/>
                  <w:b w:val="false"/>
                  <w:color w:val="0000FF"/>
                  <w:sz w:val="20"/>
                  <w:u w:val="single"/>
                </w:rPr>
                <w:t>103</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67">
              <w:r>
                <w:rPr>
                  <w:rStyle w:val="InternetLink"/>
                  <w:rFonts w:ascii="Times New Roman;serif" w:hAnsi="Times New Roman;serif"/>
                  <w:b w:val="false"/>
                  <w:color w:val="0000FF"/>
                  <w:sz w:val="20"/>
                  <w:u w:val="single"/>
                </w:rPr>
                <w:t>Compensation Discussion and Analysis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67">
              <w:r>
                <w:rPr>
                  <w:rStyle w:val="InternetLink"/>
                  <w:rFonts w:ascii="Times New Roman;serif" w:hAnsi="Times New Roman;serif"/>
                  <w:b w:val="false"/>
                  <w:color w:val="0000FF"/>
                  <w:sz w:val="20"/>
                  <w:u w:val="single"/>
                </w:rPr>
                <w:t>109</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70">
              <w:r>
                <w:rPr>
                  <w:rStyle w:val="InternetLink"/>
                  <w:rFonts w:ascii="Times New Roman;serif" w:hAnsi="Times New Roman;serif"/>
                  <w:b w:val="false"/>
                  <w:color w:val="0000FF"/>
                  <w:sz w:val="20"/>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70">
              <w:r>
                <w:rPr>
                  <w:rStyle w:val="InternetLink"/>
                  <w:rFonts w:ascii="Times New Roman;serif" w:hAnsi="Times New Roman;serif"/>
                  <w:b w:val="false"/>
                  <w:color w:val="0000FF"/>
                  <w:sz w:val="20"/>
                  <w:u w:val="single"/>
                </w:rPr>
                <w:t>118</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73">
              <w:r>
                <w:rPr>
                  <w:rStyle w:val="InternetLink"/>
                  <w:rFonts w:ascii="Times New Roman;serif" w:hAnsi="Times New Roman;serif"/>
                  <w:b w:val="false"/>
                  <w:color w:val="0000FF"/>
                  <w:sz w:val="20"/>
                  <w:u w:val="single"/>
                </w:rPr>
                <w:t>Director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73">
              <w:r>
                <w:rPr>
                  <w:rStyle w:val="InternetLink"/>
                  <w:rFonts w:ascii="Times New Roman;serif" w:hAnsi="Times New Roman;serif"/>
                  <w:b w:val="false"/>
                  <w:color w:val="0000FF"/>
                  <w:sz w:val="20"/>
                  <w:u w:val="single"/>
                </w:rPr>
                <w:t>126</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76">
              <w:r>
                <w:rPr>
                  <w:rStyle w:val="InternetLink"/>
                  <w:rFonts w:ascii="Times New Roman;serif" w:hAnsi="Times New Roman;serif"/>
                  <w:b w:val="false"/>
                  <w:color w:val="0000FF"/>
                  <w:sz w:val="20"/>
                  <w:u w:val="single"/>
                </w:rPr>
                <w:t>Certain Relationships and Related Party Transactions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76">
              <w:r>
                <w:rPr>
                  <w:rStyle w:val="InternetLink"/>
                  <w:rFonts w:ascii="Times New Roman;serif" w:hAnsi="Times New Roman;serif"/>
                  <w:b w:val="false"/>
                  <w:color w:val="0000FF"/>
                  <w:sz w:val="20"/>
                  <w:u w:val="single"/>
                </w:rPr>
                <w:t>127</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79">
              <w:r>
                <w:rPr>
                  <w:rStyle w:val="InternetLink"/>
                  <w:rFonts w:ascii="Times New Roman;serif" w:hAnsi="Times New Roman;serif"/>
                  <w:b w:val="false"/>
                  <w:color w:val="0000FF"/>
                  <w:sz w:val="20"/>
                  <w:u w:val="single"/>
                </w:rPr>
                <w:t>Material U.S. Federal Income Tax Consequences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79">
              <w:r>
                <w:rPr>
                  <w:rStyle w:val="InternetLink"/>
                  <w:rFonts w:ascii="Times New Roman;serif" w:hAnsi="Times New Roman;serif"/>
                  <w:b w:val="false"/>
                  <w:color w:val="0000FF"/>
                  <w:sz w:val="20"/>
                  <w:u w:val="single"/>
                </w:rPr>
                <w:t>134</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82">
              <w:r>
                <w:rPr>
                  <w:rStyle w:val="InternetLink"/>
                  <w:rFonts w:ascii="Times New Roman;serif" w:hAnsi="Times New Roman;serif"/>
                  <w:b w:val="false"/>
                  <w:color w:val="0000FF"/>
                  <w:sz w:val="20"/>
                  <w:u w:val="single"/>
                </w:rPr>
                <w:t>Material Irish Tax Consequences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82">
              <w:r>
                <w:rPr>
                  <w:rStyle w:val="InternetLink"/>
                  <w:rFonts w:ascii="Times New Roman;serif" w:hAnsi="Times New Roman;serif"/>
                  <w:b w:val="false"/>
                  <w:color w:val="0000FF"/>
                  <w:sz w:val="20"/>
                  <w:u w:val="single"/>
                </w:rPr>
                <w:t>141</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85">
              <w:r>
                <w:rPr>
                  <w:rStyle w:val="InternetLink"/>
                  <w:rFonts w:ascii="Times New Roman;serif" w:hAnsi="Times New Roman;serif"/>
                  <w:b w:val="false"/>
                  <w:color w:val="0000FF"/>
                  <w:sz w:val="20"/>
                  <w:u w:val="single"/>
                </w:rPr>
                <w:t>Material Swedish Tax Consequences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85">
              <w:r>
                <w:rPr>
                  <w:rStyle w:val="InternetLink"/>
                  <w:rFonts w:ascii="Times New Roman;serif" w:hAnsi="Times New Roman;serif"/>
                  <w:b w:val="false"/>
                  <w:color w:val="0000FF"/>
                  <w:sz w:val="20"/>
                  <w:u w:val="single"/>
                </w:rPr>
                <w:t>145</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91">
              <w:r>
                <w:rPr>
                  <w:rStyle w:val="InternetLink"/>
                  <w:rFonts w:ascii="Times New Roman;serif" w:hAnsi="Times New Roman;serif"/>
                  <w:b w:val="false"/>
                  <w:color w:val="0000FF"/>
                  <w:sz w:val="20"/>
                  <w:u w:val="single"/>
                </w:rPr>
                <w:t>Description of Material Indebtedness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91">
              <w:r>
                <w:rPr>
                  <w:rStyle w:val="InternetLink"/>
                  <w:rFonts w:ascii="Times New Roman;serif" w:hAnsi="Times New Roman;serif"/>
                  <w:b w:val="false"/>
                  <w:color w:val="0000FF"/>
                  <w:sz w:val="20"/>
                  <w:u w:val="single"/>
                </w:rPr>
                <w:t>150</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94">
              <w:r>
                <w:rPr>
                  <w:rStyle w:val="InternetLink"/>
                  <w:rFonts w:ascii="Times New Roman;serif" w:hAnsi="Times New Roman;serif"/>
                  <w:b w:val="false"/>
                  <w:color w:val="0000FF"/>
                  <w:sz w:val="20"/>
                  <w:u w:val="single"/>
                </w:rPr>
                <w:t>Description of Our Share Capital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94">
              <w:r>
                <w:rPr>
                  <w:rStyle w:val="InternetLink"/>
                  <w:rFonts w:ascii="Times New Roman;serif" w:hAnsi="Times New Roman;serif"/>
                  <w:b w:val="false"/>
                  <w:color w:val="0000FF"/>
                  <w:sz w:val="20"/>
                  <w:u w:val="single"/>
                </w:rPr>
                <w:t>151</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97">
              <w:r>
                <w:rPr>
                  <w:rStyle w:val="InternetLink"/>
                  <w:rFonts w:ascii="Times New Roman;serif" w:hAnsi="Times New Roman;serif"/>
                  <w:b w:val="false"/>
                  <w:color w:val="0000FF"/>
                  <w:sz w:val="20"/>
                  <w:u w:val="single"/>
                </w:rPr>
                <w:t>Description of Swedish Depository Receipts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97">
              <w:r>
                <w:rPr>
                  <w:rStyle w:val="InternetLink"/>
                  <w:rFonts w:ascii="Times New Roman;serif" w:hAnsi="Times New Roman;serif"/>
                  <w:b w:val="false"/>
                  <w:color w:val="0000FF"/>
                  <w:sz w:val="20"/>
                  <w:u w:val="single"/>
                </w:rPr>
                <w:t>168</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00">
              <w:r>
                <w:rPr>
                  <w:rStyle w:val="InternetLink"/>
                  <w:rFonts w:ascii="Times New Roman;serif" w:hAnsi="Times New Roman;serif"/>
                  <w:b w:val="false"/>
                  <w:color w:val="0000FF"/>
                  <w:sz w:val="20"/>
                  <w:u w:val="single"/>
                </w:rPr>
                <w:t>Security Ownership of Certain Beneficial Owners and Management and Related Shareholder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100">
              <w:r>
                <w:rPr>
                  <w:rStyle w:val="InternetLink"/>
                  <w:rFonts w:ascii="Times New Roman;serif" w:hAnsi="Times New Roman;serif"/>
                  <w:b w:val="false"/>
                  <w:color w:val="0000FF"/>
                  <w:sz w:val="20"/>
                  <w:u w:val="single"/>
                </w:rPr>
                <w:t>172</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03">
              <w:r>
                <w:rPr>
                  <w:rStyle w:val="InternetLink"/>
                  <w:rFonts w:ascii="Times New Roman;serif" w:hAnsi="Times New Roman;serif"/>
                  <w:b w:val="false"/>
                  <w:color w:val="0000FF"/>
                  <w:sz w:val="20"/>
                  <w:u w:val="single"/>
                </w:rPr>
                <w:t>Indemnification of Directors and Officers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103">
              <w:r>
                <w:rPr>
                  <w:rStyle w:val="InternetLink"/>
                  <w:rFonts w:ascii="Times New Roman;serif" w:hAnsi="Times New Roman;serif"/>
                  <w:b w:val="false"/>
                  <w:color w:val="0000FF"/>
                  <w:sz w:val="20"/>
                  <w:u w:val="single"/>
                </w:rPr>
                <w:t>173</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06">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106">
              <w:r>
                <w:rPr>
                  <w:rStyle w:val="InternetLink"/>
                  <w:rFonts w:ascii="Times New Roman;serif" w:hAnsi="Times New Roman;serif"/>
                  <w:b w:val="false"/>
                  <w:color w:val="0000FF"/>
                  <w:sz w:val="20"/>
                  <w:u w:val="single"/>
                </w:rPr>
                <w:t>174</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f52a01415439da0fac9a8ef645ee7_109">
              <w:r>
                <w:rPr>
                  <w:rStyle w:val="InternetLink"/>
                  <w:rFonts w:ascii="Times New Roman;serif" w:hAnsi="Times New Roman;serif"/>
                  <w:b w:val="false"/>
                  <w:color w:val="000080"/>
                  <w:sz w:val="20"/>
                  <w:u w:val="single"/>
                </w:rPr>
                <w:t xml:space="preserve">Index To Combined </w:t>
              </w:r>
            </w:hyperlink>
            <w:hyperlink w:anchor="i11bf52a01415439da0fac9a8ef645ee7_109">
              <w:r>
                <w:rPr>
                  <w:rStyle w:val="InternetLink"/>
                  <w:rFonts w:ascii="Times New Roman;serif" w:hAnsi="Times New Roman;serif"/>
                  <w:b w:val="false"/>
                  <w:color w:val="000080"/>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52a01415439da0fac9a8ef645ee7_109">
              <w:r>
                <w:rPr>
                  <w:rStyle w:val="InternetLink"/>
                  <w:rFonts w:ascii="Times New Roman;serif" w:hAnsi="Times New Roman;serif"/>
                  <w:b w:val="false"/>
                  <w:color w:val="0000FF"/>
                  <w:sz w:val="20"/>
                  <w:u w:val="single"/>
                </w:rPr>
                <w:t>F-1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72" name="Frame2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PRESENTATION OF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Unless context otherwise requires, all references to “we,” “us,” “our,” “Octave,” or the “Company” refer to Octave Intelligence plc, together with its direct and indirect subsidiaries.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was established as a shelf company on July 5, 2017, as a private company limited by shares and was recently de-shelved to hold the Octave Business (as defined below) of Hexagon AB, a Swedish corporation (“Hexagon”). On February 26, 2026, Octave re-registered from a private company limited by shares to a public limited company. Octave has had no significant operations or activity other than its initial issuance of shares for nominal consideration, an additional share issuance to bring the share capital of Octave up to €25,000 (being the minimum capital requirements for a public limited company under Irish law) and organizing, staffing, and preparing for the separation and distribution from Hexagon (the “Distribution”), including by entering into certain agreements in connection with the Distribution. Prior to the Distribution, Hexagon will undergo a series of transactions that will generally result in (a) Octave directly or indirectly owning, assuming, or retaining certain assets and liabilities of Hexagon and its subsidiaries related to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and (b) Hexagon directly or indirectly owning, assuming, or retaining all other assets and liabilities of Hexagon. Unless context otherwise requires, where we describe in this information statement the business activities of Octave, we do so as if the foregoing transactions have already occurred.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of which this information statement forms a part, you are urged to read the full text of such contract, agreement, or document for a more complete understanding of the document or matter involved.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contained in this information statement is accurate as of any date other than the date set forth on the cover.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73" name="Frame2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 REGARDING THE TRADEMARKS/MARKET AND INDUSTRY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own or have rights to use the various trademarks, logos, service marks, and trade names that we use in conjunction with the operation of our business. Solely for convenience, the trademarks, service marks, trade names, and copyrights referred to in this information statement are listed without the ™, ®, or © symbols, but such references do not constitute a waiver of any rights that might be associated with the respective trademarks, service marks, trade names, and copyrights included or referred to in this information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data and certain other statistical information used throughout this information statement are based on independent industry publications, government publications, or other published independent sources. These sources generally state that the information they provide has been obtained from sources believed to be reliable, but that the accuracy and completeness of the information are not guaranteed. We believe that the surveys and market research others have performed are reliable, but we have not independently verified this information. Some data and certain other statistical information are also based on our good faith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in many cases, we have based certain statements contained in this information statement regarding our industry and our position in the industry on certain beliefs and assumptions concerning our customers and competitors. These beliefs and assumptions are based on our experience in the industry and our own investigation of market conditions. While Octave’s management believes these beliefs and assumptions are reasonable, we cannot assure you as to the accuracy of any such beliefs and assumptions, and such beliefs and assumptions may change. Certain terms should be construed specific to the context provided and may vary from how other industry participants may use such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74" name="Frame2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AUDITOR INDEPENDENCE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an initial registration, compliance with all independence rules of the United States Securities and Exchange Commission (the “SEC”) and the Public Company Accounting Oversight Board (United States) (“PCAOB”) are required during the period covering the most recent annual financial statements included in the registration statement and subsequent periods. In addition, compliance with applicable home country independence rules and the SEC’s general standard of independence in Rule 2-01(b) of Regulation S-X is required for all prior periods included in the registration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Combined Financial Statements of Octave at December 31, 2025 and 2024, and for each of the three years in the period ended December 31, 2025, appearing in this registration statement have been audited by PricewaterhouseCoopers AB (“PwC”), an independent registered public accounting firm, as set forth in their report thereon appearing elsewhere herein.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PwC completed an independence assessment to evaluate the services and relationships with Octave and its affiliates that may bear on PwC’s independence under the SEC and PCAOB independence rules for the audit period commencing January 1, 2022. As described below, a service and a relationship were found to exist within the audit period which are not in accordance with the auditor independence standards of Regulation S-X and the PCAOB.</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October 2024 to December 2024, a member firm of PricewaterhouseCoopers International Limited (“PwC Member Firm”) performed employee type activities in connection with the provision of a non-audit service.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January 2023 to February 2024, a business relationship existed between a PwC Member Firm and an affiliate of Octave whereby the two parties participated in joint webinars.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PwC provided an overview to the Audit Committee of Hexagon’s board of directors and the executive management team of Hexagon of the facts and circumstances surrounding the service and relationship including the entities involved, the nature of the service and relationship, the immateriality, and the period over which service and relationship existed.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Considering the facts presented, the Audit Committee of Hexagon’s board of directors and PwC have concluded (i) that the relationships did not and would not impair PwC’s application of objective and impartial judgment on any matter encompassed within PwC’s audits of Octave’s Combined Financial Statements as of December 31, 2025 and 2024 and for each of the three years in the period ended December 31, 2025, and (ii) that no reasonable investor would conclude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75" name="Frame2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QUESTIONS AND ANSWERS ABOUT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brief summary of the terms of the Distribution. Please see “The Separation and the Distribution” for a more detailed description of the matters described below.</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is Octave, and why is Hexagon separating the Octave Business and distributing Octave Shares?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A:Octave was established as a shelf company in Ireland as a private company limited by shares and was de-shelved, renamed and re-registered as a public limited company to hold the Octave Business in connection with the separation. Prior to the Distribution, the Octave Business will continue to be conducted within Hexagon. The separation of Octave from Hexagon and the Distribution are intended to provide you with equity securities in two separate, independent public companies, each of which will be able to focus on its respective business strategies. Hexagon and Octave believe the Distribution will enable each company to pursue focused growth and investment strategies in its respective areas of expertise, with the goal of enhancing the long-term performance potential of each business, as further discussed in “The Separation and the Distribution.”</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Q:Why am I receiving this document?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A:You are receiving this information statement because you are a holder of shares of Hexagon capital stock. If you remain a holder of Hexagon Class A Shares and/or Hexagon Class B Shares as of the record date for the Distribution, you will be entitled to receive one (1) Octave Class A Ordinary Share for every ten (10) Hexagon Class A Shares and one (1) Octave Class B Ordinary Share for every ten (10) Hexagon Class B Shares held as of the record date. This information statement is intended to help you understand how the Distribution will affect your investment in Hexagon and your investment in Octave after the Distribution. </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is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Distribution is the method by which Hexagon will separate the Octave Business from Hexagon’s other business, creating two separate, publicly-traded companies. In the Distribution, Hexagon will distribute to its shareholders as of the record date, on a pro rata basis, Octave Class A Ordinary Shares and Octave Class B Ordinary Shares. Following the Distribution, Octave will be a separate company from Hexagon, and Hexagon will not retain any ownership interest in Octave. The number of shares of Hexagon capital stock you own will not change as a result of the Distribution.</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is being distributed in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of the Octave Class A Ordinary Shares and Octave Class B Ordinary Shares will be distributed in the Distribution based upon the number of Hexagon Class A Shares and Hexagon Class B Shares outstanding on the record date. The Octave Class A Ordinary Shares and Octave Class B Ordinary Shares to be distributed by Hexagon will constitute all of its issued share capital immediately after the Distribution. Non-affiliate holders of Hexagon Class B Shares will receive Octave Class B Ordinary Shares by way of Skandinaviska Enskilda Banken AB (“SEB”) issuing the Octave SDRs that each represent one underlying Octave Class B Ordinary Share into such holders’ Euroclear Sweden accounts. For more information on the Distribution and the shares being distributed in the Distribution, see “How will Hexagon distribute Octave Shares to me?” and “Description of Our Share Capital.”</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Q:Which business and assets will transfer to Octave and which business and assets will remain with Hexagon?</w:t>
      </w:r>
    </w:p>
    <w:p>
      <w:pPr>
        <w:pStyle w:val="TextBody"/>
        <w:bidi w:val="0"/>
        <w:spacing w:lineRule="auto" w:line="268" w:before="0" w:after="180"/>
        <w:ind w:left="0" w:right="0" w:hanging="720"/>
        <w:jc w:val="left"/>
        <w:rPr/>
      </w:pPr>
      <w:r>
        <w:rPr>
          <w:rFonts w:ascii="Times New Roman;serif" w:hAnsi="Times New Roman;serif"/>
          <w:b w:val="false"/>
          <w:color w:val="000000"/>
          <w:sz w:val="22"/>
        </w:rPr>
        <w:t>A:</w:t>
      </w:r>
      <w:r>
        <w:rPr>
          <w:rFonts w:ascii="Times New Roman;serif" w:hAnsi="Times New Roman;serif"/>
          <w:b w:val="false"/>
          <w:color w:val="000000"/>
          <w:sz w:val="20"/>
        </w:rPr>
        <w:t xml:space="preserve">Following the Distribution, Octave will own and operate the assets and be responsible for the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w:t>
      </w:r>
    </w:p>
    <w:p>
      <w:pPr>
        <w:pStyle w:val="TextBody"/>
        <w:bidi w:val="0"/>
        <w:spacing w:before="0" w:after="0"/>
        <w:jc w:val="center"/>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76" name="Frame2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audits and other workflows into a single governed system of record; and (iv) Hexagon’s Bricsys business unit, which focuses on developing computer-aided design software for complex 3D modeling, engineering analysis and construction solutions.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Hexagon will continue to hold, among other assets, those related to measurement technologies, with a comprehensive suite of metrology, reality capture, and positioning solutions.</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will I receive in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A:Holders of Hexagon Class A Shares will receive a pro rata distribution of Octave Class A Ordinary Shares, and holders of Hexagon Class B Shares will receive a pro rata distribution of Octave Class B Ordinary Shares. However, non-affiliate holders of Hexagon Class B Shares will receive Octave Class B Ordinary Shares by way of SEB issuing the Octave SDRs that each represent one underlying Octave Class B Ordinary Share into such holders’ Euroclear Sweden accounts. As a result of the Distribution, the number of shares of Hexagon you hold and your proportionate interest in Hexagon will not change. For a more detailed description, see “How will Hexagon distribute Octave Shares to me?” and “The Separation and the Distribution.”</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Q:How will Hexagon distribute Octave Shares to me?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A:Non-affiliate holders of Hexagon Class B Shares on the record date will be entitled to Octave Class B Ordinary Shares pursuant to the Distribution. Such Octave Class B Ordinary Shares will be registered in the name of Cede &amp; Co, as nominee for The Depositary Trust Company (“DTC”), and deposited into the DTC participant account of a nominee of SEB, as Octave SDR depositary, and SEB will then issue the Octave SDRs representing the underlying Octave Class B Ordinary Shares into the Euroclear Sweden accounts of the relevant holders of Hexagon Class B Shares. Affiliate holders of Hexagon Class B Shares on the record date will receive Octave Class B Ordinary Shares, and holders of Hexagon Class A Shares on the record date will receive Octave Class A Ordinary Shares. Such Octave Class B Ordinary Shares to be received by affiliates of Hexagon and Octave Class A Ordinary Shares will be recorded in book-entry form with the transfer agent. See “The Separation and the Distribution—Manner of Effecting the Distribution” for a more detailed explanation.</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is the record date for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A:Record ownership will be determined as of                     , which we refer to as the “record date.” The person in whose name Hexagon Shares are registered as of the record date is the person who is entitled to Octave Shares in the Distribution.</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Q:When will the Distribution occur?</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A:Record ownership will be determined as of the record date on                     , the Distribution is expected to be completed at               , Stockholm time, on                    ,                    , and the Octave SDRs are expected to be delivered to the non-affiliate holders of Hexagon Class B Shares on                     ,          . Octave Class A Ordinary Shares will be delivered to holders of Hexagon Class A Shares and Octave Class B Ordinary Shares will be delivered to holders of Hexagon Class B Shares that are Hexagon affiliates in book-entry form via Octave’s transfer agent.</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Q:Can Hexagon decide to cancel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A:No, the shareholders of Hexagon resolved at the general meeting on                     , to approve the Distribution, among other related matters. As a result, while Hexagon retains discretion as to the timing of the Distribution, which must be completed before the annual general meeting following the general meeting at which Hexagon shareholders approved the Distribution, Hexagon may not cancel the Distribution.</w:t>
      </w:r>
    </w:p>
    <w:p>
      <w:pPr>
        <w:pStyle w:val="TextBody"/>
        <w:bidi w:val="0"/>
        <w:spacing w:before="0" w:after="0"/>
        <w:jc w:val="center"/>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77" name="Frame2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will the relationship between Hexagon and Octave be following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A:Following the Distribution, Octave will be a separate public company and Hexagon will have no continuing interest in the share capital of Octave. In connection with the Distribution, Octave and Hexagon will enter into a distribution agreement (the “Distribution Agreement”), and ancillary agreements to include arrangements with respect to employee matters (the “Employee Matters Agreement”), tax matters (the “Tax Disaffiliation Agreement”), transition services (the “Transition Services Agreement”), and other agreements for the purpose of accomplishing the separation and Distribution of Octave’s issued share capital to Hexagon’s shareholders.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agreements will govern Octave’s relationship with Hexagon subsequent to the Distribution and will provide for the allocation of employee benefit, tax, and other liabilities and obligations attributable to periods prior to, at, and after the Distribution. These agreements also will include arrangements with respect to employment matters under the Employee Matters Agreement, transition services under the Transition Services Agreement, and a number of ongoing commercial relationships. The Distribution Agreement will provide that Octave and Hexagon will provide each other with appropriate indemnities with respect to liabilities arising out of the business being transferred to Octave by Hexagon. Octave will also be party to other arrangements with Hexagon. See “Certain Relationships and Related Party Transactions.”</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do I have to do to participate in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holders of Hexagon Shares as of the record date will participate in the Distribution. No action is required on your part to participate in the Distribution, but we urge you to read this information statement carefully and in its entirety. Shareholders of Hexagon on the record date are not required to pay any cash or deliver any other consideration to Hexagon or Octave, including any Hexagon Shares, for the Octave Shares or the Octave SDRs (as applicable) distributable to them in the Distribution. </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Q:If I sell Hexagon Shares on or after the record date but on or before the Distribution Date, am I still entitled to receive Octave Shares distributable with respect to the Hexagon Shares I sold?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record date for receipt of Octave Shares is            ,          . Since trades on Nasdaq Stockholm settle on a T+2 basis, the last day of trading in Hexagon Shares on Nasdaq Stockholm including the right to the distribution of Octave Shares will be                     , the second trading day before the record date. Hexagon Shares will thus be traded excluding the right to the distribution of Octave Shares on and after                     , the last trading day before the record date. If a record holder of Hexagon Shares sells those shares on or after                     , the last trading day before the record date, but on or prior to the Distribution Date, the seller will still be entitled to receive the relevant Octave Shares delivered in the Distribution.</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Q:How will fractional shares and fractional Swedish Depository Receipts (“SDRs”) be treated in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A:No fractional shares or fractional SDRs will be distributed. Instead, Computershare, in its capacity as transfer and distribution agent, will aggregate fractional shares into whole shares and then sell the whole shares on Nasdaq New York, while SEB, in its capacity as Octave SDR depositary, will aggregate fractional SDRs into whole SDRs and then sell the whole SDRs on Nasdaq Stockholm. In each case, the whole shares and whole SDRs will be sold at prevailing rates and Computershare and SEB, as applicable, will distribute the net cash proceeds pro rata to each holder who would otherwise have been entitled to fractional shares or fractional SDRs in the Distribution. See “The Separation and the Distribution—Manner of Effecting the Distribution” for an explanation of how the cash payments will be determined and “Material U.S. Federal Income Tax Consequences,” “Material Irish Tax Consequences,” and “Material Swedish Tax Consequences” for explanations of the tax consequences of such cash payments.</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is a Swedish Depository Receipt, and can I directly hold the underlying Octave Shares?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A:An SDR is a financial instrument issued by a Swedish bank representing shares in a non-Swedish company. In connection with the Distribution, Octave Class B Ordinary Shares will be deposited via the facilities of </w:t>
      </w:r>
    </w:p>
    <w:p>
      <w:pPr>
        <w:pStyle w:val="TextBody"/>
        <w:bidi w:val="0"/>
        <w:spacing w:before="0" w:after="0"/>
        <w:jc w:val="center"/>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78" name="Frame2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 xml:space="preserve">DTC with a sub-custodian of SEB pursuant to an SDR Issuer Agreement to be entered into between Octave and SEB (the “SDR Issuer Agreement”). SEB will then issue and deliver the Octave SDRs representing the Octave Class B Ordinary Shares to holders of Hexagon Class B Shares that are not affiliates of Hexagon. Any such Octave SDRs will be issued and governed in accordance with Swedish law, the SDR Issuer Agreement, and the General Terms and Conditions for Swedish Depository Receipts in Octave (the “General Terms and Conditions”). An Octave SDR holder can cancel their Octave SDR and receive the underlying Octave Class B Ordinary Shares in a U.S. brokerage account, a custody account, an investment savings account (Sw. </w:t>
      </w:r>
      <w:r>
        <w:rPr>
          <w:rFonts w:ascii="Times New Roman;serif" w:hAnsi="Times New Roman;serif"/>
          <w:b w:val="false"/>
          <w:i/>
          <w:color w:val="000000"/>
          <w:sz w:val="20"/>
        </w:rPr>
        <w:t>investeringssparkonto</w:t>
      </w:r>
      <w:r>
        <w:rPr>
          <w:rFonts w:ascii="Times New Roman;serif" w:hAnsi="Times New Roman;serif"/>
          <w:b w:val="false"/>
          <w:color w:val="000000"/>
          <w:sz w:val="20"/>
        </w:rPr>
        <w:t xml:space="preserve">), or an endowment insurance (Sw. </w:t>
      </w:r>
      <w:r>
        <w:rPr>
          <w:rFonts w:ascii="Times New Roman;serif" w:hAnsi="Times New Roman;serif"/>
          <w:b w:val="false"/>
          <w:i/>
          <w:color w:val="000000"/>
          <w:sz w:val="20"/>
        </w:rPr>
        <w:t>kapitalförsäkring</w:t>
      </w:r>
      <w:r>
        <w:rPr>
          <w:rFonts w:ascii="Times New Roman;serif" w:hAnsi="Times New Roman;serif"/>
          <w:b w:val="false"/>
          <w:color w:val="000000"/>
          <w:sz w:val="20"/>
        </w:rPr>
        <w:t xml:space="preserve">). See “Description of Swedish Depository Receipts.” </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Q:Where will the Octave SDRs be listed, and how long will that listing be maintained?</w:t>
      </w:r>
    </w:p>
    <w:p>
      <w:pPr>
        <w:pStyle w:val="TextBody"/>
        <w:bidi w:val="0"/>
        <w:spacing w:lineRule="auto" w:line="288" w:before="0" w:after="180"/>
        <w:ind w:left="0" w:right="0" w:hanging="720"/>
        <w:jc w:val="both"/>
        <w:rPr/>
      </w:pPr>
      <w:r>
        <w:rPr>
          <w:rFonts w:ascii="Times New Roman;serif" w:hAnsi="Times New Roman;serif"/>
          <w:b w:val="false"/>
          <w:color w:val="000000"/>
          <w:sz w:val="20"/>
        </w:rPr>
        <w:t>A:Octave currently intends to distribute interests in the Octave Class B Ordinary Shares through an SDR program that will be listed on Nasdaq Stockholm substantially concurrently with listing the Octave Class B Ordinary Shares on Nasdaq New York, as described above (the “Octave SDR Program”). Octave intends to maintain the Octave SDR Program until further notice, which Octave expects to be for about two years following the Distribution Date, however Octave intends to evaluate the Octave SDR Program over time in light of liquidity and relative trading volume on Nasdaq Stockholm and Nasdaq New York. Octave will provide at least three months’ notice to holders of Octave SDRs prior to termination of the listing of the Octave SDRs on Nasdaq Stockholm. There can be no assurance that the Octave SDR Program will be maintained for this period. Octave has agreed to pay any fees for holders who wish to cancel their Octave SDRs and receive the underlying Octave Class B Ordinary Shares in a U.S. brokerage account, a custody account, an investment savings account (Sw. </w:t>
      </w:r>
      <w:r>
        <w:rPr>
          <w:rFonts w:ascii="Times New Roman;serif" w:hAnsi="Times New Roman;serif"/>
          <w:b w:val="false"/>
          <w:i/>
          <w:color w:val="000000"/>
          <w:sz w:val="20"/>
        </w:rPr>
        <w:t>investeringssparkonto</w:t>
      </w:r>
      <w:r>
        <w:rPr>
          <w:rFonts w:ascii="Times New Roman;serif" w:hAnsi="Times New Roman;serif"/>
          <w:b w:val="false"/>
          <w:color w:val="000000"/>
          <w:sz w:val="20"/>
        </w:rPr>
        <w:t xml:space="preserve">), or an endowment insurance (Sw. </w:t>
      </w:r>
      <w:r>
        <w:rPr>
          <w:rFonts w:ascii="Times New Roman;serif" w:hAnsi="Times New Roman;serif"/>
          <w:b w:val="false"/>
          <w:i/>
          <w:color w:val="000000"/>
          <w:sz w:val="20"/>
        </w:rPr>
        <w:t>kapitalförsäkring</w:t>
      </w:r>
      <w:r>
        <w:rPr>
          <w:rFonts w:ascii="Times New Roman;serif" w:hAnsi="Times New Roman;serif"/>
          <w:b w:val="false"/>
          <w:color w:val="000000"/>
          <w:sz w:val="20"/>
        </w:rPr>
        <w:t xml:space="preserve">), for the six (6) months from and including the first day of trading in the Octave SDRs on Nasdaq Stockholm. After such period, such fees will be borne by the holder. See “Description of Swedish Depository Receipts.”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listing of the Octave SDRs, Octave has also made available a Swedish prospectus.</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Q:What is the reason for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potential benefits considered by Hexagon’s board of directors in making the determination to consummate the Distribution included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Different Independent Strategic Needs.</w:t>
      </w:r>
      <w:r>
        <w:rPr>
          <w:color w:val="000000"/>
        </w:rPr>
        <w:t xml:space="preserve"> </w:t>
      </w:r>
      <w:r>
        <w:rPr>
          <w:rFonts w:ascii="Times New Roman;serif" w:hAnsi="Times New Roman;serif"/>
          <w:b w:val="false"/>
          <w:color w:val="000000"/>
          <w:sz w:val="20"/>
        </w:rPr>
        <w:t xml:space="preserve">The Distribution will provide each of Hexagon and Octave with increased flexibility to pursue their own 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stock as currency for acquisitions reflective of their distinct growth strategies.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Operational Autonomy.</w:t>
      </w:r>
      <w:r>
        <w:rPr>
          <w:color w:val="000000"/>
        </w:rPr>
        <w:t xml:space="preserve"> </w:t>
      </w:r>
      <w:r>
        <w:rPr>
          <w:rFonts w:ascii="Times New Roman;serif" w:hAnsi="Times New Roman;serif"/>
          <w:b w:val="false"/>
          <w:color w:val="000000"/>
          <w:sz w:val="20"/>
        </w:rPr>
        <w:t xml:space="preserve">Going forward, Hexagon anticipates focusing on its core mission of helping industrial customers address labor shortages 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Financial Resources.</w:t>
      </w:r>
      <w:r>
        <w:rPr>
          <w:color w:val="000000"/>
        </w:rPr>
        <w:t xml:space="preserve"> </w:t>
      </w:r>
      <w:r>
        <w:rPr>
          <w:rFonts w:ascii="Times New Roman;serif" w:hAnsi="Times New Roman;serif"/>
          <w:b w:val="false"/>
          <w:color w:val="000000"/>
          <w:sz w:val="20"/>
        </w:rPr>
        <w:t xml:space="preserve">The Distribution will allow each company to raise and invest capital in its business in a time and manner appropriate for its distinct strategy and business needs, facilitating a more efficient allocation of capital.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Attraction and Retention of Talent.</w:t>
      </w:r>
      <w:r>
        <w:rPr>
          <w:color w:val="000000"/>
        </w:rPr>
        <w:t xml:space="preserve"> </w:t>
      </w:r>
      <w:r>
        <w:rPr>
          <w:rFonts w:ascii="Times New Roman;serif" w:hAnsi="Times New Roman;serif"/>
          <w:b w:val="false"/>
          <w:color w:val="000000"/>
          <w:sz w:val="20"/>
        </w:rPr>
        <w:t xml:space="preserve">The businesses that Hexagon and Octave will separately conduct have different risk and reward profiles, which results in different work environments and cultures. The Distribution will allow each company to compete more effectively for the best talent in the space in which </w:t>
      </w:r>
    </w:p>
    <w:p>
      <w:pPr>
        <w:pStyle w:val="TextBody"/>
        <w:bidi w:val="0"/>
        <w:spacing w:before="0" w:after="0"/>
        <w:jc w:val="center"/>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9" name="Frame2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viii</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operates by implementing a work environment and culture that is oriented to the business it conducts without consideration of the impact of such environment or culture on the business that the other company will be conducting. Octave’s operating practices will be focused on agility, collaboration, empowerment, and speed in order to compete for the best talent against technology and software development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Employee Incentives.</w:t>
      </w:r>
      <w:r>
        <w:rPr>
          <w:color w:val="000000"/>
        </w:rPr>
        <w:t xml:space="preserve"> </w:t>
      </w:r>
      <w:r>
        <w:rPr>
          <w:rFonts w:ascii="Times New Roman;serif" w:hAnsi="Times New Roman;serif"/>
          <w:b w:val="false"/>
          <w:color w:val="000000"/>
          <w:sz w:val="20"/>
        </w:rPr>
        <w:t>The Distribution will facilitate incentive compensation arrangements for employees more closely tied to the performance of the relevant company’s business, and can thereby enhance employee hiring and retention by, among other things, improving alignment of management and employee incentives with performance and growth objectives.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Enhanced Strategic Alignment.</w:t>
      </w:r>
      <w:r>
        <w:rPr>
          <w:color w:val="000000"/>
        </w:rPr>
        <w:t xml:space="preserve"> </w:t>
      </w:r>
      <w:r>
        <w:rPr>
          <w:rFonts w:ascii="Times New Roman;serif" w:hAnsi="Times New Roman;serif"/>
          <w:b w:val="false"/>
          <w:color w:val="000000"/>
          <w:sz w:val="20"/>
        </w:rPr>
        <w:t>The Distribution will allow each company to focus on and more effectively pursue distinct product portfolios, 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Potential Increased Share Value.</w:t>
      </w:r>
      <w:r>
        <w:rPr>
          <w:color w:val="000000"/>
        </w:rPr>
        <w:t xml:space="preserve"> </w:t>
      </w:r>
      <w:r>
        <w:rPr>
          <w:rFonts w:ascii="Times New Roman;serif" w:hAnsi="Times New Roman;serif"/>
          <w:b w:val="false"/>
          <w:color w:val="000000"/>
          <w:sz w:val="20"/>
        </w:rPr>
        <w:t>The evaluation of separate investment characteristics, including risks, performance, and future prospects of the 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Hexagon’s board of directors also considered several factors that might have a negative effect on Hexagon as a result of the Distribution. Hexagon’s capital stock may come under initial selling pressure as certain Hexagon shareholders sell their shares because they may have differing interests in or investment mandates with respect to holding an investment in Hexagon’s remaining business. In addition, the Distribution would separate from Hexagon the business and assets of Octave, which represent significant value, and the relatively smaller size and expected market value of Hexagon may limit investors’ ability to appropriately value Hexagon after the Distribution. Hexagon’s board of directors also considered certain aspects of the Distribution that may be adverse to Octave. Octave’s share capital may come under initial selling pressure as certain Hexagon shareholders sell their shares in Octave because they may have differing interests in or investment mandates with respect to holding an investment in Octave’s business. Furthermore, the structure of the Distribution is novel in that Octave Class B Ordinary Shares will trade on Nasdaq New York, while the Octave SDRs will trade on Nasdaq Stockholm, subject to termination. Moreover, certain factors such as the relatively smaller size and expected market value of Octave may limit investors’ ability to appropriately value Octave’s share capital. In addition, after the Distribution, Octave’s results in the near-term may not have as predictable cash flow as Hexagon’s businesses or may be impacted by no longer forming part of a larger business enterprise, which may result in more volatile and less predictable operating results and cash flow for Octave for a period following the Distribution. As a result of the Distribution, Octave will bear significant incremental costs associated with being a publicly-held company and will need to absorb certain corporate and operational support costs previously allocated to Hexagon.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the “Unaudited Pro Forma Combined Financial Information” section for further details. You are also urged to carefully read the information set forth in the section of this information statement entitled “Risk Factors.”</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Q:Who will manage Octave after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A:The board of directors of Octave (the “Board of Directors”) will consist of six directors. Brett Watson will serve as an independent director and Chairman of the Board of Directors. Mattias Stenberg will serve as a director, and Jill Smith, David Hollister, Magnus Ahlqvist and Meerah Rajavel will serve as independent directors.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Chief Executive Officer of Octave will be Mattias Stenberg, who will be responsible for the strategic direction of Octave, including its overall operations and performance. The Chief Financial Officer of Octave will be Benjamin Maslen. Other individuals that will serve as our executive officers following the </w:t>
      </w:r>
    </w:p>
    <w:p>
      <w:pPr>
        <w:pStyle w:val="TextBody"/>
        <w:bidi w:val="0"/>
        <w:spacing w:before="0" w:after="0"/>
        <w:jc w:val="center"/>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80" name="Frame2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ix</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completion of the Distribution are set forth below in “Corporate Governance and Management—Directors and Executive Officers.”</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Q:Will Hexagon shareholders be subject to taxation on Octave Shares received in the Distribution?</w:t>
      </w:r>
    </w:p>
    <w:p>
      <w:pPr>
        <w:pStyle w:val="TextBody"/>
        <w:bidi w:val="0"/>
        <w:spacing w:lineRule="auto" w:line="26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A:Under U.S. federal income tax law, the Distribution is intended to qualify as a transaction that is generally tax-free as a “reorganization” for U.S. federal income tax purposes under Section 355 of the Internal Revenue Code of 1986, as amended (the “Code”). Accordingly, it is expected that, except with respect to cash received in lieu of fractional Octave Shares or fractional Octave SDRs, no gain or loss should be recognized by you, and no amount should be included in your taxable income, upon the receipt of Octave Shares or Octave SDRs in the distribution for U.S. federal income tax purposes. U.S. Holders (as defined in “Material U.S. Federal Income Tax Consequences”) will, however, recognize gain or loss for U.S. federal income tax purposes with respect to cash received in lieu of fractional Octave Shares or fractional Octave SDRs. Although the Distribution is intended to be tax-free, the Internal Revenue Service (the “IRS”) could assert that the Distribution does not qualify for tax-free treatment. If the IRS were successful in taking this position, U.S. Holders (as defined in “Material U.S. Federal Income Tax Consequences”) would be subject to tax as if they had received a taxable distribution equal to the fair market value of the Octave Shares or Octave SDRs received by them in the Distribution. For more information regarding the material U.S. federal income tax consequences of the Distribution, see “Material U.S. Federal Income Tax Consequences.”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Irish tax law, holders of Hexagon Shares who are not tax resident in Ireland and who do not have a branch or agency in Ireland through which a trade is carried on to which the holding of such shares is attributable will not be subject to Irish tax as a result of the Distribution. For a further discussion, see “Material Irish Tax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Swedish tax law, Hexagon has received a written confirmation from the Swedish Tax Agency that the Distribution, together with certain related transactions, qualifies as a transaction that is generally tax exempt for Swedish tax purposes under the Lex-ASEA rule. Material Swedish tax consequences of the Distribution are described in detail under the heading “Material Swedish Tax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tax consequences of the Distribution to each holder of Hexagon Shares may depend on such holder’s particular facts and circumstances. Holders of Hexagon Shares are urged to consult their own tax advisors to understand fully the tax consequences to them of the Distribution.</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Q:Does Octave intend to pay cash dividends?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A:Following the Distribution, Octave currently anticipates that it will retain future earnings for the development, operation, and expansion of the Octave Business, and does not anticipate declaring or paying cash dividends in the near future. The payment of any dividends in the future, and the timing and amount thereof, is within the discretion of the Board of Directors. See “The Separation and the Distribution—Dividend Policy.”</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Q:Will there be Irish withholding tax on future dividends, if any, by Octave?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A:Octave is tax resident solely in Ireland. As long as Octave is resident for tax purposes in Ireland, any dividends paid by Octave will be subject to Irish withholding tax. The relevant shareholder may be entitled to an exemption from Irish withholding tax provided that such shareholder has complied with necessary procedural formalities. See “Material Irish Tax Consequences.” </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Q:Will there be an Irish stamp tax liability on the transfer or sale of Octave Shares by Octave shareholders after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A:No stamp taxes are expected to be payable in Ireland on transfers of Octave Shares within DTC or transfer of Octave SDRs within Euroclear Sweden. For further discussion, see “Material Irish Tax Consequences.”</w:t>
      </w:r>
    </w:p>
    <w:p>
      <w:pPr>
        <w:pStyle w:val="TextBody"/>
        <w:bidi w:val="0"/>
        <w:spacing w:before="0" w:after="0"/>
        <w:jc w:val="center"/>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81" name="Frame2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x</w:t>
                      </w:r>
                    </w:p>
                  </w:txbxContent>
                </v:textbox>
                <w10:wrap type="none"/>
              </v:rect>
            </w:pict>
          </mc:Fallback>
        </mc:AlternateConten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Q:How will Octave Shares trade?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A:Currently, there is no public market for Octave Shares, although a “when-issued” market in Octave Class B Ordinary Shares may develop as soon as one New York business day prior to the record date for the Distribution. We have applied for the Octave Class B Ordinary Shares to be listed on Nasdaq New York under the symbol “OCTV.” Assuming that such listing application is approved, it is anticipated that trading will commence           New York business days following the Distribution Date. No assurance can be given that Octave’s listing application will be approved. Octave cannot predict the trading prices for Octave Shares on or after the Distribution Date. Please also refer to “How will Hexagon distribute Octave Shares to me?” </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Q:How will Octave SDRs trade?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A:Octave currently intends to distribute interests in Octave Class B Ordinary Shares through an SDR program, which Octave SDRs will be listed on Nasdaq Stockholm substantially concurrently with listing the Octave Class B Ordinary Shares on Nasdaq New York. Octave intends to maintain the Octave SDR Program until further notice, which Octave expects to be for about two years following the Distribution, however Octave intends to evaluate the Octave SDR Program over time in light of liquidity and relative trading volume on Nasdaq Stockholm and Nasdaq New York and Octave will provide at least three months’ notice to holders of Octave SDRs prior to termination of the listing of the Octave SDRs on Nasdaq Stockholm. There can be no assurance that the Octave SDR Program will be maintained for this period. See “Description of Swedish Depository Receipts.”</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Q:Will the Distribution affect the trading price of my Hexagon Class B Shares?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A:Yes. After the initial distribution of Octave Class B Ordinary Shares, the trading price of Hexagon Class B Shares may be lower than the trading price of Hexagon Class B Shares immediately prior to the Distribution. Moreover, until the market has evaluated the operations of Hexagon without the operations of the Octave Business, the trading price of Hexagon Class B Shares (listed on Nasdaq Stockholm), Octave Class B Shares (listed on Nasdaq New York), and Octave SDRs (listed on Nasdaq Stockholm) may fluctuate significantly. Hexagon believes that the separation of Octave from Hexagon offers its shareholders the greatest long-term value. However, the combined trading prices of Hexagon Class B Shares, Octave Class B Ordinary Shares, and Octave SDRs after the Distribution may be lower than the trading price of Hexagon Class B Shares prior to the Distribution. See “Risk Factors.”</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Q:Will the number of Hexagon Shares I own change as a result of the Distribution?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A:No. The number of Hexagon Shares you own will not change as a result of the Distribution.</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Q:Are there risks associated with owning Octave Shares and Octave SDRs?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A:Yes. There are risks associated with owning Octave Shares and Octave SDRs. Ownership of Octave Shares and Octave SDRs is subject to both general and specific risks related to the Octave Business, the industry in which it operates, its ongoing relationships with Hexagon, and its status as a new, independent publicly-traded company. Ownership of Octave Shares and Octave SDRs is also subject to risks related to the separation and Distribution. See “Risk Factors.” </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Q:Will Octave have any indebtedness?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A:In connection with the Distribution, Octave expects to enter into a five-year senior unsecured revolving credit facility in an aggregate principal amount of up to $500 million and a four-year senior unsecured term loan facility consisting of a U.S. dollar denominated term loan in an amount of up to $350 million and a Euro denominated term loan in an amount of up to €150 million, which we refer to as the “Proposed Facilities.” Octave has entered into the Commitment Letter (as defined below) related to syndication of the Proposed Facilities. Upon completion of the Distribution, Octave expects the revolving credit facility to be undrawn and the term loan facility to be fully drawn, which proceeds will be used to make a cash payment </w:t>
      </w:r>
    </w:p>
    <w:p>
      <w:pPr>
        <w:pStyle w:val="TextBody"/>
        <w:bidi w:val="0"/>
        <w:spacing w:before="0" w:after="0"/>
        <w:jc w:val="center"/>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82" name="Frame2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xi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xi</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Hexagon. The composition of the Proposed Facilities and the capital structure of Octave may change based on syndication of the Proposed Facilities, which is expected to be completed prior to the effectiveness of the registration statement of which this information statement forms a part. For more information, see “Description of Material Indebtedness.” </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Q:Who is the distribution agent, transfer agent, and registrar for Octave Shares?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A:The distribution agent, transfer agent, and registrar for Octave Shares will be Computershare Trust Company, N.A. For questions relating to the transfer or mechanics of the Distribution, you should contact Computershare Trust Company, N.A. at (866) 644 4127 (within the United States, U.S. territories, and Canada) or at +1 (781) 575 2906 (outside the United States, U.S. territories, and Canada) or by web.queries@computershare.com.</w:t>
      </w:r>
    </w:p>
    <w:p>
      <w:pPr>
        <w:pStyle w:val="TextBody"/>
        <w:bidi w:val="0"/>
        <w:spacing w:lineRule="auto" w:line="288" w:before="0" w:after="180"/>
        <w:ind w:left="0" w:right="0" w:hanging="720"/>
        <w:jc w:val="left"/>
        <w:rPr>
          <w:rFonts w:ascii="Times New Roman;serif" w:hAnsi="Times New Roman;serif"/>
          <w:b/>
          <w:color w:val="000000"/>
          <w:sz w:val="20"/>
        </w:rPr>
      </w:pPr>
      <w:r>
        <w:rPr>
          <w:rFonts w:ascii="Times New Roman;serif" w:hAnsi="Times New Roman;serif"/>
          <w:b/>
          <w:color w:val="000000"/>
          <w:sz w:val="20"/>
        </w:rPr>
        <w:t>Q:Who is the custodian bank for the Octave SDRs?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custodian bank for the Octave SDRs will be: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Skandinaviska Enskilda Banken AB (publ)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Kungsträdgårdsgatan 8</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SE-106 40 Stockholm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Sweden</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Email: seb.sdr@seb.se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questions relating to the transfer or mechanics of the Octave SDRs in connection with the Distribution, you should contact Computershare Trust Company, N.A. at (866) 644 4127 (within the United States, U.S. territories, and Canada), at +1 (781) 575 2906 (outside the United States, U.S. territories, and Canada) or by email at web.queries@computershare.com.</w:t>
      </w:r>
    </w:p>
    <w:p>
      <w:pPr>
        <w:pStyle w:val="TextBody"/>
        <w:bidi w:val="0"/>
        <w:spacing w:lineRule="auto" w:line="288" w:before="0" w:after="180"/>
        <w:ind w:left="0" w:right="0" w:hanging="720"/>
        <w:jc w:val="both"/>
        <w:rPr>
          <w:rFonts w:ascii="Times New Roman;serif" w:hAnsi="Times New Roman;serif"/>
          <w:b/>
          <w:color w:val="000000"/>
          <w:sz w:val="20"/>
        </w:rPr>
      </w:pPr>
      <w:r>
        <w:rPr>
          <w:rFonts w:ascii="Times New Roman;serif" w:hAnsi="Times New Roman;serif"/>
          <w:b/>
          <w:color w:val="000000"/>
          <w:sz w:val="20"/>
        </w:rPr>
        <w:t>Q:Where can I get more information?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A:If you have questions relating to the mechanics of the distribution of Octave Shares, you should contact the distribution agent, transfer agent, and registrar of Octave.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have a question relating to the mechanics of the Octave SDRs, you should contact SEB.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83" name="Frame2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xii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xii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SUMMARY</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following is a brief summary of certain information contained in this information statement. This summary is included for convenience only and is not, and should not be considered, complete. This summary is qualified in its entirety by more detailed information contained elsewhere in this information statement, which should be read carefully and in its entirety. Please refer to the section entitled “Risk Factors” for a discussion of risks related to Octave and the Distribution. </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 </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Mission Statement</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 </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Business Overview</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 </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2025 and 2024, Gross Retention Rate (“GRR”) was 97% and GRR for Large Customers was 99%. Further, as of December 31, 2025 and 2024, Net Retention Rate (“NRR”) was 105%. These metrics demonstrate the mission-critical nature of our software and the high degree of loyalty within our customer base. For more information on GRR and NRR, see “Management's Discussion and Analysis of Financial Condition and Results of Operations—Key Business Metrics.” We serve diverse markets, including power generation and utilities, data centers, heavy construction, process industries, public safety, transportation networks, and other environments where reliability, safety, and coordinated operations are essential. </w:t>
      </w:r>
    </w:p>
    <w:p>
      <w:pPr>
        <w:pStyle w:val="TextBody"/>
        <w:bidi w:val="0"/>
        <w:spacing w:before="0" w:after="0"/>
        <w:jc w:val="center"/>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84" name="Frame2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Overview of Platform Environments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Octave’s software platform supports collaboration, improves continuity, and helps organizations reduce risk and strengthen the reliability of their systems across the following four core workflow environments: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Design: Supports 3D modeling, engineering analysis, simulation, and geospatial intelligence. This helps teams create information-rich digital representations that serve as the basis for downstream activities. The Design workflow environment represents approximately 40% of the revenue of the Octave Business for the year ended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Build: Connects engineering, procurement, fabrication, construction, and commissioning workflows. This helps teams coordinate materials, track progress, manage changes, and improve cost and schedule predictability. The Build workflow environment represents approximately 10% of the revenue of the Octave Business for the year ended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Operate: Unifies operational data, historical information, maintenance activities, quality systems, and worker tools. This enables real-time insight, predictive intelligence, operational technology cyber security, and improved asset and system performance. The Operate workflow environment represents approximately 30% of the revenue of the Octave Business for the year ended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Protect: Supports public safety and physical security workflows. This includes incident response, emergency management, situational awareness, digital security, and regulatory compliance. The Protect workflow environment represents approximately 20% of the revenue of the Octave Business for the year ended December 31, 2025.</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Key Trends Affecting Our Markets </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1. AI Is Accelerating Data Proliferation and Infrastructure Modernization</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2. Rising Global Energy Demand</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3. Pent-Up Demand for Infrastructure Investment</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pStyle w:val="TextBody"/>
        <w:bidi w:val="0"/>
        <w:spacing w:before="0" w:after="0"/>
        <w:jc w:val="center"/>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85" name="Frame2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4. Early-Stage Digital Transformation Across Industrial and Public Sectors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5. Growth in Data-Driven Decision-Making</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6. Increasing Regulatory and Compliance Requirements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Market Opportunity</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We estimate that this SAM is primarily attributable to our four core workflow environments as set forth below.</w:t>
      </w:r>
    </w:p>
    <w:tbl>
      <w:tblPr>
        <w:tblW w:w="4889" w:type="dxa"/>
        <w:jc w:val="center"/>
        <w:tblInd w:w="0" w:type="dxa"/>
        <w:tblLayout w:type="fixed"/>
        <w:tblCellMar>
          <w:top w:w="28" w:type="dxa"/>
          <w:left w:w="28" w:type="dxa"/>
          <w:bottom w:w="28" w:type="dxa"/>
          <w:right w:w="28" w:type="dxa"/>
        </w:tblCellMar>
      </w:tblPr>
      <w:tblGrid>
        <w:gridCol w:w="196"/>
        <w:gridCol w:w="172"/>
        <w:gridCol w:w="173"/>
        <w:gridCol w:w="369"/>
        <w:gridCol w:w="369"/>
        <w:gridCol w:w="371"/>
        <w:gridCol w:w="353"/>
        <w:gridCol w:w="353"/>
        <w:gridCol w:w="359"/>
        <w:gridCol w:w="354"/>
        <w:gridCol w:w="354"/>
        <w:gridCol w:w="356"/>
        <w:gridCol w:w="325"/>
        <w:gridCol w:w="325"/>
        <w:gridCol w:w="46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w:t>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Operate</w:t>
            </w:r>
          </w:p>
        </w:tc>
        <w:tc>
          <w:tcPr>
            <w:tcW w:w="1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Protect</w:t>
            </w:r>
          </w:p>
        </w:tc>
      </w:tr>
      <w:tr>
        <w:trPr/>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w:t>
            </w:r>
          </w:p>
        </w:tc>
        <w:tc>
          <w:tcPr>
            <w:tcW w:w="11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$6.6 billion </w:t>
            </w:r>
          </w:p>
        </w:tc>
        <w:tc>
          <w:tcPr>
            <w:tcW w:w="10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 billion</w:t>
            </w:r>
          </w:p>
        </w:tc>
        <w:tc>
          <w:tcPr>
            <w:tcW w:w="1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 billion</w:t>
            </w:r>
          </w:p>
        </w:tc>
        <w:tc>
          <w:tcPr>
            <w:tcW w:w="11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 billion</w:t>
            </w:r>
          </w:p>
        </w:tc>
      </w:tr>
    </w:tbl>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Market growth drivers include:</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Operational complexity and stricter regulations in process and manufacturing industries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Adoption of digital twins, predictive maintenance, and quality systems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Increased productivity and sustainability requirements in construction and infrastructure</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Modernization of emergency management and public safety systems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Growing adoption of geospatial intelligence and real-time operational analytics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Octave is positioned to capture this opportunity through our end-to-end coverage, AI-driven automation, data-centric digital twins, and flexible deployment options.</w:t>
      </w:r>
    </w:p>
    <w:p>
      <w:pPr>
        <w:pStyle w:val="TextBody"/>
        <w:bidi w:val="0"/>
        <w:spacing w:before="0" w:after="0"/>
        <w:jc w:val="center"/>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86" name="Frame2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Solutions and Software Platform</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 </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Design Environment</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Key solutions include:</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Intelligent, rule-based 3D modeling</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Integrated stress, structural, and performance analysis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Geospatial visualization and spatial analytics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Metadata extraction and contextualization</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Change management and version control</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By establishing a trusted digital baseline, the design environment provides the continuity needed for safe, accurate construction and reliable operations throughout the asset lifecycle. It also establishes the basis for the digital twin.</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Build Environment</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build environment also helps field teams capture accurate information about materials, inspections, and work completed, ensuring that changes made during construction are recorded and reflected in the digital representation of the system.</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Key solutions include:</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Digital field tools for real-time work data</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Integrated supply chain coordination</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Project performance management connecting planning and execution</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Change and deviation tracking</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build environment enables a more reliable handover to operations by capturing information generated during construction, ensuring that what is delivered reflects what was designed.</w:t>
      </w:r>
    </w:p>
    <w:p>
      <w:pPr>
        <w:pStyle w:val="TextBody"/>
        <w:bidi w:val="0"/>
        <w:spacing w:before="0" w:after="0"/>
        <w:jc w:val="center"/>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87" name="Frame2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Operate Environment</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Key solutions include:</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Connected worker capabilities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Performance and quality monitoring</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Asset and reliability management</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Predictive analytics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Mobile access to asset information</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By combining operational data with design and build context, the operate environment helps organizations reduce downtime, improve product quality, maintain compliance, and enhance safety.</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Protect Environment</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Key solutions include:</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Computer-aided dispatch and records management</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Integrated physical and digital security insights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Threat detection and situational awareness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Compliance and governance for regulated environments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Multi-agency coordination</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By unifying information across detection, assessment, command, and response, the protect environment helps organizations manage risk and maintain operational continuity.</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Industries and Environments We Serve</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Organizations use Octave across: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Power generation and utilities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Data centers and information technology infrastructure operators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 xml:space="preserve">Heavy construction and public works </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Industrial process industries (e.g. oil &amp; gas processing, chemicals &amp; petrochemicals)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Public safety and emergency response agencies</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Transportation networks and logistics operations</w:t>
      </w:r>
    </w:p>
    <w:p>
      <w:pPr>
        <w:pStyle w:val="TextBody"/>
        <w:bidi w:val="0"/>
        <w:spacing w:before="0" w:after="0"/>
        <w:jc w:val="center"/>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88" name="Frame2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Light process industries (e.g. pharmaceuticals &amp; life sciences, pulp &amp; paper manufacturing, food &amp; beverage manufacturing)</w:t>
      </w:r>
    </w:p>
    <w:p>
      <w:pPr>
        <w:pStyle w:val="TextBody"/>
        <w:bidi w:val="0"/>
        <w:spacing w:lineRule="auto" w:line="288" w:before="0" w:after="180"/>
        <w:jc w:val="both"/>
        <w:rPr>
          <w:bdr w:val="single" w:sz="8" w:space="36" w:color="000000"/>
        </w:rPr>
      </w:pPr>
      <w:r>
        <w:rPr>
          <w:color w:val="000000"/>
          <w:bdr w:val="single" w:sz="8" w:space="36" w:color="000000"/>
        </w:rPr>
        <w:t>•</w:t>
      </w:r>
      <w:r>
        <w:rPr>
          <w:rFonts w:ascii="Times New Roman;serif" w:hAnsi="Times New Roman;serif"/>
          <w:b w:val="false"/>
          <w:color w:val="000000"/>
          <w:sz w:val="20"/>
        </w:rPr>
        <w:t xml:space="preserve">Discrete manufacturing (e.g. automotive, aerospace &amp; defense, electronics) </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Key Strengths </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Octave differentiates itself through: </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1. End-to-End Coverage Across All Workflow Environments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2. Real-Time Data and Dynamic Digital Models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3. AI-Driven Automation and Context-Aware Intelligence</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pStyle w:val="TextBody"/>
        <w:bidi w:val="0"/>
        <w:spacing w:before="0" w:after="0"/>
        <w:jc w:val="center"/>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89" name="Frame2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4. Seamless Integration and Configurability</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5. Deep Industry and Domain Expertise</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6. Governance, Auditability, and Compliance Support</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noBreakHyphen/>
        <w:t xml:space="preserve">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 </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7. Flexible Deployment Options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pStyle w:val="TextBody"/>
        <w:bidi w:val="0"/>
        <w:spacing w:lineRule="auto" w:line="288" w:before="0" w:after="180"/>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8. Lower Total Cost of Ownership Through Unified Workflows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The Distribution </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On                     ,           , Hexagon’s shareholders at a general meeting of Hexagon approved the Distribution. </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To complete the Distribution, Hexagon will distribute to its shareholders all of the issued share capital of Octave. Octave Shares will be distributed on the Distribution Date to holders of record of Hexagon Shares on the record date. Each such holder will receive one (1) Octave Class A Ordinary Share for every ten (10) Hexagon Class A Shares and one (1) Octave Class B Ordinary Share for every ten (10) Hexagon Class B Shares held as of the record date. The Octave Class B Ordinary Shares will be delivered to holders of record, other than affiliates of Hexagon, in the form of Octave SDRs. Octave Class A Ordinary Shares will be delivered to holders of Hexagon Class A Shares and Octave Class B Ordinary Shares will be delivered to holders of Hexagon Class B Shares that are Hexagon affiliates in book-entry form via Octave’s transfer agent.</w:t>
      </w:r>
    </w:p>
    <w:p>
      <w:pPr>
        <w:pStyle w:val="TextBody"/>
        <w:bidi w:val="0"/>
        <w:spacing w:before="0" w:after="0"/>
        <w:jc w:val="center"/>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90" name="Frame2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SUMMARY RISK FACTORS</w:t>
      </w:r>
    </w:p>
    <w:p>
      <w:pPr>
        <w:pStyle w:val="TextBody"/>
        <w:bidi w:val="0"/>
        <w:spacing w:lineRule="auto" w:line="288" w:before="0" w:after="180"/>
        <w:jc w:val="both"/>
        <w:rPr/>
      </w:pPr>
      <w:r>
        <w:rPr>
          <w:rFonts w:ascii="Times New Roman;serif" w:hAnsi="Times New Roman;serif"/>
          <w:b w:val="false"/>
          <w:color w:val="000000"/>
          <w:sz w:val="20"/>
          <w:bdr w:val="single" w:sz="8" w:space="36" w:color="000000"/>
        </w:rPr>
        <w:t xml:space="preserve">Ownership of Octave Shares and Octave SDRs is subject to numerous risks, including risks related to the Distribution, Octave’s business industry, laws and regulations, financing and capital market activities, and Octave’s share capital and the structure of the Octave SDRs. Any of these risks and others could materially adversely affect Octave’s business, results of operations, cash flows, and financial condition. The following summary of risks is not exhaustive. Please read the section entitled “Risk Factors” beginning on page </w:t>
      </w:r>
      <w:hyperlink w:anchor="i11bf52a01415439da0fac9a8ef645ee7_34">
        <w:r>
          <w:rPr>
            <w:rStyle w:val="InternetLink"/>
            <w:rFonts w:ascii="Times New Roman;serif" w:hAnsi="Times New Roman;serif"/>
            <w:b w:val="false"/>
            <w:color w:val="0000FF"/>
            <w:sz w:val="20"/>
            <w:u w:val="single"/>
            <w:bdr w:val="single" w:sz="8" w:space="36" w:color="000000"/>
          </w:rPr>
          <w:t>20</w:t>
        </w:r>
      </w:hyperlink>
      <w:r>
        <w:rPr>
          <w:color w:val="000000"/>
          <w:bdr w:val="single" w:sz="8" w:space="36" w:color="000000"/>
        </w:rPr>
        <w:t xml:space="preserve"> </w:t>
      </w:r>
      <w:r>
        <w:rPr>
          <w:rFonts w:ascii="Times New Roman;serif" w:hAnsi="Times New Roman;serif"/>
          <w:b w:val="false"/>
          <w:color w:val="000000"/>
          <w:sz w:val="20"/>
          <w:bdr w:val="single" w:sz="8" w:space="36" w:color="000000"/>
        </w:rPr>
        <w:t>for a description of the principal risks that Octave faces. Some of the more significant challenges and risks include the following:</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Risks Relating to the Separation and Distribution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has no operating history as an independent, publicly-traded company, and Octave’s historical combined financial information may not be a reliable indicator of Octave’s future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combined post-separation value of Hexagon Class B Shares and Octave Class B Ordinary Shares may not equal or exceed the pre-Distribution value of Hexagon Class B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the Distribution does not qualify as a transaction that is generally tax-free for U.S. federal income tax purposes, U.S. Holders could be subject to significant tax liabilities. </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Risks Relating to Octave’s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operates in highly competitive markets and may not be able to remain commercially competitive.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is exposed to risks related to its transition to a Software-as-a-Service business model.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maintain, protect and enhance Octave’s brand could have an adverse effect on its ability to grow.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relies on trade secret protection for certain of its core technologies, which may not adequately protect Octave’s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is subject to certain risks with respect to its counterparties on contracts, and improper conduct by Octave’s employees or business partners or third-party vendors could adversely affect Octave’s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is exposed to risks related to strategic transactions, including those related to integration of new acquisitions, indemnifications under acquisition agreements, and contingent liabilities of divested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may not be able to access capital, credit, and foreign exchange markets on favorable terms or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may not be able to attract and retain the personnel it depends on to innovate and grow, particularly in AI and other advanced technologies.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Extended implementation timelines, delays, or performance issues for our software solutions could expose Octave to potential liability or reputational harm.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Octave’s global operations expose Octave to geopolitical, regulatory, and economic risks.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could face penalties and loss of contract eligibility if Octave’s government contracting subsidiary does not comply with applicable regulatory requirements.</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Risks Relating to Octave’s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relies on certain technologies that it does not own or control, including third-party commercially licensed and open-source software.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Outages of Octave’s cloud-based platform or cybersecurity breaches could severely disrupt operations, and cybersecurity threats could result in costly breaches, liability, and rising cybersecurity insurance premiums.</w:t>
      </w:r>
    </w:p>
    <w:p>
      <w:pPr>
        <w:pStyle w:val="TextBody"/>
        <w:bidi w:val="0"/>
        <w:spacing w:before="0" w:after="0"/>
        <w:jc w:val="center"/>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91" name="Frame2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Octave’s global software development approach may lead to inconsistent oversight and quality control, and Octave’s software may contain unknown vulnerabilities, defects, or otherwise fail to perform as expected.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Advances in AI could reduce demand for Octave’s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Octave’s business is dependent upon substantial investment in information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Customers’ use of unsupported legacy products exposes Octave to potential liability and reputational risk.</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Legal Risks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is subject to extensive laws and regulations, including those related to anti-corruption, data protection and privacy, export controls, and antitrust, among others, and any changes thereto or violations thereof could have a material adverse effect on Octave’s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may become involved in litigation, including securities litigation, arbitration, governmental proceedings, and stemming from third-party conduct beyond Octave’s control.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Octave’s software products could be subject to unauthorized access, misuse, or diversion, which may result in serious legal, regulatory, and reputational consequences.</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Risks Relating to the Octave Class B Ordinary Shares and Octave SDRs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After the Distribution, Octave will be a “foreign private issuer,” which could make the Octave Class B Ordinary Shares less attractive to investors.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Interests in Octave Class B Ordinary Shares will be distributed through a temporary SDR program, and Octave SDR holders do not have the same rights as shareholders. If Octave terminates the Octave SDR Program, holders may incur costs or the price of Octave Class B Ordinary Shares could be volatile.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Markets for the Octave Class B Ordinary Shares or Octave SDRs do not now exist and may not develop.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Substantial sales or the possibility of such sales by existing shareholders of Hexagon shares, including our significant shareholder, Melker Schörling AB (“MSAB”), could cause Octave’s share price to decline.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dual-class structure in Octave’s memorandum and articles of association, in the form expected to be in effect at the time of the Distribution (the “Articles”) has the effect of concentrating voting control and the ability to influence corporate matters with Octave’s significant shareholder, MSAB.</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does not intend to pay dividends on the Octave Shares in the near future.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percentage ownership of the Octave Class B Ordinary Shares may be diluted in the future.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Octave may not be able to implement effective internal controls over financial reporting, and Octave’s disclosure controls and procedures may not prevent or detect all errors or acts of fraud.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Securities analysts may not publish research or reports or may publish unfavorable research about Octave’s business, and may downgrade Octave Class B Ordinary Shares or our sector.</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Risks relating to Octave’s Jurisdiction of Incorporation in Ireland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Corporate law in Octave’s jurisdiction of incorporation, Ireland, might afford less protection to the holders of Octave Shares, Octave SDRs, or other securities representing shares of Octave than would U.S. laws. Any actual or potential offer to acquire Octave will be subject to certain provisions of the Irish and Swedish takeover rules, and certain provisions in the Articles could prevent an acquisition of Octave.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Irish law imposes restrictions on certain aspects of capital management and payment of dividends.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Transfers of Octave’s shares may be subject to Irish stamp duty or Irish capital acquisitions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92" name="Frame2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SUMMARY OF THE SEPARATION AND THE DISTRIBUTION</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Please see “The Separation and the Distribution” for a more detailed description of the matters described below.</w:t>
      </w:r>
    </w:p>
    <w:tbl>
      <w:tblPr>
        <w:tblW w:w="10205" w:type="dxa"/>
        <w:jc w:val="left"/>
        <w:tblInd w:w="0" w:type="dxa"/>
        <w:tblLayout w:type="fixed"/>
        <w:tblCellMar>
          <w:top w:w="28" w:type="dxa"/>
          <w:left w:w="28" w:type="dxa"/>
          <w:bottom w:w="28" w:type="dxa"/>
          <w:right w:w="28" w:type="dxa"/>
        </w:tblCellMar>
      </w:tblPr>
      <w:tblGrid>
        <w:gridCol w:w="393"/>
        <w:gridCol w:w="345"/>
        <w:gridCol w:w="348"/>
        <w:gridCol w:w="109"/>
        <w:gridCol w:w="109"/>
        <w:gridCol w:w="109"/>
        <w:gridCol w:w="2571"/>
        <w:gridCol w:w="2571"/>
        <w:gridCol w:w="3650"/>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Distributing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Hexagon AB is a Swedish corporation (</w:t>
            </w:r>
            <w:r>
              <w:rPr>
                <w:rFonts w:ascii="Times New Roman;serif" w:hAnsi="Times New Roman;serif"/>
                <w:b w:val="false"/>
                <w:i/>
                <w:color w:val="000000"/>
                <w:sz w:val="20"/>
              </w:rPr>
              <w:t>Aktiebolag</w:t>
            </w:r>
            <w:r>
              <w:rPr>
                <w:rFonts w:ascii="Times New Roman;serif" w:hAnsi="Times New Roman;serif"/>
                <w:b w:val="false"/>
                <w:color w:val="000000"/>
                <w:sz w:val="20"/>
              </w:rPr>
              <w:t xml:space="preserve">) and, prior to the Distribution, is engaged principally in the development of technologies that focus on connecting and automating production and people-centered ecosystems, across a range of applications, including industrial manufacturing, infrastructure development, public sector management, and mobility solutions. Following the Distribution, Hexagon will focus on its core mission: helping industrial customers address labor shortages and embrace sustainability via its advanced capabilities in precision measurement, reality capture, positioning and autonomy technologies, and robotic solutions. </w:t>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Distributed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Octave is an Irish public limited company and, prior to the Distribution, a wholly owned subsidiary of Hexagon. Following the Distribution, Octave will be an independent publicly-traded company and will own and operate the Octave Business, focusing on being a global provider of software for enterprises, organizations, and governments to design, build, operate, and protect critical industrial and infrastructure assets. Please see the sections of this information statement entitled “</w:t>
            </w:r>
            <w:hyperlink w:anchor="i11bf52a01415439da0fac9a8ef645ee7_58">
              <w:r>
                <w:rPr>
                  <w:rStyle w:val="InternetLink"/>
                  <w:rFonts w:ascii="Times New Roman;serif" w:hAnsi="Times New Roman;serif"/>
                  <w:b w:val="false"/>
                  <w:color w:val="0000FF"/>
                  <w:sz w:val="20"/>
                  <w:u w:val="single"/>
                </w:rPr>
                <w:t>Business of Octave</w:t>
              </w:r>
            </w:hyperlink>
            <w:r>
              <w:rPr>
                <w:color w:val="000000"/>
              </w:rPr>
              <w:t xml:space="preserve">” </w:t>
            </w:r>
            <w:r>
              <w:rPr>
                <w:rFonts w:ascii="Times New Roman;serif" w:hAnsi="Times New Roman;serif"/>
                <w:b w:val="false"/>
                <w:color w:val="000000"/>
                <w:sz w:val="20"/>
              </w:rPr>
              <w:t>and “</w:t>
            </w:r>
            <w:hyperlink w:anchor="i11bf52a01415439da0fac9a8ef645ee7_1722">
              <w:r>
                <w:rPr>
                  <w:rStyle w:val="InternetLink"/>
                  <w:rFonts w:ascii="Times New Roman;serif" w:hAnsi="Times New Roman;serif"/>
                  <w:b w:val="false"/>
                  <w:color w:val="0000FF"/>
                  <w:sz w:val="20"/>
                  <w:u w:val="single"/>
                </w:rPr>
                <w:t>Management’s Discussion and Analysis of Financial Condition and Results of Operations</w:t>
              </w:r>
            </w:hyperlink>
            <w:r>
              <w:rPr>
                <w:color w:val="000000"/>
              </w:rPr>
              <w:t xml:space="preserve">” </w:t>
            </w:r>
            <w:r>
              <w:rPr>
                <w:rFonts w:ascii="Times New Roman;serif" w:hAnsi="Times New Roman;serif"/>
                <w:b w:val="false"/>
                <w:color w:val="000000"/>
                <w:sz w:val="20"/>
              </w:rPr>
              <w:t xml:space="preserve">for information concerning the Octave Business. </w:t>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Distribution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Hexagon Class A Shares and/or Hexagon Class B Shares as of the record date will receive a distribution of one (1) Octave Class A Ordinary Share for every ten (10) Hexagon Class A Shares and one (1) Octave Class B Ordinary Share for every ten (10) Hexagon Class B Shares held as of the record date. </w:t>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Securities to be Distributed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Octave Class A Ordinary Shares and Octave Class B Ordinary Shares.</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Non-affiliate holders of Hexagon Class B Shares will receive Octave Class B Ordinary Shares by way of SEB issuing Octave SDRs that each represent one underlying Octave Class B Ordinary Share into such holders’ Euroclear Sweden accounts. Octave intends to maintain the Octave SDR Program until further notice, which Octave expects to be for about two years following the Distribution; however, Octave intends to evaluate the Octave SDR Program over time in light of liquidity and relative trading volume on Nasdaq Stockholm and Nasdaq New York. There can be no assurance that the Octave SDR Program will be maintained for this period. </w:t>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Fractional Shares and SDRs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Fractional Octave Shares and fractional Octave SDRs will not be distributed. Instead, Computershare, in its capacity as transfer and distribution agent, will aggregate fractional Octave Shares into whole shares and then sell the whole shares on Nasdaq New York, while SEB, in its capacity as Octave SDR depositary, will aggregate fractional Octave SDRs into whole Octave SDRs and sell the whole Octave SDRs on Nasdaq Stockholm. In each case, the whole shares and whole Octave SDRs will be sold at prevailing rates and Computershare and SEB, as applicable, will distribute the net cash proceeds pro rata to each holder who would otherwise have been entitled to fractional shares or fractional SDRs in the Distribution. These cash proceeds in respect of fractional shares or fractional SDRs generally will be taxable to those shareholders.</w:t>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93" name="Frame2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1"/>
        <w:gridCol w:w="399"/>
        <w:gridCol w:w="402"/>
        <w:gridCol w:w="109"/>
        <w:gridCol w:w="109"/>
        <w:gridCol w:w="109"/>
        <w:gridCol w:w="2756"/>
        <w:gridCol w:w="2460"/>
        <w:gridCol w:w="3240"/>
      </w:tblGrid>
      <w:tr>
        <w:trPr/>
        <w:tc>
          <w:tcPr>
            <w:tcW w:w="6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Distribution Agent, Transfer Agent, and Registrar for the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Computershare Trust Company, N.A.</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record date is                     ,                     .</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Distribution Date is expected to be            p.m., Stockholm time (the “Distribution Time”), on                   . </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Material U.S. Tax Consequences of the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Distribution is intended to qualify as a transaction that is generally tax-free for U.S. federal income tax purposes under Section 355 of the Code. Accordingly, it is expected that, except with respect to cash received in lieu of fractional Octave Shares or fractional Octave SDRs, no gain or loss should be recognized by you, and no amount should be included in your income, upon the receipt of Octave Shares or Octave SDRs in the Distribution for U.S. federal income tax purposes. U.S. Holders (as defined in “Material U.S. Federal Income Tax Consequences”) will, however, recognize gain or loss for U.S. federal income tax purposes with respect to cash received in lieu of fractional Octave Shares or fractional Octave SDRs. You should consult your own tax advisor as to the particular consequences of the Distribution to you, including the applicability and effect of any U.S. federal, state and local tax laws. For more information regarding the material U.S. federal income tax consequences of the Distribution, see “</w:t>
            </w:r>
            <w:hyperlink w:anchor="i11bf52a01415439da0fac9a8ef645ee7_79">
              <w:r>
                <w:rPr>
                  <w:rStyle w:val="InternetLink"/>
                  <w:rFonts w:ascii="Times New Roman;serif" w:hAnsi="Times New Roman;serif"/>
                  <w:b w:val="false"/>
                  <w:color w:val="0000FF"/>
                  <w:sz w:val="20"/>
                  <w:u w:val="single"/>
                </w:rPr>
                <w:t>Material U.S. Federal Income Tax Consequences</w:t>
              </w:r>
            </w:hyperlink>
            <w:r>
              <w:rPr>
                <w:rFonts w:ascii="Times New Roman;serif" w:hAnsi="Times New Roman;serif"/>
                <w:b w:val="false"/>
                <w:color w:val="000000"/>
                <w:sz w:val="20"/>
              </w:rPr>
              <w:t>.”</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Material Irish Tax Consequences of the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 Irish tax law, holders of Hexagon Shares who are not tax resident in Ireland and who are entitled to an exemption from dividends withholding tax generally should not be subject to Irish tax as a result of the Distribution, provided they do not have a branch or agency in Ireland through which a trade is carried on to which the holding of such shares. You should consult your own tax advisor as to the particular consequences of the Distribution to you, including the applicability and effect of Irish tax law. For more information regarding the material Irish tax consequences of the Distribution, see “</w:t>
            </w:r>
            <w:hyperlink w:anchor="i11bf52a01415439da0fac9a8ef645ee7_82">
              <w:r>
                <w:rPr>
                  <w:rStyle w:val="InternetLink"/>
                  <w:rFonts w:ascii="Times New Roman;serif" w:hAnsi="Times New Roman;serif"/>
                  <w:b w:val="false"/>
                  <w:color w:val="0000FF"/>
                  <w:sz w:val="20"/>
                  <w:u w:val="single"/>
                </w:rPr>
                <w:t>Material Irish Tax Consequences</w:t>
              </w:r>
            </w:hyperlink>
            <w:r>
              <w:rPr>
                <w:rFonts w:ascii="Times New Roman;serif" w:hAnsi="Times New Roman;serif"/>
                <w:b w:val="false"/>
                <w:color w:val="000000"/>
                <w:sz w:val="20"/>
              </w:rPr>
              <w:t>.”</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Material Swedish Tax Consequences of the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Hexagon has received a written confirmation from the Swedish Tax Agency that the Distribution, together with certain related transactions, qualifies as a transaction that is generally tax exempt for Swedish tax purposes under the Lex-ASEA rule. You should consult your own tax advisor as to the particular consequences of the Distribution to you, including the applicability and effect of Swedish tax law. For more information regarding the material Swedish tax consequences, see “</w:t>
            </w:r>
            <w:hyperlink w:anchor="i11bf52a01415439da0fac9a8ef645ee7_85">
              <w:r>
                <w:rPr>
                  <w:rStyle w:val="InternetLink"/>
                  <w:rFonts w:ascii="Times New Roman;serif" w:hAnsi="Times New Roman;serif"/>
                  <w:b w:val="false"/>
                  <w:color w:val="0000FF"/>
                  <w:sz w:val="20"/>
                  <w:u w:val="single"/>
                </w:rPr>
                <w:t>Material Swedish Tax Consequences</w:t>
              </w:r>
            </w:hyperlink>
            <w:r>
              <w:rPr>
                <w:rFonts w:ascii="Times New Roman;serif" w:hAnsi="Times New Roman;serif"/>
                <w:b w:val="false"/>
                <w:color w:val="000000"/>
                <w:sz w:val="20"/>
              </w:rPr>
              <w:t>.”</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U.S. Stock Exchange Listing of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not currently a public market for Octave Shares. A “when-issued” market in Octave Class B Ordinary Shares may develop as soon as one New York business day prior to the record date for the Distribution. Octave has applied for the Class B Ordinary Shares to be listed on Nasdaq New York under the symbol “OCTV.”</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94" name="Frame2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77"/>
        <w:gridCol w:w="373"/>
        <w:gridCol w:w="375"/>
        <w:gridCol w:w="109"/>
        <w:gridCol w:w="109"/>
        <w:gridCol w:w="109"/>
        <w:gridCol w:w="2616"/>
        <w:gridCol w:w="2450"/>
        <w:gridCol w:w="3487"/>
      </w:tblGrid>
      <w:tr>
        <w:trPr/>
        <w:tc>
          <w:tcPr>
            <w:tcW w:w="57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Stockholm Stock Exchange Listing of Octave SDRs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There is not currently a public market for Octave SDRs and Octave cannot guarantee that one will develop. Octave intends to distribute interests in Octave Class B Ordinary Shares through an SDR program, with Octave intending such Octave SDRs to be listed on Nasdaq Stockholm substantially concurrently with an intended listing of Octave Class B Ordinary Shares on Nasdaq New York. No assurance can be given that Octave’s listing applications will be approved. Octave intends to maintain the Octave SDR Program until further notice, which Octave expects to be for about two years. See “</w:t>
            </w:r>
            <w:hyperlink w:anchor="i11bf52a01415439da0fac9a8ef645ee7_97">
              <w:r>
                <w:rPr>
                  <w:rStyle w:val="InternetLink"/>
                  <w:rFonts w:ascii="Times New Roman;serif" w:hAnsi="Times New Roman;serif"/>
                  <w:b w:val="false"/>
                  <w:color w:val="0000FF"/>
                  <w:sz w:val="20"/>
                  <w:u w:val="single"/>
                </w:rPr>
                <w:t>Description of Swedish Depository Receipts</w:t>
              </w:r>
            </w:hyperlink>
            <w:r>
              <w:rPr>
                <w:rFonts w:ascii="Times New Roman;serif" w:hAnsi="Times New Roman;serif"/>
                <w:b w:val="false"/>
                <w:color w:val="000000"/>
                <w:sz w:val="20"/>
              </w:rPr>
              <w:t>.”</w:t>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Relationship Between Hexagon and Octave After the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Following the Distribution, Octave and Hexagon will be separate public companies. Octave and Hexagon will enter into the Distribution Agreement and ancillary agreements for the purpose of accomplishing the separation and the distribution of our ordinary shares to Hexagon’s shareholders. These ancillary agreements will include the Tax Disaffiliation Agreement, the Employee Matters Agreement, the Transition Services Agreement, and a number of ongoing commercial relationships. These agreements will generally govern Octave’s relationship with Hexagon subsequent to the Distribution and will provide for the allocation of employee benefit, tax, and some other liabilities and obligations attributable to periods prior to, at, and after the Distribution. The Distribution Agreement includes an agreement that Octave and Hexagon will provide each other with appropriate indemnities with respect to liabilities arising out of the business being transferred to Octave by Hexagon. Octave will be party to other arrangements with Hexagon and its subsidiaries. See “</w:t>
            </w:r>
            <w:hyperlink w:anchor="i19e217c842bf45da9eb55c28e0366d91_42845">
              <w:r>
                <w:rPr>
                  <w:rStyle w:val="InternetLink"/>
                  <w:rFonts w:ascii="Times New Roman;serif" w:hAnsi="Times New Roman;serif"/>
                  <w:b w:val="false"/>
                  <w:color w:val="0000FF"/>
                  <w:sz w:val="20"/>
                  <w:u w:val="single"/>
                </w:rPr>
                <w:t>Certain Relationships and Related Party Transactions—Relationship Between Hexagon and Octave After the Distribution</w:t>
              </w:r>
            </w:hyperlink>
            <w:r>
              <w:rPr>
                <w:rFonts w:ascii="Times New Roman;serif" w:hAnsi="Times New Roman;serif"/>
                <w:b w:val="false"/>
                <w:color w:val="000000"/>
                <w:sz w:val="20"/>
              </w:rPr>
              <w:t>.”</w:t>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Octave Dividend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Octave does not expect to pay a regular cash dividend in the near future. The payment of any dividends in the future, and the timing and amount thereof, is within the discretion of the Board of Directors. See “</w:t>
            </w:r>
            <w:hyperlink w:anchor="i95d846113c6047488757878217e24c4d_26834">
              <w:r>
                <w:rPr>
                  <w:rStyle w:val="InternetLink"/>
                  <w:rFonts w:ascii="Times New Roman;serif" w:hAnsi="Times New Roman;serif"/>
                  <w:b w:val="false"/>
                  <w:color w:val="0000FF"/>
                  <w:sz w:val="20"/>
                  <w:u w:val="single"/>
                </w:rPr>
                <w:t>The Separation and the Distribution—Dividend Policy</w:t>
              </w:r>
            </w:hyperlink>
            <w:r>
              <w:rPr>
                <w:rFonts w:ascii="Times New Roman;serif" w:hAnsi="Times New Roman;serif"/>
                <w:b w:val="false"/>
                <w:color w:val="000000"/>
                <w:sz w:val="20"/>
              </w:rPr>
              <w:t xml:space="preserve">.” </w:t>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Hexagon shareholders should carefully consider the matters discussed under “</w:t>
            </w:r>
            <w:hyperlink w:anchor="i11bf52a01415439da0fac9a8ef645ee7_34">
              <w:r>
                <w:rPr>
                  <w:rStyle w:val="InternetLink"/>
                  <w:rFonts w:ascii="Times New Roman;serif" w:hAnsi="Times New Roman;serif"/>
                  <w:b w:val="false"/>
                  <w:color w:val="0000FF"/>
                  <w:sz w:val="20"/>
                  <w:u w:val="single"/>
                </w:rPr>
                <w:t>Risk Factors</w:t>
              </w:r>
            </w:hyperlink>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95" name="Frame2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SELECTED HISTORICAL AND UNAUDITED PRO FORMA COMBINED FINANCIAL INFORMATION</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following tables present certain selected historical combined financial information as of December 31, 2025 and December 31, 2024 and for the years ended December 31, 2025, 2024, and 2023. The selected historical combined financial information is based on the audited Combined Financial Statements of the Octave Business included elsewhere in this information statement, which is derived from the consolidated historical financial statements of Hexagon.</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selected historical combined financial information presented below should be read in conjunction with Octave’s “Management’s Discussion and Analysis of Financial Condition and Results of Operations” and the audited Combined Financial Statements and accompanying Notes included elsewhere in this information statement. For each of the periods presented, the Octave Business was wholly owned by Hexagon. The financial information included herein may not necessarily reflect Octave’s financial position, results of operations, and cash flows in the future, or what Octave’s financial position, results of operations, and cash flows would have been had Octave been an independent, publicly-traded company during the periods presented. In addition, Octave’s historical combined financial information does not reflect changes that Octave expects to experience in the future as a result of Octave’s spin-off from Hexagon, including changes in the financing, operations, cost structure, and personnel needs of the Octave business on a stand-alone basis. Further, the historical combined financial information includes allocations of certain Hexagon corporate expenses. Octave believes the assumptions and methodologies underlying the allocation of these expenses are reasonable. However, such expenses may not be indicative of the actual level of expense that Octave would have incurred if Octave had operated as an independent, publicly-traded company, or of the costs expected to be incurred in the future. For factors that could cause actual results to differ materially from those presented in the Selected Historical and Unaudited Pro Forma Combined Financial Information, see “Cautionary Statement Concerning Forward-Looking Statements” and “Risk Factors” included elsewhere in this information statement.</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following tables also present certain Unaudited Pro Forma Combined Financial Information of Octave as of December 31, 2025 and for the year ended December 31, 2025. The Unaudited Pro Forma Combined Financial Information is derived from Octave’s audited Combined Financial Statements included elsewhere in this information statement and is not intended to be a complete presentation of Octave’s financial position or results of operations had the transactions contemplated by the Distribution Agreement and related agreements occurred as of the dates indicated. The Unaudited Pro Forma Combined Financial Statements should be read in conjunction with Octave’s “Management’s Discussion and Analysis of Financial Condition and Results of Operations” and the audited Combined Financial Statements and accompanying Notes included elsewhere in this information statement. The Unaudited Pro Forma Combined Balance Sheet gives effect to the Pro Forma Transactions as if they had occurred on December 31, 2025, Octave’s latest balance sheet date. The Unaudited Pro Forma Combined Statement of Operations gives effect to the Pro Forma Transactions as if they had occurred on January 1, 2025, the first day of Octave’s fiscal year 2025. Refer to the “Unaudited Pro Forma Combined Financial Information” for further information.</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selected historical unaudited combined quarterly financial information should be read in conjunction with the audited Combined Financial Statements and accompanying Notes included elsewhere in this information statement. The selected historical unaudited combined quarterly financial information has been prepared on the same basis as the annual Combined Financial Statements and, in the opinion of management, reflect all adjustments, which include only normal recurring adjustments, necessary for a fair statement of the results of operations for the periods presented. Quarterly historical results are not necessarily indicative of the results that may be expected for a full year or any other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6" name="Frame2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SELECTED HISTORICAL AND UNAUDITED PRO FORMA COMBINED FINANCIAL INFORMATION</w:t>
      </w:r>
    </w:p>
    <w:tbl>
      <w:tblPr>
        <w:tblW w:w="7429" w:type="dxa"/>
        <w:jc w:val="left"/>
        <w:tblInd w:w="0" w:type="dxa"/>
        <w:tblLayout w:type="fixed"/>
        <w:tblCellMar>
          <w:top w:w="28" w:type="dxa"/>
          <w:left w:w="28" w:type="dxa"/>
          <w:bottom w:w="28" w:type="dxa"/>
          <w:right w:w="28" w:type="dxa"/>
        </w:tblCellMar>
      </w:tblPr>
      <w:tblGrid>
        <w:gridCol w:w="937"/>
        <w:gridCol w:w="827"/>
        <w:gridCol w:w="830"/>
        <w:gridCol w:w="243"/>
        <w:gridCol w:w="1145"/>
        <w:gridCol w:w="126"/>
        <w:gridCol w:w="109"/>
        <w:gridCol w:w="109"/>
        <w:gridCol w:w="109"/>
        <w:gridCol w:w="211"/>
        <w:gridCol w:w="991"/>
        <w:gridCol w:w="109"/>
        <w:gridCol w:w="109"/>
        <w:gridCol w:w="109"/>
        <w:gridCol w:w="109"/>
        <w:gridCol w:w="211"/>
        <w:gridCol w:w="991"/>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assets</w:t>
            </w:r>
            <w:r>
              <w:rPr>
                <w:color w:val="000000"/>
              </w:rPr>
              <w:t xml:space="preserve">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8,630,006</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8,628,562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1,521,513 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7,108,493 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 and equity</w:t>
            </w:r>
            <w:r>
              <w:rPr>
                <w:color w:val="000000"/>
              </w:rPr>
              <w:t xml:space="preserve"> </w:t>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8,630,006</w:t>
            </w:r>
            <w:r>
              <w:rPr>
                <w:color w:val="000000"/>
              </w:rPr>
              <w:t>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8,628,562</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97" name="Frame2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SELECTED HISTORICAL AND UNAUDITED PRO FORMA COMBINED FINANCIAL INFORMATION</w:t>
      </w:r>
    </w:p>
    <w:tbl>
      <w:tblPr>
        <w:tblW w:w="10205" w:type="dxa"/>
        <w:jc w:val="left"/>
        <w:tblInd w:w="0" w:type="dxa"/>
        <w:tblLayout w:type="fixed"/>
        <w:tblCellMar>
          <w:top w:w="28" w:type="dxa"/>
          <w:left w:w="28" w:type="dxa"/>
          <w:bottom w:w="28" w:type="dxa"/>
          <w:right w:w="28" w:type="dxa"/>
        </w:tblCellMar>
      </w:tblPr>
      <w:tblGrid>
        <w:gridCol w:w="1374"/>
        <w:gridCol w:w="1139"/>
        <w:gridCol w:w="1143"/>
        <w:gridCol w:w="285"/>
        <w:gridCol w:w="1321"/>
        <w:gridCol w:w="147"/>
        <w:gridCol w:w="109"/>
        <w:gridCol w:w="109"/>
        <w:gridCol w:w="109"/>
        <w:gridCol w:w="211"/>
        <w:gridCol w:w="976"/>
        <w:gridCol w:w="109"/>
        <w:gridCol w:w="109"/>
        <w:gridCol w:w="109"/>
        <w:gridCol w:w="109"/>
        <w:gridCol w:w="211"/>
        <w:gridCol w:w="841"/>
        <w:gridCol w:w="109"/>
        <w:gridCol w:w="109"/>
        <w:gridCol w:w="109"/>
        <w:gridCol w:w="109"/>
        <w:gridCol w:w="211"/>
        <w:gridCol w:w="991"/>
        <w:gridCol w:w="156"/>
      </w:tblGrid>
      <w:tr>
        <w:trPr/>
        <w:tc>
          <w:tcPr>
            <w:tcW w:w="137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Historical</w:t>
            </w:r>
          </w:p>
        </w:tc>
      </w:tr>
      <w:tr>
        <w:trPr/>
        <w:tc>
          <w:tcPr>
            <w:tcW w:w="36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Subscriptions and licenses</w:t>
            </w:r>
            <w:r>
              <w:rPr>
                <w:color w:val="000000"/>
              </w:rPr>
              <w:t xml:space="preserve"> </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1,266,573</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1,208,669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1,591,837</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 and other</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revenue</w:t>
            </w:r>
            <w:r>
              <w:rPr>
                <w:color w:val="000000"/>
              </w:rPr>
              <w:t xml:space="preserve"> </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372,174</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450,990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profit</w:t>
            </w:r>
            <w:r>
              <w:rPr>
                <w:color w:val="000000"/>
              </w:rPr>
              <w:t xml:space="preserve"> </w:t>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1,219,663</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1,229,740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1,182,177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1,101,500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906,728 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from operations</w:t>
            </w:r>
            <w:r>
              <w:rPr>
                <w:color w:val="000000"/>
              </w:rPr>
              <w:t xml:space="preserve"> </w:t>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312,935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324,035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before income tax</w:t>
            </w:r>
            <w:r>
              <w:rPr>
                <w:color w:val="000000"/>
              </w:rPr>
              <w:t xml:space="preserve"> </w:t>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292,822</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324,256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232,422</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311,207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245,653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Pro forma earnings per share:</w:t>
            </w:r>
          </w:p>
        </w:tc>
        <w:tc>
          <w:tcPr>
            <w:tcW w:w="1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Pro forma weighted average common shares outstanding:</w:t>
            </w:r>
          </w:p>
        </w:tc>
        <w:tc>
          <w:tcPr>
            <w:tcW w:w="1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98" name="Frame2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SELECTED HISTORICAL UNAUDITED COMBINED QUARTERLY FINANCIAL INFORMATION</w:t>
      </w:r>
    </w:p>
    <w:tbl>
      <w:tblPr>
        <w:tblW w:w="9663" w:type="dxa"/>
        <w:jc w:val="left"/>
        <w:tblInd w:w="0" w:type="dxa"/>
        <w:tblLayout w:type="fixed"/>
        <w:tblCellMar>
          <w:top w:w="28" w:type="dxa"/>
          <w:left w:w="28" w:type="dxa"/>
          <w:bottom w:w="28" w:type="dxa"/>
          <w:right w:w="28" w:type="dxa"/>
        </w:tblCellMar>
      </w:tblPr>
      <w:tblGrid>
        <w:gridCol w:w="1157"/>
        <w:gridCol w:w="1020"/>
        <w:gridCol w:w="1033"/>
        <w:gridCol w:w="251"/>
        <w:gridCol w:w="878"/>
        <w:gridCol w:w="130"/>
        <w:gridCol w:w="109"/>
        <w:gridCol w:w="109"/>
        <w:gridCol w:w="109"/>
        <w:gridCol w:w="224"/>
        <w:gridCol w:w="784"/>
        <w:gridCol w:w="116"/>
        <w:gridCol w:w="109"/>
        <w:gridCol w:w="109"/>
        <w:gridCol w:w="109"/>
        <w:gridCol w:w="308"/>
        <w:gridCol w:w="1077"/>
        <w:gridCol w:w="159"/>
        <w:gridCol w:w="109"/>
        <w:gridCol w:w="109"/>
        <w:gridCol w:w="109"/>
        <w:gridCol w:w="296"/>
        <w:gridCol w:w="1033"/>
        <w:gridCol w:w="216"/>
      </w:tblGrid>
      <w:tr>
        <w:trPr/>
        <w:tc>
          <w:tcPr>
            <w:tcW w:w="115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 Ended</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licenses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71,590 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79,714 </w:t>
            </w:r>
          </w:p>
        </w:tc>
        <w:tc>
          <w:tcPr>
            <w:tcW w:w="2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subscription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278,131 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Subscriptions and licenses</w:t>
            </w:r>
            <w:r>
              <w:rPr>
                <w:color w:val="000000"/>
              </w:rPr>
              <w:t xml:space="preserve">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301,471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318,317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311,437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347,326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382,804</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393,311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448,441</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 and other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revenue</w:t>
            </w:r>
            <w:r>
              <w:rPr>
                <w:color w:val="000000"/>
              </w:rPr>
              <w:t xml:space="preserve">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99,562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106,914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97,976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103,706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profit</w:t>
            </w:r>
            <w:r>
              <w:rPr>
                <w:color w:val="000000"/>
              </w:rPr>
              <w:t xml:space="preserve">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283,242</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306,427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295,335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344,735</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209,338 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211,251 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from operations</w:t>
            </w:r>
            <w:r>
              <w:rPr>
                <w:color w:val="000000"/>
              </w:rPr>
              <w:t xml:space="preserve">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73,904</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96,860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32,604</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133,484</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before income tax</w:t>
            </w:r>
            <w:r>
              <w:rPr>
                <w:color w:val="000000"/>
              </w:rPr>
              <w:t xml:space="preserve">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74,455</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96,520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133,801</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59,486</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75,168</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14,137</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99,315</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The Company has revised its presentation of certain expenses within Cost of revenue and General and administrative to correct their presentation in previously reported Condensed Combined Financial Statements. These revisions did not have a material impact on the Company’s combined operating results.</w:t>
      </w:r>
    </w:p>
    <w:p>
      <w:pPr>
        <w:pStyle w:val="TextBody"/>
        <w:bidi w:val="0"/>
        <w:spacing w:before="0" w:after="18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9" name="Frame2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SELECTED HISTORICAL UNAUDITED COMBINED QUARTERLY FINANCIAL INFORMATION</w:t>
      </w:r>
    </w:p>
    <w:tbl>
      <w:tblPr>
        <w:tblW w:w="9663" w:type="dxa"/>
        <w:jc w:val="left"/>
        <w:tblInd w:w="0" w:type="dxa"/>
        <w:tblLayout w:type="fixed"/>
        <w:tblCellMar>
          <w:top w:w="28" w:type="dxa"/>
          <w:left w:w="28" w:type="dxa"/>
          <w:bottom w:w="28" w:type="dxa"/>
          <w:right w:w="28" w:type="dxa"/>
        </w:tblCellMar>
      </w:tblPr>
      <w:tblGrid>
        <w:gridCol w:w="1157"/>
        <w:gridCol w:w="1020"/>
        <w:gridCol w:w="1033"/>
        <w:gridCol w:w="251"/>
        <w:gridCol w:w="878"/>
        <w:gridCol w:w="130"/>
        <w:gridCol w:w="109"/>
        <w:gridCol w:w="109"/>
        <w:gridCol w:w="109"/>
        <w:gridCol w:w="224"/>
        <w:gridCol w:w="784"/>
        <w:gridCol w:w="116"/>
        <w:gridCol w:w="109"/>
        <w:gridCol w:w="109"/>
        <w:gridCol w:w="109"/>
        <w:gridCol w:w="308"/>
        <w:gridCol w:w="1077"/>
        <w:gridCol w:w="159"/>
        <w:gridCol w:w="109"/>
        <w:gridCol w:w="109"/>
        <w:gridCol w:w="109"/>
        <w:gridCol w:w="270"/>
        <w:gridCol w:w="1078"/>
        <w:gridCol w:w="197"/>
      </w:tblGrid>
      <w:tr>
        <w:trPr/>
        <w:tc>
          <w:tcPr>
            <w:tcW w:w="115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 Ended</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licenses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67,439 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subscription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258,484 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Subscriptions and licenses</w:t>
            </w:r>
            <w:r>
              <w:rPr>
                <w:color w:val="000000"/>
              </w:rPr>
              <w:t xml:space="preserve">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296,452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308,354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324,492</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361,073</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375,210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392,397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402,092</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446,805</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 and other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revenue</w:t>
            </w:r>
            <w:r>
              <w:rPr>
                <w:color w:val="000000"/>
              </w:rPr>
              <w:t xml:space="preserve">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109,795</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106,967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106,318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111,248</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profit</w:t>
            </w:r>
            <w:r>
              <w:rPr>
                <w:color w:val="000000"/>
              </w:rPr>
              <w:t xml:space="preserve">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265,415</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285,430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295,774</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335,557</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from operations</w:t>
            </w:r>
            <w:r>
              <w:rPr>
                <w:color w:val="000000"/>
              </w:rPr>
              <w:t xml:space="preserve">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78,331</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95,539</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87,724</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133,896</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before income tax</w:t>
            </w:r>
            <w:r>
              <w:rPr>
                <w:color w:val="000000"/>
              </w:rPr>
              <w:t xml:space="preserve">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78,144</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95,751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87,856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134,354</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57,242</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72,447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66,231</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115,286</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300" name="Frame2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NON-GAAP FINANCIAL MEASURES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In addition to Octave’s operating results, as calculated in accordance with generally accepted accounting principles in the United States (“U.S. GAAP”), Octave uses, and plans to continue using, certain non-GAAP financial measures when monitoring and evaluating operating performance. The non-GAAP financial measures presented in this information statement are supplemental measures of Octave’s performance and liquidity that Octave believes help investors understand Octave’s financial condition and operating results and assess Octave’s future prospects. For more information about Octave’s non-GAAP financial measures see “Management’s Discussion and Analysis of Financial Condition and Results of Operations—Non-GAAP Financial Measures.” </w:t>
      </w:r>
    </w:p>
    <w:p>
      <w:pPr>
        <w:pStyle w:val="TextBody"/>
        <w:bidi w:val="0"/>
        <w:spacing w:lineRule="auto" w:line="288" w:before="0" w:after="180"/>
        <w:jc w:val="both"/>
        <w:rPr>
          <w:bdr w:val="single" w:sz="8" w:space="36" w:color="000000"/>
        </w:rPr>
      </w:pPr>
      <w:r>
        <w:rPr>
          <w:rFonts w:ascii="Times New Roman;serif" w:hAnsi="Times New Roman;serif"/>
          <w:b w:val="false"/>
          <w:color w:val="000000"/>
          <w:sz w:val="20"/>
          <w:bdr w:val="single" w:sz="8" w:space="36" w:color="000000"/>
        </w:rPr>
        <w:t xml:space="preserve">The non-GAAP financial measures presented in the discussion of Octave’s performance and liquidity and the respective most directly comparable </w:t>
      </w:r>
      <w:r>
        <w:rPr>
          <w:rFonts w:ascii="Times New Roman;serif" w:hAnsi="Times New Roman;serif"/>
          <w:b w:val="false"/>
          <w:color w:val="000000"/>
          <w:sz w:val="20"/>
          <w:bdr w:val="single" w:sz="8" w:space="36" w:color="000000"/>
          <w:shd w:fill="FFFFFF" w:val="clear"/>
        </w:rPr>
        <w:t xml:space="preserve">U.S. </w:t>
      </w:r>
      <w:r>
        <w:rPr>
          <w:rFonts w:ascii="Times New Roman;serif" w:hAnsi="Times New Roman;serif"/>
          <w:b w:val="false"/>
          <w:color w:val="000000"/>
          <w:sz w:val="20"/>
          <w:bdr w:val="single" w:sz="8" w:space="36" w:color="000000"/>
        </w:rPr>
        <w:t>GAAP measures 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income from operations—Income from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operating margin—Operating margin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net income—Net income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Free cash flow—Cash flow from operations</w: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In addition, Octave presents certain measures in constant currency terms to exclude the estimated effects of foreign currency exchange rate fluctuations. </w:t>
      </w:r>
    </w:p>
    <w:p>
      <w:pPr>
        <w:pStyle w:val="TextBody"/>
        <w:bidi w:val="0"/>
        <w:spacing w:lineRule="auto" w:line="288" w:before="0" w:after="180"/>
        <w:jc w:val="both"/>
        <w:rPr>
          <w:bdr w:val="single" w:sz="8" w:space="36" w:color="000000"/>
        </w:rPr>
      </w:pPr>
      <w:r>
        <w:rPr>
          <w:rFonts w:ascii="Times New Roman;serif" w:hAnsi="Times New Roman;serif"/>
          <w:b w:val="false"/>
          <w:color w:val="000000"/>
          <w:sz w:val="20"/>
          <w:bdr w:val="single" w:sz="8" w:space="36" w:color="000000"/>
        </w:rPr>
        <w:t xml:space="preserve">Octave uses these non-GAAP financial measures, and Octave believes that they assist Octave’s investors, to make period-to-period comparisons of Octave’s operational performance because they provide a view of Octave’s operating results and cash flows without items that are not, in Octave’s view, indicative of Octave’s core operating results. Octave believes that these non-GAAP financial measures, when used in conjunction with the most comparable </w:t>
      </w:r>
      <w:r>
        <w:rPr>
          <w:rFonts w:ascii="Times New Roman;serif" w:hAnsi="Times New Roman;serif"/>
          <w:b w:val="false"/>
          <w:color w:val="000000"/>
          <w:sz w:val="20"/>
          <w:bdr w:val="single" w:sz="8" w:space="36" w:color="000000"/>
          <w:shd w:fill="FFFFFF" w:val="clear"/>
        </w:rPr>
        <w:t xml:space="preserve">U.S. </w:t>
      </w:r>
      <w:r>
        <w:rPr>
          <w:rFonts w:ascii="Times New Roman;serif" w:hAnsi="Times New Roman;serif"/>
          <w:b w:val="false"/>
          <w:color w:val="000000"/>
          <w:sz w:val="20"/>
          <w:bdr w:val="single" w:sz="8" w:space="36" w:color="000000"/>
        </w:rPr>
        <w:t xml:space="preserve">GAAP measure, help illustrate underlying trends in Octave’s business, and Octave uses the measures to establish budgets and operational goals (communicated internally and externally) for managing Octave’s business and evaluating Octave’s performance. Octave believes that providing non-GAAP financial measures also affords investors a view of Octave’s operating results and cash flows that may be more easily compared to the results of other companies in Octave’s industry that use similar financial measures to supplement their </w:t>
      </w:r>
      <w:r>
        <w:rPr>
          <w:rFonts w:ascii="Times New Roman;serif" w:hAnsi="Times New Roman;serif"/>
          <w:b w:val="false"/>
          <w:color w:val="000000"/>
          <w:sz w:val="20"/>
          <w:bdr w:val="single" w:sz="8" w:space="36" w:color="000000"/>
          <w:shd w:fill="FFFFFF" w:val="clear"/>
        </w:rPr>
        <w:t xml:space="preserve">U.S. </w:t>
      </w:r>
      <w:r>
        <w:rPr>
          <w:rFonts w:ascii="Times New Roman;serif" w:hAnsi="Times New Roman;serif"/>
          <w:b w:val="false"/>
          <w:color w:val="000000"/>
          <w:sz w:val="20"/>
          <w:bdr w:val="single" w:sz="8" w:space="36" w:color="000000"/>
        </w:rPr>
        <w:t xml:space="preserve">GAAP results. </w:t>
      </w:r>
    </w:p>
    <w:p>
      <w:pPr>
        <w:pStyle w:val="TextBody"/>
        <w:bidi w:val="0"/>
        <w:spacing w:lineRule="auto" w:line="288" w:before="0" w:after="180"/>
        <w:jc w:val="both"/>
        <w:rPr>
          <w:bdr w:val="single" w:sz="8" w:space="36" w:color="000000"/>
        </w:rPr>
      </w:pPr>
      <w:r>
        <w:rPr>
          <w:rFonts w:ascii="Times New Roman;serif" w:hAnsi="Times New Roman;serif"/>
          <w:b w:val="false"/>
          <w:color w:val="000000"/>
          <w:sz w:val="20"/>
          <w:bdr w:val="single" w:sz="8" w:space="36" w:color="000000"/>
        </w:rPr>
        <w:t xml:space="preserve">The items excluded from the non-GAAP financial measures often have a material impact on Octave’s financial results. Accordingly, the non-GAAP financial measures included in this information statement should be considered in addition to, and not as a substitute for or superior to, the comparable measures prepared in accordance with </w:t>
      </w:r>
      <w:r>
        <w:rPr>
          <w:rFonts w:ascii="Times New Roman;serif" w:hAnsi="Times New Roman;serif"/>
          <w:b w:val="false"/>
          <w:color w:val="000000"/>
          <w:sz w:val="20"/>
          <w:bdr w:val="single" w:sz="8" w:space="36" w:color="000000"/>
          <w:shd w:fill="FFFFFF" w:val="clear"/>
        </w:rPr>
        <w:t xml:space="preserve">U.S. </w:t>
      </w:r>
      <w:r>
        <w:rPr>
          <w:rFonts w:ascii="Times New Roman;serif" w:hAnsi="Times New Roman;serif"/>
          <w:b w:val="false"/>
          <w:color w:val="000000"/>
          <w:sz w:val="20"/>
          <w:bdr w:val="single" w:sz="8" w:space="36" w:color="000000"/>
        </w:rPr>
        <w:t xml:space="preserve">GAAP. </w:t>
      </w:r>
    </w:p>
    <w:p>
      <w:pPr>
        <w:pStyle w:val="TextBody"/>
        <w:bidi w:val="0"/>
        <w:spacing w:lineRule="auto" w:line="288" w:before="0" w:after="180"/>
        <w:jc w:val="both"/>
        <w:rPr>
          <w:bdr w:val="single" w:sz="8" w:space="36" w:color="000000"/>
        </w:rPr>
      </w:pPr>
      <w:r>
        <w:rPr>
          <w:rFonts w:ascii="Times New Roman;serif" w:hAnsi="Times New Roman;serif"/>
          <w:b w:val="false"/>
          <w:color w:val="000000"/>
          <w:sz w:val="20"/>
          <w:bdr w:val="single" w:sz="8" w:space="36" w:color="000000"/>
        </w:rPr>
        <w:t xml:space="preserve">The following tables reconcile each of these non-GAAP financial measures to its most closely comparable </w:t>
      </w:r>
      <w:r>
        <w:rPr>
          <w:rFonts w:ascii="Times New Roman;serif" w:hAnsi="Times New Roman;serif"/>
          <w:b w:val="false"/>
          <w:color w:val="000000"/>
          <w:sz w:val="20"/>
          <w:bdr w:val="single" w:sz="8" w:space="36" w:color="000000"/>
          <w:shd w:fill="FFFFFF" w:val="clear"/>
        </w:rPr>
        <w:t xml:space="preserve">U.S. </w:t>
      </w:r>
      <w:r>
        <w:rPr>
          <w:rFonts w:ascii="Times New Roman;serif" w:hAnsi="Times New Roman;serif"/>
          <w:b w:val="false"/>
          <w:color w:val="000000"/>
          <w:sz w:val="20"/>
          <w:bdr w:val="single" w:sz="8" w:space="36" w:color="000000"/>
        </w:rPr>
        <w:t>GAAP measure on Octave’s financial statements.</w:t>
      </w:r>
    </w:p>
    <w:p>
      <w:pPr>
        <w:pStyle w:val="TextBody"/>
        <w:bidi w:val="0"/>
        <w:spacing w:before="0" w:after="18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301" name="Frame2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NON-GAAP FINANCIAL MEASURES</w:t>
      </w:r>
    </w:p>
    <w:tbl>
      <w:tblPr>
        <w:tblW w:w="8537" w:type="dxa"/>
        <w:jc w:val="left"/>
        <w:tblInd w:w="0" w:type="dxa"/>
        <w:tblLayout w:type="fixed"/>
        <w:tblCellMar>
          <w:top w:w="28" w:type="dxa"/>
          <w:left w:w="28" w:type="dxa"/>
          <w:bottom w:w="28" w:type="dxa"/>
          <w:right w:w="28" w:type="dxa"/>
        </w:tblCellMar>
      </w:tblPr>
      <w:tblGrid>
        <w:gridCol w:w="1368"/>
        <w:gridCol w:w="1201"/>
        <w:gridCol w:w="1210"/>
        <w:gridCol w:w="211"/>
        <w:gridCol w:w="841"/>
        <w:gridCol w:w="301"/>
        <w:gridCol w:w="109"/>
        <w:gridCol w:w="109"/>
        <w:gridCol w:w="109"/>
        <w:gridCol w:w="211"/>
        <w:gridCol w:w="841"/>
        <w:gridCol w:w="301"/>
        <w:gridCol w:w="109"/>
        <w:gridCol w:w="109"/>
        <w:gridCol w:w="109"/>
        <w:gridCol w:w="211"/>
        <w:gridCol w:w="841"/>
        <w:gridCol w:w="346"/>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336,850 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395,492 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324,035 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Adjusted income from operations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506,306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536,788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488,817</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Adjusted operating margin</w:t>
            </w:r>
            <w:r>
              <w:rPr>
                <w:color w:val="000000"/>
              </w:rPr>
              <w:t xml:space="preserve">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Adjusted net income</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390,619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421,362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371,570</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436,436 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(136,673)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Free cash flow</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319,659</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360,167</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304,176</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02" name="Frame2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consider the following risk factors and all the other information contained in this information statement in evaluating the Octave Business and the Octave Shares. Any of the following risks could materially and adversely affect Octave’s business, financial condition, or results of operation.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Relating to the Separation and Distribution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expect to incur increased administrative and other costs following the Distribution by virtue of our loss of access to functions and corporate services historically provided to us by Hexagon, and our ability to operate our business effectively may be adversely impacted if we do not, quickly and cost effectively, establish our own administrative and support functions necessary to operate as a standalone public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conduct of our business by Hexagon, and our operations since, have focused primarily on organizing, staffing, and preparing for the separation from Hexagon and the Distribution. Historically and through the Distribution Date, our business was and will continue to be conducted by Hexagon as part of its broader corporate organization, rather than as an independent company, and we have shared economies of scope and scale in costs, employees, vendor relationships, and customer relationships with Hexagon. As such, we have not yet had the opportunity to demonstrate an independent ability to successfully conduct activities necessary for successful operation as a standalone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quickly and cost effectively, establish our own administrative and support functions necessary to operate as a standalone public company, then our ability to operate our business effectively may be adversely impacted and our accounting and other management systems and resource functions may not be adequately prepared to meet the financial reporting and other requirements to which we will be subject following the Distribution. Necessary initiatives we are undertaking to develop an independent ability to operate without access to Hexagon’s existing operational and administrative infrastructure will result in increased costs.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separation and Distribution, Hexagon or one or more of its affiliates provides various corporate services to supplement existing Octave functions, including certain legal, accounting, treasury, financial reporting, research &amp; development and human resources services, as well as information technology and other corporate infrastructure. In connection with the Distribution, Octave and Hexagon will enter into a Distribution Agreement, a Tax Disaffiliation Agreement, an Employee Matters Agreement, a Transition Services Agreement, and other agreements for the purpose of accomplishing the separation and Distribution of Octave to Hexagon’s shareholders. These agreements are discussed in greater detail in “Certain Relationships and Related Party Transactions—Relationship Between Hexagon and Octave After the Distribution.”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these agreements, Hexagon will provide some functions and services to Octave for a specified time period, but these arrangements may not fully capture the benefits Octave has enjoyed as a result of being integrated with Hexagon. Further, if Hexagon is unable to satisfy its performance and payment obligations under these agreements, Octave could incur significant operational difficulties or losses. We will need to make additional investments to replicate or outsource from other providers certain systems, functions, infrastructure, and personnel to which we will no longer have access after our separation from Hexagon, and we may encounter unforeseen expenses, difficulties, complications, and delays in doing so.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our separation from Hexagon, we are also creating our own financial, administrative, corporate governance, public company compliance, and other support systems, including for the services Hexagon has historically provided to us, or we expect to contract with third parties to replace Hexagon’s systems that we are not establishing internally. We expect this process to be complex, time-consuming, and require significant monetary investments. We are also establishing or expanding our own tax, treasury, internal audit, investor relations, corporate governance, publicly-listed company compliance, and other corporate functions, including a new board of directors. These corporate functions fall beyond the scope of the operational service domains formerly provided by Hexagon and will require us to develop new standalone corporate functions.</w:t>
      </w:r>
    </w:p>
    <w:p>
      <w:pPr>
        <w:pStyle w:val="TextBody"/>
        <w:bidi w:val="0"/>
        <w:spacing w:before="0" w:after="18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3" name="Frame3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operational interruptions as we implement the new systems, or our failure to implement the new systems and replace Hexagon’s services successfully, and any higher costs associated with such new systems, could disrupt our business and could have a material adverse effect on our business, results of operations, and financial position.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obligations associated with being a public company will require significant resources and management attention.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standalone U.S. public company, we will incur significant new legal, regulatory, accounting, and other expenses that we did not independently incur as part of Hexagon.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we are not subject to the reporting and other requirements of the U.S. Securities Exchange Act 1934 (the “Exchange Act”). Following the effectiveness of the registration statement of which this information statement forms a part, we will be subject to such reporting and other obligations under the Exchange Act and the rules of Nasdaq New York, the national securities exchange on which Octave Class B Ordinary Shares are listed. In addition, in connection with the listing of the Octave SDRs on Nasdaq Stockholm, we will be subject to such reporting and other obligations under the European Union Market Abuse Regulation (“MAR”) and the Nordic Main Market Rulebook for Issuers of Shares for Nasdaq Stockholm (“Nasdaq Stockholm’s Rulebook”). As a separate public company, we will be required to, among other things: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prepare and distribute periodic reports and other shareholder communications in compliance with federal securities laws and rules, MAR, the Transparency Directive and Nasdaq Stockholm’s Rulebook;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have our own board of directors and committees thereof, which comply with U.S. federal securities laws and rules and applicable stock exchange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disclose inside information in compliance with MAR and Nasdaq Stockholm’s Rulebook;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comply with disclosure requirements in respect of persons discharging managerial responsibilities and any person closely associated with them, pursuant to MAR;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maintain an internal audit function;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institute our own financial reporting and disclosure compliance functions;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 an investor relations function and incur expenses to maintain a public stock listing;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 internal policies, including those relating to trading in our securities and disclosure controls and procedures;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comply with the rules and regulations implemented by the SEC, the Sarbanes-Oxley Act, the Dodd-Frank Act, the PCAOB, the European Union, the European Securities and Markets Authority, the Swedish Financial Supervisory Authority, Nasdaq New York, which is the relevant U.S. national securities exchange and Nasdaq Stockholm.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reporting and other obligations will place significant demands on our management and our administrative and operational resources, and we expect to face increased legal, accounting, administrative, and other costs and expenses relating to these demands that we had not incurred as a part of Hexagon. Certain of these functions will be provided on a transitional basis by Hexagon pursuant to a Transition Services Agreement. Please refer to “Certain Relationships and Related Party Transactions—Relationship Between Hexagon and Octave After the Distribution—Transition Services Agreement.” In particular, because Hexagon is not a public reporting company in the United States with securities registered under Section 12 of the Exchange Act, such new and additional reporting and other obligations of Octave will place significant demands on our management, which have limited or no experience managing U.S. public companies, interacting with U.S. public company investors and complying with complex laws pertaining to U.S. public companies. Our investment in compliance with existing and evolving regulatory requirements will result in increased administrative expenses and a diversion of some of management’s time and attention from sales-generating activities. Failure to satisfy these obligations could have a material adverse effect on our business, results of operations, and financial position. </w:t>
      </w:r>
    </w:p>
    <w:p>
      <w:pPr>
        <w:pStyle w:val="TextBody"/>
        <w:bidi w:val="0"/>
        <w:spacing w:before="0" w:after="18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04" name="Frame3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have no operating history as an independent, publicly-traded company, and our historical combined financial information is not necessarily representative of the results we could have achieved as an independent, publicly-traded company and may not be a reliable indicator of our future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no operating history as an independent, publicly-traded company and we may not be successful in continuing to operate and grow our business with a narrower focus and outside the broader Hexagon operating environment. We may not be able to achieve the full operational, financial, and strategic benefits expected to result from the separation and Distribution, or such benefits may be delayed or not occur at all. The anticipated benefits of the Distribution are based on a number of assumptions and uncertainties, which may prove to be incorrect or incomplete and we may not achieve these and other anticipated benefits for a variety of reasons, including those identified in this section “Risk Factors.” If we fail to achieve some or all of the benefits expected to result from the separation and Distribution, or if such benefits are delayed, it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historical combined financial information included in this information statement is derived from Hexagon’s consolidated financial statements, and this information does not necessarily reflect the results of operations and financial position we would have achieved as an independent, publicly-traded company during the periods presented, or those that we will achieve in the future. This is primarily due to the following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the Distribution, we operated within various subsidiaries of Hexagon, and Hexagon performed various corporate functions for us. Our historical combined financial information reflects allocations of corporate expenses from Hexagon for these and similar functions. These allocations may not reflect the costs we will incur for similar services in the future as an independent publicly-traded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will enter into transactions with Hexagon that did not exist prior to the Distribution, such as Hexagon’s provision of transition and other services and licensing agreements, and we will undertake indemnification obligations, which will cause us to incur new costs. See “Certain Relationships and Related Party Transactions—Relationship Between Hexagon and Octave After the Distribution.”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historical combined financial information does not reflect changes we expect to experience in the future as a result of our separation from Hexagon, including changes in the financing, cash management, operations, cost structure, and personnel needs of our business. As part of Hexagon, we enjoyed certain benefits from Hexagon’s operating diversity, size, purchasing power, borrowing leverage, and available capital for investments, and we may lose these benefits after the Distribution. As an independent entity, we may be unable to purchase goods, services, and technologies, such as insurance and computer software licenses, or access capital markets on terms as favorable to us as those we obtained as part of Hexagon prior to the Distribution. Further, we will not have the same product diversity or scale and may not have similar purchasing power at the prices and terms obtained prior to the Distribution, which could decrease our overall profitability. Uncertainty related to the Distribution may lead customers, vendors, and other parties with which we currently do business or may do business with in the future to terminate or attempt to negotiate changes in our existing business relationships or cause them to consider entering into business relationships with parties other than Octave. Our business, financial condition, results of operations, and cash flows may thus be adversely affected. In addition, our historical combined financial information does not include an allocation of interest expense comparable to the interest expense we will incur as a result of the Distribution, including interest expense in connection with the incurrence of indebtedness by Octave.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After the separation and Distribution, we will have indebtedness that could adversely affect our business, cash flows,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Distribution, Octave expects to enter into a five-year senior unsecured revolving credit facility in an aggregate principal amount of up to $500 million and a four-year senior unsecured term loan facility consisting of a U.S. dollar denominated term loan in an amount of up to $350 million and a Euro denominated term loan in an amount of up to €150 million, which we refer to as the “Proposed Facilities.” Octave has entered into the Commitment Letter related to syndication of the Proposed Facilities. Upon completion of the Distribution, Octave expects the revolving credit facility to be undrawn and the term loan facility to be fully drawn. Under the </w:t>
      </w:r>
    </w:p>
    <w:p>
      <w:pPr>
        <w:pStyle w:val="TextBody"/>
        <w:bidi w:val="0"/>
        <w:spacing w:before="0" w:after="18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05" name="Frame3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Commitment Letter for the Proposed Facilities, Octave would be required to maintain a maximum consolidated leverage ratio under the Proposed Facilities of no more than 3.50 to 1.00. Octave would be permitted to elect to increase the maximum permitted consolidated leverage ratio to 4.00 to 1.00 for the fiscal quarter during which a material acquisition occurs and for the following three fiscal quarters (in each case, with the leverage ratio to be calculated as defined in the credit agreement with respect to the Proposed Facilities). We expect the Proposed Facilities to have affirmative and negative covenants customary for similar financings, including, among other things and subject to certain significant exceptions, limitations on liens, indebtedness, mergers and asset sales, as well as customary reporting and compliance obligations. The composition of the Proposed Facilities and the capital structure of Octave may change based on syndication of the Proposed Facilities, which is expected to be completed prior to the effectiveness of the registration statement of which this information statement forms a part. For more information, see “Description of Material Indebtedness.”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may incur additional indebtedness in the future. Our indebtedness may impose restrictions on us that could have material adverse consequences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requiring a substantial portion of our cash flow from operations to make payments on our indebtedness following the separation;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making it more difficult to satisfy debt service and other obligations;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the risk of a future credit ratings downgrade of our debt, which could increase future debt costs and limit the future availability of debt financing;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reducing the cash flow available to fund capital expenditures and other corporate purposes and to grow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our ability to borrow additional funds as needed or take advantage of business opportunities as they arise, pay cash dividends, or repurchase or redeem Octave Class A Ordinary Shares and/or Octave Class B Ordinary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our flexibility in planning for, or reacting to, changes in our business and the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our vulnerability to general adverse economic and industry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requiring us to expend resources to monitor and comply with covenants related to such indebtedness;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placing us at a competitive disadvantage relative to our competitors that may not be as highly leveraged with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extent we incur additional indebtedness, the risks described above could increase.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separation and Distribution may result in disruptions to, and negatively impact our relationships with, our customers, prospective customers, vendors, and other business partners.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activities are conducted in a large number of markets with multiple customer categories, including power generation and utilities, data centers, heavy construction, process industries, public safety, transportation networks, and other environments where reliability, safety, and coordinated operations are essential. Uncertainty related to the separation and Distribution may lead customers, prospective customers, vendors, or other parties with which we currently do business or may do business with in the future to terminate or attempt to negotiate material changes in our existing business relationships, or cause any of these parties to delay entering into business relationships with us or consider entering into business relationships with parties other than us. These disruptions could have a material and adverse effect on our business, prospects, financial condition, and results of operations. In addition, although Hexagon will continue to provide us with certain services under the Transition Services Agreement for a limited period after the Distribution, that agreement is temporary and limited and does not replicate the commercial, reputational or scale benefits customers associate with being part of Hexagon. As we transition to a standalone public company, our ability to leverage the infrastructure, resources and other synergies that come from being a part of the larger Hexagon Group will decrease, which may negatively affect customer sentiment and </w:t>
      </w:r>
    </w:p>
    <w:p>
      <w:pPr>
        <w:pStyle w:val="TextBody"/>
        <w:bidi w:val="0"/>
        <w:spacing w:before="0" w:after="18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6" name="Frame3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adversely affect our operations. In addition, some of our customers, prospective customers, vendors and other business partners accustomed to conducting business with larger organizations may not continue to do business with Octave following the separation and Distribution as a result of no longer being part of Hexagon. Furthermore, we expect to continue re-selling or distributing certain Hexagon products and services immediately following the Distribution that may expire or be wound down over time. For example, we expect our U.S. federal government business to continue to re-sell certain Hexagon products for a limited duration following the Distribution, which customer relationships will likely ultimately transition back to Hexagon over time.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customers, prospective customers, vendors, or other parties with which we conduct business may need assurances that our scale, policies and/or attributes on a standalone basis are sufficient to satisfy their requirements or preferences for doing or continuing to do business with them. Any failure of parties to be satisfied with our operational capacity, financial stability or other business relationships following the Distribution could have a material adverse effect on our business, results of operations, and financial condition.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combined post-Distribution value of Hexagon Class B Shares and Octave Class B Ordinary Shares may not equal or exceed the pre-Distribution value of Hexagon Class B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Hexagon expects the trading price of Hexagon Class B Shares to be lower than the trading price immediately prior to the Distribution because the trading price will no longer include the value of the Octave Business. In addition, the trading price of Octave Class B Ordinary Shares may not reflect the full value of our business and assets, due to market inefficiencies in the initial trading of Octave Class B Ordinary Shares or Octave SDRs or variations in investor views regarding our business and prospects, among other market forces. The aggregate market value of Hexagon Class B Shares and Octave Class B Ordinary Shares as separate entities at any time following the Distribution may be lower than the market value of Hexagon Class B Shares immediately prior to the Distribution, and may fluctuate significantly, particularly during the period immediately following the Distribution and until the market has evaluated the operations of Hexagon and Octave. This could have a material adverse effect on our business, results of operations, and financial position. See “—Risks Relating to Octave Class B Ordinary Shares and Octave SDRs.”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 connection with the separation and Distribution, we will assume and agree to indemnify Hexagon for certain liabilities. If we are required to make payments pursuant to these indemnities to Hexagon or, if Hexagon fails to indemnify us pursuant to the Distribution Agreement, or if Hexagon’s indemnification obligations are insufficient to protect us against certain obligations, we may need to divert cash to meet those obligations and our financial results could be significantly harmed.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Distribution Agreement and certain other agreements we intend to enter into with Hexagon in connection with the separation and Distribution, we will assume and agree to indemnify Hexagon for certain liabilities for uncapped amounts, which may include, among other items, associated defense costs and settlement amounts and judgments, as discussed further in “Certain Relationships and Related Party Transactions—Relationship Between Hexagon and Octave After the Distribution.” Payments pursuant to these indemnities may be significant and could harm our business. Third parties could also seek to hold us responsible for liabilities of the Hexagon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Hexagon will agree to indemnify us for certain liabilities of the Hexagon business, but such indemnity from Hexagon may not be sufficient to protect us against the full amount of such liabilities, and Hexagon may not fully satisfy its indemnification obligations (if at all). Moreover, even if we ultimately succeed in recovering from Hexagon any amounts for which we are held liable, we may be temporarily required to bear these losses ourselves. Each of these risks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Distribution and related transactions may expose us to potential liabilities arising out of state and federal fraudulent conveyance laws and legal distribution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Distribution could be challenged under various foreign, federal, and state laws. An unpaid creditor or an entity vested with the power of such creditor (such as a trustee or debtor-in-possession in a bankruptcy) could claim that Hexagon did not receive fair consideration or reasonably equivalent value in the Distribution, and that the Distribution left Hexagon insolvent or with unreasonably small capital or that Hexagon intended or believed it </w:t>
      </w:r>
    </w:p>
    <w:p>
      <w:pPr>
        <w:pStyle w:val="TextBody"/>
        <w:bidi w:val="0"/>
        <w:spacing w:before="0" w:after="18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7" name="Frame3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would incur debts beyond its ability to pay such debts as they mature. If a court were to agree with such a plaintiff, then such court could void the Distribution as a fraudulent transfer and could impose a number of different remedies, including, without limitation, returning our assets or your shares in Octave to Hexagon or providing Hexagon with a claim for money damages against us in an amount equal to the difference between the consideration received by Hexagon and the fair market value of Octave at the time of the Distribution. No assurance can be given as to what standard a court would apply to determine insolvency or that a court would determine that Hexagon was solvent at the time of or after giving effect to the Distribution.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agreements with Hexagon may not reflect terms that would have resulted from negotiations with unaffiliated third parties, and we may have been able to receive better terms from unaffiliated third parties than the terms we receive in our agreements related to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agreements related to the separation and Distribution, including, among others, the Distribution Agreement, the Tax Disaffiliation Agreement, the Employee Matters Agreement, the Transition Services Agreement, and other agreements for the purpose of accomplishing the separation and Distribution of our share capital to Hexagon’s shareholders will have been entered into in the context of the separation and Distribution while we are still controlled by Hexagon. Accordingly, these agreements may not reflect terms that would have resulted from arm’s-length negotiations among unaffiliated third parties. The terms of the agreements being negotiated in the context of our separation and Distribution are related to, among other things, allocations of assets and liabilities, rights and indemnification, and other obligations between Hexagon and Octave. To the extent certain terms of those agreements provide for rights and obligations that could have been procured from third parties, we may have received better terms from third parties. There is a risk that we may incur greater costs or be subject to greater potential liability pursuant to our agreements with Hexagon for certain rights and obligations that could have been procured from unaffiliated third parties, which could have a material adverse effect on our business, prospects, financial condition, and result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 more detailed description, see “Certain Relationships and Related Person Transactions—Relationship Between Hexagon and Octave After the Distribution.”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Risks Relating to Our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Conditions in the global economy, the particular markets we serve, and the financial markets may adversely affect our future growth.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is sensitive to general economic conditions and depends on continued strength in the markets we serve. We engage in worldwide operations that are dependent on global economic and financial market conditions, as well as conditions that are unique to certain countries or regions. Our sales are often associated with capital improvements or availability of funding of customers that depends on a variety of factors outside of our control. Slower global economic growth, high inflation, high interest rates, actual or anticipated default on sovereign debt, volatility in the currency and credit markets, high levels of unemployment or underemployment, reduced levels of capital expenditures, changes or anticipation of potential changes in government trade, fiscal, tax and monetary policies, changes in capital requirements for financial institutions, government deficit reduction and budget negotiation dynamics, sequestration, austerity measures, weak macroeconomic conditions globally or in a part of the world, and other challenges that affect the global economy may adversely affect our business and our distributors, customers, and vendors. Certain products and services that support discretionary functions may be susceptible to changes in economic conditions, and economic conditions may affect the inclination and the capabilities of existing and potential customers to invest in various technologies. For example, the U.S. administration has increased tariffs on certain goods imported into the United States, raised the possibility of imposing significant additional tariff increases, and called for substantial changes to trade agreements.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growth in the global economy or in any of the markets we serve slows for a significant period, if there is significant deterioration in the global economy or such markets, or if improvements in the global economy do not benefit the markets we serve, there could be a material adverse effect on our business, results of operations, and financial position.</w:t>
      </w:r>
    </w:p>
    <w:p>
      <w:pPr>
        <w:pStyle w:val="TextBody"/>
        <w:bidi w:val="0"/>
        <w:spacing w:before="0" w:after="18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308" name="Frame3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operate in highly competitive markets, and failure to maintain a market-level pace for product development and a high level of product and service quality may impact competitiveness, which could have a material adverse effect on our business, results of operations, and financial condition.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highly competitive markets and compete directly with global, national, regional, and local providers of our products, services, and solutions. The markets in which we operate are characterized by rapid technological advancement, evolving customer expectations, and continuous innovation. These sectors are seeing increased activity from large, well-capitalized competitors, and some of these competitors are entering adjacent markets, bundling offerings, or consolidating through strategic acquisitions. As a result, we face pressure not only from traditional competitors but also from emerging players and broader technology providers seeking to offer integrated, end-to-end digital solutions. These companies may be able to offer aggressive pricing, complementary services, or leverage their advantages of scale that we cannot easily match. Customers may prefer vendors with more comprehensive product suites or global reach, making it more difficult for us to win or retain business. If we are unable to effectively compete through innovation, pricing, rapid development, reliable quality, partnerships, or customer service then we could lose market share, be forced to reduce prices, or experience slower growth. Similarly, failure to fully integrate our software solutions into an integrated platform and/or ecosystem may lead to a failure to attract or retain customers, which could materially adversely affect our results of operations. In addition, slow adoption of new technology offerings, high switching costs, and weak customer economic conditions may be an impediment to future purchasing decisions that could negatively impact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sectors are experiencing increased competition from new market entrants, including startups backed by private equity or venture capital funding. These companies often focus on rapid growth and market penetration, rather than near-term profitability, and may offer their products and services at significantly reduced prices or under highly favorable terms. We currently sell software that includes certain products with premium price points on a per-user basis as well as other licensure models, which can make us vulnerable to market disruption if a new or existing competitor were to introduce a comparable or superior product at a significantly lower price. Aggressive pricing and customer acquisition strategies by new market entrants or others could undercut our offerings, even if the competing products lack the maturity, security, or reliability required in mission-critical environments.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risk losing market share to competitors offering more current or cost-effective alternatives if we do not maintain at least a market pace at which we develop, update, and retire technology and software products, which will require continuing to improve our internal development processes and increasing our agility following the separation. A delay or failure to modernize our offerings, adopt new platforms, features or protocols, or respond to emerging trends in a timely manner may result in our solutions becoming outdated or incompatible with customer needs and industry standards.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prolonged reliance on aging technologies may increase maintenance costs, introduce security vulnerabilities, and hinder our ability to scale or integrate with modern infrastructure. If our customers perceive our products as obsolete or inadequate for their evolving needs, or our customers shift to another vendor, we may experience reduced sales, increased customer churn, and reputational harm.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transition to a SaaS business model presents significant risks, and failure to execute this strategy successfully could materially harm our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in the process of transitioning portions of our business to an increasingly SaaS-based model, which represents a shift from traditional perpetual software licensing and delivery. Currently, a smaller proportion of our revenue is derived from SaaS solutions. The transition requires substantial investment in cloud infrastructure, product reengineering, security, customer onboarding, and support. It also may involve a temporary reduction in recognized revenue, as large up-front license fees are replaced with recurring subscriptions revenue, potentially impacting short-term financial performance.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a substantial part of our revenue is generated from maintenance and support subscriptions for legacy software products, and our long-term success depends on migrating these customers to our newer offerings. Any </w:t>
      </w:r>
    </w:p>
    <w:p>
      <w:pPr>
        <w:pStyle w:val="TextBody"/>
        <w:bidi w:val="0"/>
        <w:spacing w:before="0" w:after="18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9" name="Frame3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inability to transition customers to our new solutions could lead to a loss of revenue if current customers discontinue service or switch to competitors’ products.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fail to effectively migrate customers to our new offerings, deliver compelling SaaS solutions, or compete with established SaaS providers, we may lose existing customers or fail to attract new ones. Additionally, internal execution risks, such as delays in product development, pricing misalignment, or organizational resistance, could hinder the transition. Any failure to execute our SaaS strategy could result in a loss of market share, reduced profitability, and a long-term decline in revenue, materially and adversely affecting our business and prospects.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depend on a strong brand, and any failure to maintain, protect, and enhance our brand would have an adverse effect on our ability to grow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Hexagon, we have developed a strong brand that we believe has contributed significantly to the success of our business. Establishing Octave’s new external branding as a premium pure play software and SaaS brand is critical to growing our business. If we do not successfully build and maintain a strong brand, our business could be negatively impacted. Preserving and increasing the quality of our brand may require us to make substantial investments in areas such as marketing, community relations, outreach technology, and employee training. There is a risk that those activities will not enhance brand awareness.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Brand value can be severely damaged even by isolated incidents, particularly if the incidents receive considerable negative publicity or result in litigation. Some of these incidents may relate to the way we manage our relationship with our customers, our growth strategies, or the ordinary course of our business. Other incidents may arise from events that are or may be beyond our ability to control and may damage our brand, such as actions taken (or not taken) relating to health, safety, welfare, or other matters; cybersecurity incidents and/or misuse of our products;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Octave, which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rely on a variety of laws to protect the proprietary nature of our software, which may not adequately protect our intellectual property, and infringement, misappropriation, or dilution of our intellectual property could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Distribution, Octave will take possession of over 450 patents and patent applications currently held by Hexagon. The patent portfolio includes holdings in the United States, Europe, China, Japan, Korea, Australia, and Canada. The portfolio is predominantly focused on technologies in software and computer-implemented arts. Unauthorized uses or other infringement of our intellectual property, including ones that are currently unknown to us, could diminish the value of our brand and may adversely affect our business. Failure to adequately protect our intellectual property rights could damage our brand and impair our ability to compete effectively. Even where we have effectively secured statutory protection for our intellectual property, our competitors may misappropriate our intellectual property. Defending or enforcing our rights, such as seeking an injunction and/or compensation for misappropriation of proprietary or confidential information, could result in the expenditure of significant resources and divert the attention of management, which in turn may adversely affect our business and operating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unauthorized third parties may use our intellectual property to trade on the goodwill of our brand, resulting in consumer confusion or dilution. Any reduction of our brand’s goodwill, consumer confusion, or dilution is likely to impact sales, and could have a material adverse effect on our business, results of operations, and financial position. In addition, we may not be able to obtain or maintain adequate trademark registrations for our brand across all relevant trademark classes and jurisdictions in which we operate or intend to operate. Any limitations on our ability to enforce our trademark rights or prevent third parties from using similar marks could adversely affect our brand recognition and competitive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of our software businesses do not currently hold patents on core technologies, products, or software platforms. Instead, we rely in those instances on trade secret laws, confidentiality agreements, security practices, internal policies, and other contractual protections to safeguard our intellectual property. These measures </w:t>
      </w:r>
    </w:p>
    <w:p>
      <w:pPr>
        <w:pStyle w:val="TextBody"/>
        <w:bidi w:val="0"/>
        <w:spacing w:before="0" w:after="18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10" name="Frame3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offer more limited protections as compared to patent rights and require continuous vigilance, including robust internal controls and employee confidentiality obligations. If any of our trade secrets are disclosed, then we may lose our competitive advantage, and legal recourse may be limited or difficult to enforce, especially outside the United States. Moreover, our ability to assert exclusive rights over certain of our innovations through formal intellectual property litigation, or to deter competitors from developing similar technologies, may be hindered. This could allow others to replicate, market, or improve upon our offerings without infringing any protected rights, which could increase competitive pressure on us. Any erosion of our intellectual property protection could materially and adversely affect our business, competitive position, and long-term prospects.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certain risks with respect to our counterparties on contracts, and failure of such counterparties to meet their obligations could cause us to suffer losses or negatively impact our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entered into, and may enter into in the future, various long-term contracts with various parties. Such agreements subject us to counterparty risks, including the risk that our customers may be unable to fulfil their payment obligations. The ability of each of our counterparties to perform its obligations under a contract with us will depend on a number of factors that are beyond our control and may include, among other things, general economic conditions, the condition of the software industry, and the overall financial condition of the counterparty. Further, some of these contracts require cooperation of the counterparty for us to perform our obligations under the contract. Should a counterparty fail to honor its obligations under agreements with us, we could sustain significant losses which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reputation, ability to do business, and financial statements may be impaired by improper conduct by any of our employees, vendors, or business partners, and the failure of third-party vendors or partners to perform as we expect or appropriately manage risks, or our failure to adequately monitor third-party performance, could result in harm to our reputation and have a material adverse effect on our business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engage with third-party vendors, subcontractors, and partners in a variety of ways, ranging from strategic collaborations and product development to running key internal operational processes and critical client systems. In many instances, these third parties are in direct contact with our customers in order to deliver services on our behalf or to fulfill their role in the applicable collaboration. In some instances, these third parties may be in possession of personal information of our customers or employees. In other instances, these third parties may play a critical role in developing products and services central to our business strategy. To be in a position to sell and deliver solutions to customers, we are dependent upon deliveries from third parties in accordance with agreed requirements relating to, for example, quantity, quality, and delivery times. Our third-party partners may encounter difficulties in the provision of required deliverables or may fail to provide us with timely services, which may delay us, and also may make decisions that may harm us or that are contrary to our best interests, including by pursuing opportunities outside of the applicable project or program, to the detriment of such project or program. If third parties (or their respective vendors, partners or subcontractors) were to fail to perform as we expect, fail to appropriately manage risks, provide diminished or delayed services to our customers, or face cybersecurity breaches of their information technology systems, or if we fail to adequately monitor their performance, our operations and reputation could be materially adversely affected, in particular any such failures related to the development of key products. Depending on the function involved, vendor or third-party application failure or error may lead to increased costs, business disruption, distraction to management, processing inefficiencies, the loss of or damage to intellectual property or sensitive data through security breaches or otherwise, effects on financial reporting, loss of customers, damage to our reputation, or litigation, regulatory claims, and/or remediation costs (including claims based on theories of breach of contract, vicarious liability, negligence, or failure to comply with laws and regulations). Third-party vendors and partners (or their respective vendors) may also fail to maintain or keep adequate levels of insurance, which could result in a loss to us or expose us to litigation.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we cannot provide assurance that our internal controls and compliance systems will always protect us from acts committed by our employees, vendors, or business partners (or of businesses we acquire or partner with) that would violate U.S. and/or non-U.S. laws, including the laws governing payments to government officials, bribery, fraud, kickbacks and false claims, pricing, sales and marketing practices, conflicts of interest, competition, employment practices and workplace behavior, export and import compliance, economic and trade sanctions, money </w:t>
      </w:r>
    </w:p>
    <w:p>
      <w:pPr>
        <w:pStyle w:val="TextBody"/>
        <w:bidi w:val="0"/>
        <w:spacing w:before="0" w:after="18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11" name="Frame3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laundering, and data privacy. Any such improper actions or allegations of such acts could damage our reputation and subject us to government, civil or criminal investigations, and related shareholder lawsuits, could lead to substantial civil and criminal, monetary and non-monetary penalties, and could cause us to incur significant legal and investigatory fees.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businesses are exposed to risks that could lead to property damage and business interruption. Some of our potential losses may not be covered by insurance. We may not be able to obtain or maintain adequate insurance coverage.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assets, and staff are exposed to various risks of damages, losses, and injuries which could threaten our business continuity, earnings, financial assets, and personnel. Our products and distribution units are exposed to risks including, among others, fire, explosion, natural hazards, machinery failure, cyber threats, infrastructure failures, and power outages, which could lead to property damage and business interruption.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insurance programs are periodically amended to balance owned risk and insured risk, but our insurance does not cover all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large-scale market trends or the occurrence of adverse events in our business, such as large-scale cybersecurity attacks,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engage in strategic transactions that could impact our liquidity, increase our expenses, and present significant distractions to our management. Failure to successfully identify, complete, or integrate acquisitions into our existing operations could adversely affect our business, financial condition, or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 important part of our current and future growth strategy is to actively pursue strategic acquisitions of companies and businesses. Accordingly, from time to time, we may consider strategic transactions, such as acquisitions of companies, asset purchases, and out-licensing or in-licensing of intellectual property, products, or technologies, which leverage our capabilities, enhance our customer base, geographic penetration, and scale to complement our current businesses. Since 2017, Octave has integrated 24 acquisitions, two of the most recent of which were completed in 2025 for an aggregate consideration of $16.8 million, net of cash acquired, two acquisitions in 2024 for an aggregate consideration of $30.6 million, net of cash acquired, and, in 2023, the acquisitions of Qognify and Projectmates were completed for an aggregate cash consideration of $348.0 million, net of cash acquired. Additional potential transactions that we may consider in the future include a variety of business arrangements, including spin-offs, strategic partnerships, joint ventures, restructurings, divestitures, business combinations, and investments.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such transactions are an integral part of our long-term strategy, there are risks and uncertainties related to these activities. Acquisitions entail multiple risks and future transactions could increase our near- and long-term expenditures, result in potentially dilutive issuances of our equity securities, including Octave Shares, as well as the Octave SDRs, or the incurrence of debt, contingent liabilities, amortization expenses or acquired in-process research and development expenses, any of which could affect our financial condition, liquidity, and results of operations. The acquired entities’ relations with customers, vendors, key personnel, and affiliates may be negatively affected by the acquisition. There is also some risk that integration processes may prove more costly or time consuming than estimated and that anticipated synergies in whole or in part fail to materialize, or that positive impacts on earnings may take longer to realize than expected. An acquisition of a company that is not conducting its business at the high level of our standards, such as not in a sustainable way or in compliance with our Code of Business Conduct and Ethics, may have a negative impact on our reputation and brand and could have a material adverse effect on our business, results of operations, and financial position, despite our efforts to promptly remediate such conditions. Future acquisitions may also require us to obtain additional financing, which may not be </w:t>
      </w:r>
    </w:p>
    <w:p>
      <w:pPr>
        <w:pStyle w:val="TextBody"/>
        <w:bidi w:val="0"/>
        <w:spacing w:before="0" w:after="18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312" name="Frame3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available on favorable terms or at all. These transactions may not be successful and may require significant time and attention of management.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In particular, acquisitions and strategic relationships involve the following risks,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acquired business, technology, service, or product could underperform relative to our expectations and the price that we paid for it, or not perform in accordance with our anticipated timetable;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incur or assume significant debt in connection with our acquisitions or strategic relationships;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acquisitions or strategic relationships could cause our financial results to differ from our own estimates or the investment community’s expectations in any given period, or over the long term;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pre-closing and post-closing earnings charges could adversely impact operating results in any given period, and the impact may be substantially different from period to period;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acquisitions or strategic relationships could create demands on our management, operational resources, and financial and internal control systems that we are unable to effectively address;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could experience difficulty in integrating personnel, operations, financial, and other controls and systems, and retaining key employees and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be unable to achieve cost savings or other synergies anticipated in connection with an acquisition or strategic relationship;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assume by acquisition or strategic relationship unknown liabilities, known contingent liabilities that become realized, known liabilities that prove greater than anticipated, internal control deficiencies, or exposure to regulatory sanctions resulting from the acquired company’s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realization of any of the liabilities or deficiencies mentioned above may increase our expenses, adversely affect our financial position, or cause us to fail to meet our public financial reporting obligations;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 connection with acquisitions, we may enter into post-closing financial arrangements such as purchase price adjustments, earn-out obligations, and indemnification obligations, which may have unpredictable financial results;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 connection with acquisitions, we have recorded significant goodwill and other intangible assets on our balance sheet, and if we are not able to realize the value of these assets, we may be required to incur charges relating to the impairment of these assets;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have interests that diverge from those of strategic partners and we may not be able to direct the management and operations of the strategic relationship in the manner we believe is most appropriate, exposing us to additional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may not be able to successfully identify suitable acquisition candidates or complete transactions on acceptable terms, integrate acquired operations into our existing operations, or expand into new markets. Our failure to identify suitable strategic opportunities may restrict our ability to grow our business. Furthermore, consummation of transactions with desirable acquisition candidates may be subject to regulatory approvals, including, but not limited to the Committee on Foreign Investment in the United States, which may not be timely or approved.</w:t>
      </w:r>
    </w:p>
    <w:p>
      <w:pPr>
        <w:pStyle w:val="TextBody"/>
        <w:bidi w:val="0"/>
        <w:spacing w:before="0" w:after="18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313" name="Frame3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the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or applicable insurance may not apply or effectively respond to claims. There is a risk that these indemnification provisions will not protect us fully or at all, and as a result we may face unexpected liabilities that adversely affect our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Divestitures or other dispositions could negatively impact our business, and contingent liabilities from businesses that we have sold could adversely affect our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continually assess the strategic fit of our existing businesses and may divest, spin-off, split-off, or otherwise dispose of businesses that are deemed not to fit with our strategic plan or are not achieving the desired return on investment, including several in the past year. These transactions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satisfaction of pre-closing conditions which may not become satisfied and other terms, such as earn-outs. In addition, divestitures or other dispositions may reduce or dilute Octave’s earnings per share, have other adverse financial and accounting impacts, and distract management, and disputes may arise with buyers.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we have retained responsibility for and/or have agreed to indemnify buyers against some known and unknown contingent liabilities related to a number of businesses we have sold or disposed. Historical effects of such contingencies may not be indicative of their impact in the future, and future resolutions of these contingencies could accordingly have a material effect on our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accounting standards and subjective assumptions, estimates, and judgments by management related to complex accounting matters, could significantly affect our financial results or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and related accounting pronouncements, implementation guidelines, and interpretations regarding a wide range of matters relevant to our business, such as revenue recognition, asset impairment and fair value determinations, inventories, business combinations and intangible asset valuations, leases, and litigation, are highly complex and involve many subjective assumptions, estimates, and judgments. Changes in these rules or their interpretation or changes in underlying assumptions, estimates, or judgments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Following the Distribution, we may not be able to access the capital, credit, and foreign exchange markets on terms that are favorable to us, or at all, and our ability to meet our capital needs may be harmed by the loss of financial support from Hexagon.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Distribution, we expect to obtain any funds needed in excess of the amounts generated by our operating activities through the capital markets, bank financing, strategic relationships, or other arrangements. There is a risk that our ability to meet our capital needs, including servicing our own debt, will be harmed by the loss of financial support from Hexagon, which could have a material adverse effect on our business, results of operations, and financial condition. Hexagon can currently provide certain capital that may be needed in excess of the amounts generated by our operating activities. Generally, our working capital requirements and capital for our general corporate purposes, including acquisitions and capital expenditures, have historically been satisfied as part of the corporate-wide cash management policies of Hexagon. Following the Distribution, we may need to obtain additional financing from banks, through public offerings or private placements of debt or equity securities, strategic relationships, or other arrangements.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Distribution, our cost of capital may be higher than Hexagon’s cost of capital prior to the Distribution. Given the smaller relative size of Octave as compared to Hexagon after the Distribution, we may incur higher debt servicing and other costs relating to new indebtedness than we would have otherwise incurred and may be more susceptible to credit risk and liquidity risk than we were as part of Hexagon. A large portion of our total consolidated cash will also be held overseas and may not be efficiently accessible to fund our third-party debt and other financial obligations, which are expected to be primarily held in the United States. In the event of adverse </w:t>
      </w:r>
    </w:p>
    <w:p>
      <w:pPr>
        <w:pStyle w:val="TextBody"/>
        <w:bidi w:val="0"/>
        <w:spacing w:before="0" w:after="18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314" name="Frame3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capital and credit market conditions, including any increase in interest rates, we may be unable to obtain capital market financing on favorable terms, or at all. Further, changes in credit ratings issued by nationally recognized credit-rating agencies could adversely affect our ability to obtain capital market financing and the cost of such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risks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 proportion of our operations are in currencies other than our reporting currency, and adverse changes in exchange rates could negatively affect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Because of our broad geographic spread, a significant proportion of our revenues, expenses, assets, and liabilities are denominated in currencies other than Octave’s reporting currency, including the euro, Canadian dollar, Chinese renminbi, Indian rupee, British pound, and Australian dollar, which expose us to fluctuations in foreign currencies relative to the U.S. dollar and may adversely affect our financial statements. An increase in strength of the U.S. dollar against these currencies increases the effective price of our products sold in U.S. dollars into other countries, which may require us to lower our prices or adversely affect sales. A decrease in the strength of the U.S. dollar could adversely affect the cost of materials, products, and services we purchase outside the United States. Emergence of digital forms of currency may likewise, either directly or indirectly,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be able to hedge such foreign exchange risks in a cost-effective manner, and our financial results may be adversely affected by adverse movements in reported results when translated into our reporting currency, the U.S. dollar.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innovate and grow depends on our ability to attract, train, and retain highly skilled personnel, particularly in AI and other advanced technologies, and we may not be able to attract and retain key personnel.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as a standalone company will depend in large part upon the leadership and performance of our management team and other key employees and our ability to recruit, develop, and retain top talent, especially in fields such as computer programming and architecture, AI, cloud computing, edge computing, and real-time data integration. Operating as an independent company will demand a significant amount of time and effort from our management and other employees and may give rise to increased employee turnover. Competition for skilled technologists is intense, particularly as technology companies and government contractors increasingly prioritize AI-driven innovation. If we are unable to attract qualified individuals or if we experience high turnover among key personnel, we may not be able to execute on our strategic roadmap. If we lose the services of members of our management team or other key employees, we may not be able to successfully manage our business or achieve our business objectives.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we will need to continue to attract and retain qualified key personnel in a highly competitive environment. Many of our personnel are required to have various subject matter expertise. We will not be able to leverage Hexagon’s historical reputation, performance, and brand identity to recruit and retain key personnel to run and operate our business. Our ability to attract, recruit, and retain such talent will depend on a number of factors, including the hiring practices of our competitors, the performance of our development programs, our compensation and benefits, our ability to build a strong company culture, work location and work environment, and economic conditions affecting our industry generally. If we cannot effectively hire and retain qualified employees, there could be a material adverse effect on our ability to operate, including to develop, implement, generate sales of, promote, market, and deliver software and hardware products, solutions and services, and provide customer support, and our business, prospects, financial condition, and results of operations could suffer significantly.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Extended implementation timelines, delays, or performance issues for our software solutions in critical infrastructure projects could expose us to contractual risks or potential liability, customer dissatisfaction, or reputational harm.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software implementations in critical infrastructure projects can sometimes require many months, sometimes multiple years, to complete due to the complexity of the systems and the highly regulated, mission-critical nature of </w:t>
      </w:r>
    </w:p>
    <w:p>
      <w:pPr>
        <w:pStyle w:val="TextBody"/>
        <w:bidi w:val="0"/>
        <w:spacing w:before="0" w:after="18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315" name="Frame3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infrastructure involved. The lengthy duration of these projects increases exposure to risks, including, but not limited to, changes in customer requirements, evolving regulatory standards, technology obsolescence, resource constraints, or other unforeseen technical challenges. During extended implementation phases, which are customary in our business from time to time, delays or failures could result in breaches of contract, liquidated damages, missed deadlines, penalties, or claims for damages from customers relying on the timely deployment of our solutions.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Such delays may increase the risk of customer dissatisfaction, and if we are unable to meet contractual milestones or delivery expectations, there is a risk that one or more customers may terminate their agreements, refuse to renew, or seek alternative vendors. The loss of high-profile customers could lead other clients to reconsider or terminate their engagements with us. Some government customers may have rights to terminate certain contracts for convenience.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any performance, scalability, and quality issues with our offerings may negatively affect customer satisfaction, hinder adoption by new clients, and adversely affect our financial results and growth prospects. Delayed or failed project execution could expose us to legal liability, reputational damage, and materially and adversely affect our business, operations, and long-term growth.</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global operations expose us to geopolitical, regulatory, and economic risks that could materially impact our business operations and financial returns.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substantial investments in developing our presence and capabilities across the globe, including in several emerging markets as well as mature, but increasingly regulated, markets such as Brazil, India, Saudi Arabia, and China, which includes commercializing and deploying key software offerings tailored for local markets. Our operations and prospects in some countries are subject to a range of risks stemming from the complex and evolving geopolitical and regulatory environment. For example, trade conflicts between the United States or other jurisdictions and China may reduce the desirability of international versions of software to be licensed in such other jurisdictions, including China. Ongoing trade tensions, export control restrictions, and shifting diplomatic relations could result in retaliatory measures, including tariffs, regulatory barriers, or sanctions that limit our ability to operate or compete effectively in the region. In particular, recent Chinese government mandates promoting the purchase and use of domestic software over non-Chinese alternatives could significantly reduce demand for our products in that country, regardless of quality or performance. Changing regulations around export controls, customs/tariffs, data localization, cybersecurity, and foreign investment may also impose costly compliance burdens, restrict our ability to scale operations, continue to service certain markets, and profitably sustain business in some countries.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Geopolitical risk is a significant risk factor for global business, encompassing a broad range of issues such as political instability, shifting international relations, conflicts in the Middle East, trade wars, economic sanctions, terrorism, and state-sponsored cybersecurity threats, all of which can disrupt our operations, supply chains, customer demand, and our ability to generate profit. These risks could force us to adjust investment plans, diversify suppliers, and bolster cybersecurity measures to mitigate potential financial and operational damage, all of which may create costs and delay business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factors, individually or collectively, increase the risk that we may not realize an adequate return on our investment in certain global operations, as well as be subject to adverse publicity or political backlash. Any deterioration in international relations or unfavorable policy developments in trade policy could materially and adversely affect our revenues, strategic plans, reputation, and long-term growth opportunities.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U.S. federal government contracting subsidiary is subject to stringent and evolving regulatory requirements, and failure to comply could result in audit findings, penalties, or loss of contract eligibility.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a separate legal entity dedicated to U.S. federal government contracting, which is subject to a distinct and complex set of regulatory and compliance obligations, including, where required, cybersecurity standards such as the U.S. Department of Defense’s Cybersecurity Maturity Model Certification program, cost accounting rules, and procurement regulations, in addition to rules relating to non-U.S. ownership, control, and/or influence. Meeting these requirements requires extensive internal controls, technical safeguards, and compliance with evolving standards. This entity must maintain strict operational independence from our commercial business, and any failure to observe this separation or meet the required standards could result in serious consequences. We </w:t>
      </w:r>
    </w:p>
    <w:p>
      <w:pPr>
        <w:pStyle w:val="TextBody"/>
        <w:bidi w:val="0"/>
        <w:spacing w:before="0" w:after="18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316" name="Frame3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are subject to frequent audits by U.S. government agencies, and failure to pass a government audit could lead to findings of noncompliance, penalties, suspension, or termination of contracts, or even debarment from future federal contracting opportunities. Given the high scrutiny applied to government contractors, even minor compliance lapses can have material reputational and financial effects. Additionally, we have an entity in our group of companies that is governed by a Proxy Agreement and the Defense Counterintelligence and Security Agreement (“DCSA”), which mitigates non-U.S. ownership, control, and/or influence. This arrangement is closely monitored by agencies of the U.S. government and prevents our management from involvement and visibility of some aspects of its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regulatory landscape for federal contractors continues to evolve rapidly, with frequent updates to cybersecurity mandates, labor requirements, supply chain restrictions, and export controls. In particular, recent executive orders and congressional mandates related to software supply chain security will likely increase our development and compliance costs, particularly for legacy products or offerings developed in a decentralized or global manner, and may expose us to additional scrutiny from customers, regulators, and third-party researchers, potentially leading to reputational risks if known vulnerabilities or high-risk components are identified or if any inaccuracies result in a perceived breach of warranty, failure to comply with contractual terms, or violation of federal cybersecurity rules.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when acting as a prime contractor or subcontractor on U.S. government contracts, we are subject to mandatory “flow-down” provisions, which require us to comply with numerous federal regulations and to ensure that our subcontractors do the same. These provisions often relate to cybersecurity, labor laws, ethics and business conduct, data privacy, and other regulatory areas. Ensuring compliance across complex contracting chains is operationally challenging and resource intensive. As a prime contractor, we are responsible for ensuring that our subcontractors adhere to these requirements. As a subcontractor, we are obligated to adhere to the flow-down terms passed down by the prime contractor. Failure to meet these obligations, either through our own non-compliance or that of a subcontractor, could result in breach of contract, monetary damages, disqualification from future government contracting opportunities, and reputational harm. If we fail to flow down required terms, fail to enforce subcontractor compliance, or ourselves fail to comply with requirements when we are a subcontractor, we could face audits, contract disputes, penalties, and termination for default or cause, any of which could materially and adversely affect our government contracting business and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Keeping pace with existing requirements and any updated requirements that may apply to us in the future requires significant internal resources and ongoing investment. If we are unable to effectively manage and adapt to the shifting regulatory environment, we may be exposed to compliance risk, increased costs, and adverse effects on our ability to grow or maintain our federal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Failure to obtain or maintain required certifications could limit our ability to compete for business, particularly in regulated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range of certifications, permits, and accreditations—including, but not limited to, ISO (International Organization for Standardization), ITAR (International Traffic in Arms Regulations), FedRAMP (Federal Risk and Authorization Management Program), SOC 2 (Service and Organization Controls 2), and CMMC (Cybersecurity Maturity Model Certification), as well as other various industry-specific or technical credentials—to demonstrate compliance with industry standards, regulatory requirements, and customer expectations. These certifications are essential for us to bid on, win, and retain certain public and private sector contracts, especially those involving sensitive data or national security implications. Achieving and maintaining them requires significant investment in systems, processes, personnel training, and audits. Failure to meet the necessary requirements or successfully pass assessments may result in the suspension, revocation, or denial of certifications.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obtain or maintain any of these certifications, or if delays or deficiencies occur during the certification or re-certification processes, we may be disqualified from contract opportunities, experience contract terminations, or lose competitive standing. In addition, our reputation with government customers and industry partners may be harmed, and we may be exposed to penalties or additional compliance obligations. Any such outcomes could materially and adversely affect our operations, revenue, and long-term strategic growth in regulated markets.</w:t>
      </w:r>
    </w:p>
    <w:p>
      <w:pPr>
        <w:pStyle w:val="TextBody"/>
        <w:bidi w:val="0"/>
        <w:spacing w:before="0" w:after="18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317" name="Frame3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estimates of market opportunity—including total addressable market and serviceable addressable market—and forecasts of market growth included in this information statement may prove to be inaccurate. Market opportunity estimates and growth forecasts included in this information statement are subject to significant uncertainty and are based on assumptions and estimates that may not prove to be accurate. The variables that affect the calculation of our market opportunity are also subject to change over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expectations regarding potential future market opportunities that we may be able to address are subject to uncertainty. For example, our expectations regarding future market opportunities in industrial and infrastructure asset lifecycle software markets depend, among other things, on the extent to which we are able to develop new products and features that expand the applicability of our offerings. In particular, future market opportunities related to our transition to an SaaS business model are dependent on our success in migrating customers to our new offerings, delivering compelling SaaS solutions, and competing with established SaaS providers. See “—Our transition to a SaaS business model presents significant risks, and failure to execute this strategy successfully could materially harm our financial performance.” In addition, our expectations regarding future market opportunities represented by AI and related innovations are subject to uncertainties relating to the fact that AI and related innovations are at a nascent stage and may not grow at the rates or in the manner we expect. See “—Advances in AI could adversely affect our business model.”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assure you that any particular number or percentage of addressable customers covered by our market opportunity estimates will purchase our solutions at all or generate any particular level of revenue for us. In addition, any expansion in our market depends on a number of factors, including the cost, performance, and perceived value associated with our offerings and those of our competitors. Even if the market in which we compete meets the size estimates and growth forecasted in this information statement, our business could fail to achieve a substantial share of this market or grow at a similar rate, if at all. Our growth is subject to many risks and uncertainties. Accordingly, the estimates of market opportunity or forecasts of market growth included in this information statement should not be taken as indicative of our future growth.</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Relating to Our Technology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products and services often rely on enabling technology, connectivity, software, and intellectual property that in certain instances we do not own or control. Failure to renew or expand existing licenses may require us to modify, limit, or discontinue certain offerings, which could materially affect our business, financial condition, and results of operations. Some of our products and services contain third-party commercially licensed and open-source software, which may pose particular risks to our proprietary software, products, and services in a manner that could have a negative effect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operations depend upon third-party technologies, software, and intellectual property, and 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or that such items will be free from error. Failure to fully comply with licensing terms for commercially licensed components in how we use, modify, or distribute these components could lead to claims of infringement, litigation, financial penalties, or require that we cease using such components and alter or remove related functionalities from our products. In addition, we cannot be certain that our licensors are not infringing the intellectual property rights of others or that our vendors and licensors have sufficient rights to the technology in all jurisdictions in which we may operate. Some of our license agreements may be terminated by our licensors for convenience. In the event that we cannot renew and/or expand existing licenses, we may be required to discontinue or limit our use of the products and technologies that include or incorporate the licensed intellectual property.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w:t>
      </w:r>
    </w:p>
    <w:p>
      <w:pPr>
        <w:pStyle w:val="TextBody"/>
        <w:bidi w:val="0"/>
        <w:spacing w:before="0" w:after="18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318" name="Frame3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risks related to the license obligations for open-source or third-party sourced components, which have been known to introduce security vulnerabilities, have other errors or weaknesses, or may impose conditions on our use of such components that are inconsistent with our business model or proprietary interests. For example,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Additionally, we could face claims from third parties alleging ownership of, or demanding release of, the open-source software or derivative works that we developed using such software, which could include our proprietary source code, or otherwise seeking to enforce the terms of the applicable open-source license.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open-source and third-party components can contain undisclosed vulnerabilities, viruses, worms, malware, ransomware, spyware, backdoors, Trojan horses, time bombs, or other malicious code, which may expose our products and customers to cybersecurity threats. The use of certain open-source software in particular can lead to greater risks than use of third-party commercial software, as open-source licensors generally do not provide warranties or controls on the origin of software.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risks could be difficult to eliminate or manage, and any failure to adequately address these legal, compliance, or security issues could materially and adversely affect our operations, reputation,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 significant disruption in, or breach in security of, our information technology systems or data could adversely affect our business, reputation,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information technology systems, some of which are provided and/or managed by third parties, to process, transmit, and store electronic information (including sensitive data such as confidential business information and personal data relating to employees, customers, other business partners, and clients), and to manage or support a variety of critical business processes and activities (such as receiving and fulfilling orders, billing, collecting and making payments, delivering products, providing services and support to customers, and fulfilling contractual obligations).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some of our software and services incorporate information technology that may house personal data and some products or software we sell to customers may connect to our systems for maintenance or other purposes. These systems, products, and services (including those we acquire through external contracting or business acquisitions) may be damaged, disrupted, or shut down due to attacks by computer hackers, computer viruses, ransomware, human error or malfeasance, power outages, hardware failures, telecommunication or utility failures, catastrophes, or other unforeseen events, and in any such circumstances our system redundancy and other disaster recovery planning may be ineffective or inadequate. Such an event may implicate data privacy notifications, and resulting fines and/or damages. Attacks may also target hardware, software, and information installed, stored, or transmitted in our products after such products have been purchased and incorporated into third-party products, facilities, or infrastructure. Security breaches of our systems, regardless of whether the breach is attributable to a vulnerability in our products or services, or security breaches of third parties’ systems, which we rely upon to process, store, or transmit electronic information, could result in the misappropriation, destruction, or unauthorized disclosure of confidential information or personal data belonging to us or to our employees, partners, or customers. Like most multinational corporations, our information technology systems have been subject to computer viruses, malicious codes, old versions, unauthorized access, and other cyber-attacks, including various types of phishing, and we expect the sophistication and frequency of such attacks to continue to increase. Unauthorized tampering, adulteration or interference with our products may also adversely affect product functionality and result in loss of data, system unavailability, risk to customer safety and product recalls or field actions. These situations can also have negative effects under various data privacy, data sovereignty laws and regulations, as well as contractual requirements.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attacks, breaches or other disruptions or damage described above could interrupt our operations or the operations of our customers and partners, delay production and shipments, result in theft of our and our customers’ intellectual property, data, and trade secrets, damage customer, business partner, and employee relationships and our reputation, or result in defective products or services, legal claims and proceedings, liability </w:t>
      </w:r>
    </w:p>
    <w:p>
      <w:pPr>
        <w:pStyle w:val="TextBody"/>
        <w:bidi w:val="0"/>
        <w:spacing w:before="0" w:after="18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319" name="Frame3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penalties under privacy laws or contractual provisions, and increased costs for security and remediation, each of which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Outages of cloud-related infrastructure could severely disrupt our operations, which could reduce customer trust and decrease demand for our products and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cloud-based products are central to our service offerings. We depend on third-party cloud service providers, which are subject to outages, cyberattacks, hardware failures, software bugs, human error, and other operational risks beyond our control. We do not control the operations of our cloud providers, and we cannot ensure uninterrupted service or fully mitigate the risks associated with third-party infrastructure failures. In addition, we may lack full redundancy and failover infrastructure across geographically distinct server farms or data centers, which exposes us to heightened risk in the face of cybersecurity incidents, natural disasters, or cascading infrastructure failures affecting our cloud service providers.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of a widespread outage affecting our primary cloud infrastructure provider or hosting region, we may be unable to reroute traffic or restore service in a timely manner. A prolonged disruption or an unrecoverable outage could leave customers without access to essential systems. Any major service disruption, particularly without adequate failover capacity, could materially and adversely affect our business, revenue, and reputation and our ability to compete in software markets that are dependent on cloud-based services.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Global software development is inherently susceptible to certain risks, including inconsistent oversight and quality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develop some of our software in regional offices or subsidiaries, which requires certain activity outside the direct oversight of our core software development team. There is a risk that steps taken to manage this process prove insufficient, and this approach can result in regional teams developing software products or updates without full adherence to our centralized quality assurance and security and compliance protocols. Such decentralization increases the risk that we fail to maintain consistent development standards and that software is released with defects, errors, or vulnerabilities, or which does not comply with all applicable regulatory standards, updated components, or industry best practices. Any such failures could expose us to a variety of losses, including, but not limited to, regulatory penalties, contractual breaches, customer dissatisfaction, and potential operational failures.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Advances in AI could adversely affect our business model.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rapid evolution of AI poses a potential threat to many aspects of our business, including the SaaS model that we increasingly rely on. We anticipate that AI will become increasingly capable of autonomously generating, customizing, and deploying software-like solutions to address certain user needs. If customers perceive that AI-powered tools can more efficiently or affordably meet their needs, our standardized software may experience declining adoption, reduced pricing power, or shortened product lifespans. For example, AI is already being used to automate functions historically performed by humans, such as processing real-time data and initiating action without human intervention. AI-related innovation could significantly reduce or eliminate the need for software licenses and related services, which currently represent a source of revenue for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face increasing demand for solutions that integrate AI, support real-time ingestion of diverse data streams, and operate seamlessly in cloud environments. Failure to adapt our business model to emerging AI trends or to differentiate our offerings in the face of AI-driven commoditization could materially and adversely affect our revenues, growth prospects, and competitive position. Further, AI and related innovations are still in a nascent stage. This is a period of rapid innovation and significant investment, but also one of considerable uncertainty. Partnering with an AI provider that does not succeed or become a prevailing industry standard can lead to significant financial losses and damage our reputation and our ability to compete in the future. This is also applicable to many emerging areas of software technology, including, but not limited to, quantum computing, blockchain, robotic process automation, edge computing, low-code/no-code platforms, and the Internet of Things.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anticipate and adapt to these shifts in technology, including transitioning away from legacy revenue models and developing new and competitive offerings, we may experience declining sales, customer attrition, and reduced market relevance.</w:t>
      </w:r>
    </w:p>
    <w:p>
      <w:pPr>
        <w:pStyle w:val="TextBody"/>
        <w:bidi w:val="0"/>
        <w:spacing w:before="0" w:after="18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320" name="Frame3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dependent upon substantial and sustained investment in information technology, infrastructure and systems.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efficient operation of our business will require substantial investment in technology infrastructure systems, including supply chain management systems, digital commerce systems, process management, and connected solutions. Many of our products also depend on the quality of our customer’s technology infrastructure. The inability to fund, acquire, and implement these systems, or our customers’ inability or unwillingness to maintain the same for themselves, may impact our ability to respond effectively to changing customer expectations, manage our business, deliver projects, scale our solutions effectively, or impact our customer service levels, which may put us at a competitive disadvantage, result in breaches of contract, and negatively impact our financial results. Repeated or prolonged interruptions of service, due to problems with our systems or third-party technologies, whether or not in our control, could have a significant negative impact on our reputation and our ability to sell products and services. Our offices and related information technology infrastructure assets are located in geographies that are subject to various events of force majeure (including so-called acts of God), which may disrupt service for our operations or for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upon a variety of internal and outsourced computer and telecommunication systems to operate our business and for our products to perform reliably. In order to support our continued operational ability and growth, we must maintain and continuously upgrade our information systems, which are critical to our operational, accounting, and financial functions. We must also ensure that our offerings remain compatible with the latest information technology standards. Failure to properly or adequately invest in and maintain these systems could result in the diversion of management’s attention and resources and could materially adversely affect our operating results and impact our ability to efficiently manage our business. Our existing information systems may become obsolete, requiring us to transition our systems. Such a transition would be time consuming, costly, and would require diversion of management resources. Our information systems are also dependent on uninterrupted provisions of service by certain external suppliers of technology and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as we are dependent upon our ability to gather and promptly transmit accurate information to key decision makers, our business, results of operations, financial condition, and cash flows may be adversely affected if our information systems do not allow us to transmit accurate information, even for a short period of time. Failure to properly or adequately address these issues could impact our ability to perform necessary business operations, which could adversely affect our reputation, competitive position, business, results of operations, financial condition,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must attract and retain qualified personnel to operate our systems, expand and improve them, integrate new programs effectively with our existing programs, and convert to new systems efficiently when required. Any disruption to our business due to such issues, or an increase in our costs to cover these issues that is greater than what we have anticipated, could have an adverse effect on business, financial condition, results of operations, and cash flows. Our customers rely increasingly on our electronic ordering, support portals, and information systems as a source for product information, including availability, delivery, maintenance, and pricing. Our systems, or those on which we rely that are provided by third-parties or other partners, may fail or experience disruptions, and any significant failure or disruption of these systems could prevent us from making sales, ordering and delivering products, and otherwise conducting our business. Any material disruption of our information systems, the infrastructure they rely on, or any network could impair our order processing, support, and delivery or prevent our partners and customers from accessing information and cause us to lose business or damage our reputation and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software may contain vulnerabilities, defects, or otherwise fail to perform as expected, including due to inaccurate outputs or malfunctions caused by AI. Any defects, security vulnerability, inaccurate outputs, or failures could lead to serious injury or death and could expose Octave to material liability, loss of customers, and reputational harm. In addition, increased exposure to cybersecurity threats could result in costly breaches, liability, and rising cybersecurity insurance premiums.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Manufacturing or design defects or “bugs” in, safety or quality issues (or the perception of such issues) with respect to, or inadequate disclosure of risks relating to the use of products and services that we make or sell </w:t>
      </w:r>
    </w:p>
    <w:p>
      <w:pPr>
        <w:pStyle w:val="TextBody"/>
        <w:bidi w:val="0"/>
        <w:spacing w:before="0" w:after="18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321" name="Frame3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(including items that we source from third parties) can lead to personal injury, death, property damage, or other liability.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software is integral to the operation of mission critical functions for our customers. A defect, bug, or undetected vulnerability could cause the software to malfunction or fail, and it is not technically or financially feasible to identify every potential flaw in complex software systems. In addition, our offerings are responsible for integrating and interpreting large volumes of real-time data from a growing number of sources, including, but not limited to, sensors, mobile devices, security cameras, drones, scanners, alarms, and other applications. Additionally, our software integrates multiple AI models, and there is a risk that such algorithms could generate inaccurate outputs, including algorithmic hallucinations, or cause the software to malfunction. As the data environment becomes more complex, including due to the use of AI to create and analyze data or otherwise use the software, our systems face an increased risk of latency, overload, error or misinterpretation. Any such malfunction, failure, or security vulnerability could lead to delays or errors, potentially resulting in severe injury or loss of life.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model relies heavily on recurring revenue from long-term contracts with customers and the provision of ongoing support and maintenance. These customers demand high reliability and performance due to the mission-critical nature of our software. Any failure by our software to perform as intended could result in liability exposure, reputational damage, and a loss of trust by existing and prospective customers, many of which are public sector or critical infrastructure. Additionally, we may become subject to government investigations, civil litigation or indemnification claims, regulatory actions, or penalties, and could be disqualified from bidding on or performing government contracts at the local, state, or federal level. Furthermore, material failures in our software could impact our ability to maintain insurance coverage or result in higher premiums. Any of these outcomes could materially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vulnerabilities in our software may be exploited by malicious actors through increasingly sophisticated cyberattacks. Any exploitation of a vulnerability in our software could result in data breaches, service outages, unauthorized system access, or misuse of mission-critical functions, especially in sensitive sectors that we serve. In addition, independent researchers, adversaries, and commercial entities are often incentivized or contracted to probe software for weaknesses. Public disclosure of a vulnerability could lead to reputational damage, legal exposure, or regulatory scrutiny, and major cybersecurity incidents could materially and adversely affect our financial condition, customer relationships, and long-term reputation. Any cybersecurity breaches may also drive higher costs for cybersecurity compliance, incident response, and insurance coverage. In particular, cyber liability insurance premiums may rise materially as the threat landscape intensifies, and some coverage may become limited or unavailable for known or exploitable vulnerabilities.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Continued use of legacy products by customers, many of which are no longer supported or reviewed for security vulnerabilities, exposes us to potential liability and reputational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customers elect to continue to use legacy or obsolete software products that have reached the end of their support lifecycle and are no longer actively maintained, updated, or reviewed for security vulnerabilities by our team. While we may provide limited assistance or legacy support under certain agreements, these products do not benefit from ongoing patches or vulnerability assessments, and some of these products contain known vulnerabilities that may not be patched or mitigated due to the end of their development lifecycle. In some cases, we may be contractually or operationally unable to compel customers to upgrade or migrate to more secure solutions.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continued use of these legacy products by customers increases the risk of incorrect performance, cybersecurity incidents, including unauthorized access, data breaches, or system failures. If such incidents occur, we could face legal claims, contractual penalties, or regulatory scrutiny. Moreover, reliance on obsolete products may harm our reputation and erode customer confidence, particularly in industries where security and compliance are critical. We may also incur increased costs managing legacy support or dealing with the consequences of vulnerabilities in outdated products. Failure to adequately address these risks associated with obsolete products could materially and adversely affect our business, financial condition, and relationships with customers.</w:t>
      </w:r>
    </w:p>
    <w:p>
      <w:pPr>
        <w:pStyle w:val="TextBody"/>
        <w:bidi w:val="0"/>
        <w:spacing w:before="0" w:after="18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322" name="Frame3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Legal Risks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sectors we serve are subject to a variety of regulations, applicable laws, and other unpredictable risks. Changes in governmental regulations and laws, or other forces, may reduce demand for our products or services, increase our expenses, or otherwise hinder our future growth and profitability.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main markets are subject to a variety of regulations and applicable laws. Our operations may be affected by regulatory changes, tax changes (including tariffs and customs duties) and other trading obstacles, political changes and pricing and currency controls, as well as other government legislation and restrictions in the countries where we are active or seek to expand into. Our international footprint subjects us to many risks, including, but not limited to, staffing and managing international operations; the interaction of multiple jurisdictions with respect to taxes, regulations, and permit requirements; tariffs, trade restrictions, immigration, price and exchange controls, and other regulatory requirements; fluctuations in currency exchange rates, interest rate increases, which could result in increased operating expenses and reduced revenues, and other obligations related to doing business in other countries; and compliance with tax, employment, trade compliance, immigration and labor laws, and regulations and restrictions for employees living or traveling abroad.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Changing regulatory requirements and increasingly stringent rules in certain areas in which we work impose a risk of non-compliance with these regulations, which could potentially result in substantial legal fees and damage to our reputation. More stringent regulations, laws, and treaties have been passed in most countries, such as those in the EU, or are being developed in several jurisdictions relating to privacy, the use of AI, transfers of technology, and storage and access to certain data. In addition, we remain subject to data protection regulations, which continue to evolve and are not uniform in nature across jurisdictions. Additional areas of regulatory uncertainty include laws and regulations related to export controls and sanctions, foreign-direct investment, controls and disclosures, anti-corruption, customs, government procurement, competition, and sustainability. New laws and regulations could result in increased compliance and operating costs, and the delivery of products and services that comply with contractual requirements may present certain risks particularly in light of frequent regulatory change. Other events outside of our control may impact our operations, regardless of whether or not leading to a change in laws or regulations, such as event of force majeure (including so-called acts of God), flood, fire, earthquake, hurricanes, tornados, volcanos, explosion, tsunami, ice storms, pandemic, endemic, oil spills, public health emergencies, other natural disasters, wars, invasion or hostilities, terrorist threats or acts, riot, civil unrest, insurrection, national emergency, revolution, labor disputes, strikes or slowdowns, shortage of adequate power supply or provision of transportation, economic policy conflicts and similar force majeure events. For example, in April 2022, Hexagon took the action to freeze exports to Russia in response to Russia’s invasion of Ukraine, which materially impacted our operations then part of Hexagon. Frequently, the impact of such events are not readily apparent and may be the result of prudent, advisable, or reasonable decisions or interpretations, rather than required by applicable laws or regulations. Other wars, conflicts, or threatened or actual hostilities could require us to take similar action in the future in other jurisdictions, which can adversely affect our business, financial condition, and relationships with customers.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anti-corruption, anti-money laundering, export control, sanctions and other trade laws and regulations, and can face serious consequences for violations.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Among other matters, U.S. and non-U.S. anti-corruption, anti-money laundering, export control, sanctions and other trade laws and regulations, including the U.S. Foreign Corrupt Practices Act (the “FCPA”),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We operate in many parts of the world that have experienced elevated levels of public sector corruption. Many anti-corruption laws also prohibit bribery of private sector individuals and thus extend far beyond interactions with government officials. We also will be subject to the FCPA’s accounting provisions, which will require us to keep accurate books and records and to maintain an adequate system of internal accounting controls sufficient to provide reasonable assurances of management’s control, authority, and responsibility over our assets.</w:t>
      </w:r>
    </w:p>
    <w:p>
      <w:pPr>
        <w:pStyle w:val="TextBody"/>
        <w:bidi w:val="0"/>
        <w:spacing w:before="0" w:after="18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323" name="Frame3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Global enforcement of trade compliance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We also face the risk of unauthorized payments, offers of payments or requests for payments being made by our employees, intermediaries, channel partners and their sub-parties, customers or customer representatives, consultants, or other representatives. We may face liability under trade compliance laws based upon the actions or inactions of these parties even when they are not subject to our control and/or are not contractually bound to us. We may also face liability from employee misconduct, such as fraud or reckless conduct, which cannot always be deterred or prevented. Consequences for violations include civil, administrative, and criminal penalties.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is our policy to develop and implement safeguards and to educate our employees and certain third parties concerning these legal requirements, screen various transactions and/or shipments, and to prohibit improper practices. However, our existing safeguards and any future improvements may not always be effective, and employees or certain third parties may engage in conduct for which we may be held responsible or suffer reputational harm. Additionally, global laws and regulations may present conflicts making full, technical compliance with all potential laws and regulations challenging, difficult, or impossible, which may lead to breaches of contracts or other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alleged or actual violations of these laws or regulations may subject us to government scrutiny, criminal, civil or administrative sanctions, shareholder lawsuits, reputational damage, and other liabilities. In some instances, we may make self-disclosures to relevant authorities who may pursue or decline to pursue enforcement proceedings against us. In addition, governmental entities may seek to hold us liable for violations committed by any companies in which we invest or that we may acquire or do business with. The costs associated with the investigation, remediation, and potential notification of any violation to customers, regulators, and counterparties could be material. Any of the foregoing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antitrust and competition laws that can result in sanctions and conditions on the way we conduct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Given the nature of our business, which involves providing software license and subscription solutions across the industrial and infrastructure value chain, our commercial practices may attract heightened scrutiny from competition authorities.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Because we operate in multiple jurisdictions with differing competition regimes, including the Americas, EMIA (Europe, Middle East, India and Africa) and APAC (Asia-Pacific region, excluding India), the complexity and cost of compliance can be significant and may continue to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Increased government scrutiny of our actions or enforcement or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of operations and financial position.</w:t>
      </w:r>
    </w:p>
    <w:p>
      <w:pPr>
        <w:pStyle w:val="TextBody"/>
        <w:bidi w:val="0"/>
        <w:spacing w:before="0" w:after="18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324" name="Frame3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stringent laws related to privacy, data protection, and cybersecurity laws, as well as other information security frameworks and regulations, and the failure to comply with such requirements could subject us to a variety of harms, including significant fines and penalties, litigation and reputational damage, any of which may have a material adverse effect on our business, financial condition, or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laws and regulations covering data privacy and the protection of personal information. The legislative and regulatory landscape for privacy and data protection continues to evolve, and there has been an increasing focus on privacy and data protection issues which may affect our business. In the United States, numerous U.S. federal and U.S. state laws and regulations, including state security breach notification laws and U.S.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similar laws and regulations outside of the United States, including the General Data Protection Regulation (“GDPR”) in the EU and the U.K. data protection legislation (including the GDPR, as it forms part of the law of the United Kingdom by virtue of the European Union (Withdrawal) Act 2018 (the “U.K. GDPR”) and the U.K. Data Protection Act 2018 (the “U.K. Data Protection Act”)). Data protection authorities have the power to impose substantial administrative fines for violations, in addition to any civil litigation or damages from claims. Ensuring ongoing compliance with these laws requires continuous investment in legal, technical, and procedural safeguards. Privacy laws and regulations in other regions of the world, such as Asia and Latin America, are also becoming stricter and may impose additional requirements on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many jurisdictions in which we operate are increasingly requiring that customer data be stored and processed within the jurisdiction where the data originates. We have made investments to comply with such regulations in countries where we have a significant market presence. However, in jurisdictions where we lack existing infrastructure, compliance with data-residency requirements may require us to lease local data centers or establish in-country cloud partnerships, and the limited revenue opportunity in some of these markets may make such investments cost-prohibitive, thus limiting our global expansion. As more countries adopt or tighten data sovereignty regulations, we may face a growing number of markets where legal compliance is either infeasible or economically disadvantageous.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several jurisdictions have enacted or proposed new laws that impose strict requirements on software and technology providers, including mandatory and immediate disclosure of vulnerabilities, security flaws, or breaches once identified. Most notably, the EU has adopted the Cyber Resilience Act (“CRA”), which imposes strict obligations related to secure design, development, and maintenance of software and hardware products, as well as mandatory incident reporting, vulnerability handling, and conformity assessments. Achieving and maintaining compliance with the CRA may require significant changes to our development, security, and quality assurance processes, particularly for legacy products or offerings. These and other emerging requirements may materially increase the cost of compliance, and any failures to detect, report, or fix vulnerabilities within mandated timelines could subject us to fines, penalties, or enforcement actions. Moreover, any requirement to disclose a vulnerability before it is patched can increase the risk of exploitation by malicious actors, potentially leading to reputational damage, customer loss, or legal claims. If we are unable to meet these emerging obligations in a timely or cost-effective manner, our business, financial condition, and results of operations could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ongoing efforts to comply with the above-described evolving laws and regulations may be costly and require ongoing modifications to our policies, procedures, and systems. If we or third parties fail to adequately safeguard confidential personal data, or if such information or data is wrongfully used by us or third parties or disclosed to unauthorized persons or entities, such an event could have a material adverse effect on our business results, cash flows, financial condition, or prospects.</w:t>
      </w:r>
    </w:p>
    <w:p>
      <w:pPr>
        <w:pStyle w:val="TextBody"/>
        <w:bidi w:val="0"/>
        <w:spacing w:before="0" w:after="18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325" name="Frame3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do not successfully manage our customer contracts, collaboration arrangements, licensing arrangements, joint ventures, or strategic alliances with third parties, we may not realize the expected benefits from such arrangements, which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enter into a variety of contracts, including, but not limited to, customer-facing contracts, collaborations, licensing arrangements, joint ventures, or strategic alliances with third parties to complement or implement our capabilities, including in research and development, product development, delivery and integration, manufacturing, and marketing. Evaluating, appropriately structuring, negotiating, and implementing such arrangements may be a lengthy and complex process and must meet with applicable business, legal, technical, tax, and compliance requirements. The resulting contracts with these parties are also often complicated and based on the forms of the relevant counter-party. Other companies may compete with us for these opportunities. As a result, we may not identify, secure, or complete such arrangements in a timely manner, on a cost-effective basis or on otherwise favorable terms, if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realize the expected benefits from these arrangements and a breach of these contracts could result in damages or other negative outcomes. We may not be able to exercise sole decision-making authority regarding any such contracts. This could create the risk of non-compliance with terms and conditions, impasses on decisions, or conflicting interpretations of requirements, and even liquidated damages for delays,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customers and partners may suffer adverse commercial, financial, or legal circumstances that are outside of our control and may jeopardize their success, our customers and partners may terminate their relationships with us, or breakdowns in these relationships may give rise to disputes. Given the potentially different interests of the parties involved, we could suffer delays in product development or other operational difficulties.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entity with which we partner, quality control, and legal and regulatory violations committed by partners whose actions are outside of our control.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risks could be difficult to eliminate or manage, and any failure to adequately address these contract-related issues could materially and adversely affect our business, prospects, financial condition,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become involved in litigation, including commercial or securities litigation, arbitration, and governmental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involved in, or threatened with, legal, arbitration, and governmental proceedings or investigations from time to time in the ordinary course of our business, including disputes with employees, competitors, customers, vendors, suppliers, authorities, regulators and other parties, which may concern allegations of, among other things, breaches of contract, product defects, intellectual property infringement, logistics or manufacturing related topics, employment issues, termination of business relationships, failure to meet contract specifications or alleged or suspected violations of applicable laws in various jurisdictions. Determining reserves for our pending litigation is a complex and fact-intensive process that requires significant subjective judgment and speculation. It is possible that a resolution of such proceedings that arise could result in substantial damages, settlement costs, fines and penalties that could adversely affect our business, financial condition and results of operations. These proceedings could also be costly and result in harm to our reputation and brand, sanctions, consent decrees, injunctions or other orders requiring a change in our business practices.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 </w:t>
      </w:r>
    </w:p>
    <w:p>
      <w:pPr>
        <w:pStyle w:val="TextBody"/>
        <w:bidi w:val="0"/>
        <w:spacing w:before="0" w:after="18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326" name="Frame3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directed at us, our customers, vendors, or channel partners, or our or their respective business partners, could also result in the distraction of management resources and adversely affect our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share price, as well as the Octave SDR price, could be volatile, particularly during the period immediately following the Distribution and until the market has evaluated the operations of our business. In the past, companies that have experienced volatility in the market price of their stock may have been subject to claims, such as securities class action litigation. In addition, should the market price of our shares drop significantly, shareholders may institute securities class action lawsuits against us. A securities-related lawsuit against us could cause us to incur substantial costs and could divert the time and attention of our management and other resources.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consequences could adversely affect our business, financial condition and results of operations. Furthermore, under certain circumstances, we have contractual and other legal obligations to indemnify and incur legal expenses on behalf of our business and commercial partners and current and former directors, officers and employees.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software could be subject to unauthorized access, misuse, or diversion, which may result in serious legal, regulatory, and reputational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develop and sell mission-critical software subject to export controls and sanctions laws and regulations, some of which have heightened national security-related limitations. These products could be obtained through hacking, cracking, theft, diversion of a legitimate sale, a security vulnerability or otherwise by unauthorized parties, including users who are subject to international sanctions or appear on the U.S. Department of the Treasury’s Specially Designated Nationals (“SDN”) list or other restricted parties lists. Such an event could trigger investigations and enforcement actions by the U.S. Department of Commerce, Department of State, Department of the Treasury, or other U.S. or international regulatory agencies, potentially resulting in severe civil or criminal penalties, loss of export privileges, and reputational harm. Even inadvertent or indirect violations of export control laws, including if our customer resells or transfers our software products without our permission to a prohibited jurisdiction or end user, could have material adverse consequences.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software may be subject to unauthorized copying, distribution, or use of our software, which is often referred to as software piracy. Although we use various technical and contractual measures to protect against and discourage software piracy, these measures may be circumvented or fail to prevent misappropriation. Software piracy could result in reduced revenue, increased cost of enforcement, and harm to our reputation if unauthorized or altered versions of our products are associated with performance issues, data loss, or security breaches.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Misuse of our software by customers or third parties could result in product liability claims, regulatory scrutiny, or reputational harm, any of which could materially and adversely affect our business, financial condition, and results of operations. Additionally, the use or misuse of our technology in military or paramilitary activities that are contrary to U.S. foreign policy objectives could subject us to public criticism, loss of customer or government trust, and restrictions on future contracts or international operations. While we take reasonable and prudent steps to prevent these outcomes, any such developments could materially and adversely impact our business, results of operations, and prospects.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Board of Directors may change significant corporate policies without shareholder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financing, borrowing and dividend policies and our policies with respect to all other activities, including growth, debt, capitalization, and operations, will be determined by our Board of Directors. These policies may be amended or revised at any time and from time to time at the discretion of our Board of Directors without a vote of our shareholders. In addition, our Board of Directors may change our policies with respect to conflicts of interest provided that such changes are consistent with applicable legal requirements. A change in these policies could have a material adverse effect on our business, results of operations, financial condition, the per-share trading price of Octave Class B Ordinary Shares and Octave SDRs, and our ability to satisfy our debt service obligations and to pay dividends to our shareholders.</w:t>
      </w:r>
    </w:p>
    <w:p>
      <w:pPr>
        <w:pStyle w:val="TextBody"/>
        <w:bidi w:val="0"/>
        <w:spacing w:before="0" w:after="18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327" name="Frame3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Relating to Tax Matters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face adverse changes in applicable tax rates, unfavorable rulings by tax authorities, or other adverse changes to applicable tax guidelines and agreements.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through subsidiaries in a number of jurisdictions. Domestic or cross-border transactions, including restructurings, frequently present tax risks, for example due to complexity in local tax rules and/or the absence of global or harmonized transfer pricing rules. Local tax authorities follow their own local transfer pricing rules and authorities interpret transfer pricing guidelines differently. Risks are also presented by new accounting rules or interpretations by the applicable governing bodies. We interact with local taxing authorities and frequently have several ongoing tax audits in progress, which may affect, for example, our U.S. federal income tax liability and claimed carrybacks of net operating losses. Our interpretation of prevailing tax law, tax treaties, Organisation for Economic Co-operation and Development (“OECD”) guidelines and agreements entered into with foreign tax authorities may be challenged by tax authorities in some countries. Rules and guidelines may also be subject to future changes which can have an adverse effect on our tax position and reduce cash available for use. Furthermore, a change in the business or part of the business can have an impact on agreements entered into with tax authorities in some tax jurisdictions. The tax rate may increase if large acquisitions are made in high tax jurisdictions or if the corporate tax rates change in countries where we carry out substantial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risks could be difficult to eliminate or manage, and any failure to adequately address these tax-related risks could materially and adversely affect our business, prospects, financial condition,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the Distribution does not qualify as a transaction that is generally tax-free for U.S. federal income tax purposes, U.S. Holders could be subject to significant tax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Hexagon expects to obtain an opinion of tax counsel regarding qualification of the Distribution as a transaction that should generally be tax-free for U.S. federal income tax purposes under Section 355 of the Code. The opinion of tax counsel would be based upon and rely on, among other things, certain facts and assumptions, as well as certain representations, statements and undertakings of Hexagon and us, including those relating to the past and future conduct of Hexagon and us. If any of these representations, statements or undertakings are, or become, incomplete or inaccurate, or if we or Hexagon breach any of the respective covenants in any of the agreements related to the separation and Distribution, the opinion of tax counsel could be invalid and the conclusions reached therein could be jeopardized.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opinion of tax counsel, the IRS could determine that the Distribution should be treated as a taxable transaction if it were to determine that any of the facts, assumptions, representations, statements or undertakings upon which any opinion of tax counsel was based were false or had been violated, or if it were to disagree with the conclusions in any opinion of tax counsel. Any opinion of tax counsel and tax advisors would not be binding on the IRS or the courts, and we cannot assure that the IRS or a court would not assert a contrary position. Hexagon has not requested, and does not intend to request, a ruling from the IRS with respect to the treatment of the Distribution or certain related transactions for U.S. federal income tax purposes.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the Distribution were to fail to qualify as a transaction that is generally tax-free for U.S. federal income tax purposes under Section 355 of the Code, in general, U.S. Holders who receive Octave Shares or Octave SDRs in the Distribution would be subject to tax as if they had received a taxable distribution equal to the fair market value of such shares. This could present a significant risk to individual U.S. Holders.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IRS may not agree to treat us as a foreign corporation for U.S. federal income tax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are incorporated in Ireland and expect to be tax resident solely in Ireland, the IRS may assert that we should be treated as a U.S. corporation (and, therefore, a U.S. tax resident) for U.S. federal income tax purposes pursuant to Section 7874 of the Code. For U.S. federal income tax purposes, a corporation generally is considered a tax resident in the jurisdiction of its organization or incorporation. Because we are an Irish incorporated public limited company and expected to be tax resident solely in Ireland, we would generally be classified as a foreign corporation (and, therefore, a non-U.S. tax resident) under these rules. Section 7874 of the Code provides an </w:t>
      </w:r>
    </w:p>
    <w:p>
      <w:pPr>
        <w:pStyle w:val="TextBody"/>
        <w:bidi w:val="0"/>
        <w:spacing w:before="0" w:after="18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328" name="Frame3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exception under which a foreign incorporated entity may, in certain circumstances, be treated as a U.S. corporation for U.S. federal income tax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believe that we should be treated as a U.S. corporation for U.S. federal income tax purposes under Section 7874. However, the application of Section 7874 of the Code is complex, is subject to detailed regulations (the application of which is uncertain in various respects and would be impacted by changes in such U.S. tax laws and regulations with possible retroactive effect), and is subject to certain factual uncertainties. There can be no assurance that the IRS will not challenge our status or the status of any of our foreign affiliates as a foreign corporation under Section 7874 or that such challenge would not be sustained by a court. If the IRS were to successfully challenge such status under Section 7874, we and our shareholders could be subject to significant adverse tax consequences.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Relating to Octave Class B Ordinary Shares and Octave SDRs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Although we intend to comply with many of the disclosure requirements applicable to U.S. domestic issuers, after the Distribution we will be a “foreign private issuer,” and the reduced disclosure requirements applicable to us may make Octave Class B Ordinary Shares less attractive to investors and offer fewer protections to our investors.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Distribution, we will be a foreign private issuer within the meaning of the rules under the Exchange Act. Although we intend to comply with many of the provisions applicable to U.S. domestic issuers, investors in our shares may not be afforded the same protections or information that would be made available to investors in a U.S. domestic issuer, and investors may find Octave Class B Ordinary Shares less attractive because we qualify for, and rely on, these exemptions. In particular, we will be exempted from certain provisions applicable to U.S. domestic public companies, including: (i) the sections of the Exchange Act regulating the solicitation of proxies, consents, or authorizations in respect of a security registered under the Exchange Act; (ii) the sections of the Exchange Act making insiders liable for profit from trades made in a short period of time; and (iii) the selective disclosure rules by issuers of material non-public information under Regulation FD. As a result, the information we are required to file with or furnish to the SEC will be less extensive compared to that required to be filed with the SEC by U.S. domestic issuers.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our status as a foreign private issuer in the United States changes in the future, we may incur additional expenses and may divert management’s attention from other business concerns.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elected to voluntarily file our periodic and current reports as a domestic issuer, we are and expect to remain a foreign private issuer immediately following the Distribution. As a foreign private issuer, we will not be required to comply with all of the requirements of the Exchange Act applicable to U.S. domestic issuers. However, we may not qualify as a foreign private issuer if, in the future, a majority of our shares are owned by U.S. residents and: (i) a majority of our directors or executive officers are U.S. citizens or residents; (ii) more than 50 per cent of our assets are located in the United States; or (iii) our business is administered principally in the United States.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U.S. domestic issuer, we would be required to comply with U.S. federal proxy requirements, and our executive officers, directors and principal shareholders would become subject to the short-swing profit disclosure and recovery provisions of Section 16 of the Exchange Act. Such a transition and modifications would involve additional costs and may divert management’s attention from other business concerns, which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will distribute interests in Octave Class B Ordinary Shares through a temporary SDR program, and Octave SDR holders do not have the same rights as holders of Octave Class B Ordinary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Non-affiliate holders of Hexagon Class B Shares on the record date will be entitled to receive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 Octave intends to list the Octave SDRs on Nasdaq Stockholm. </w:t>
      </w:r>
    </w:p>
    <w:p>
      <w:pPr>
        <w:pStyle w:val="TextBody"/>
        <w:bidi w:val="0"/>
        <w:spacing w:before="0" w:after="18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329" name="Frame3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Octave SDR holder will not have equivalent rights as holders of Octave Class B Ordinary Shares. The rights of Octave SDR holders will be set forth and described in the General Terms and Conditions. Although the General Terms and Conditions will generally allow Octave SDR holders to indirectly exercise voting rights in respect of the underlying Octave Class B Ordinary Shares at general meetings of shareholders, and Octave SDR holders will also be entitled to dividends as if they held Octave Class B Ordinary Shares directly, the rights of Octave SDR holders differ in some instances from the rights of holders of Octave Class B Ordinary Shares. In particular, Octave SDR holders do not have the ability to nominate directors for election or bring other proposals before general meetings of our shareholders to the extent provided for in our Articles or by applicable law, except to the extent provided in the General Terms and Conditions. Additionally, Octave SDR holders may not be able to enforce their rights under the General Terms and Conditions in relation to their Octave SDRs in the same manner as holders of Octave Class B Ordinary Shares under our Articles and applicable law. Further, as mentioned below, the Octave SDR Program may be limited in duration, any of which could adversely impact the trading price of Octave SDRs or Octave Class B Ordinary Shares, which in turn may present a significant risk to individual holders of Octave SDRs.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the Octave SDR Program is terminated, holders of Octave SDRs will need to take affirmative steps and may incur costs to receive Octave Class B Ordinary Shares that are listed on Nasdaq New York.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termination, all holders of Octave SDRs who have not yet converted their Octave SDRs into Octave Class B Ordinary Shares, will automatically have their Octave SDRs redeemed by SEB, as agreed with Octave and the Octave Class B Ordinary Shares that the Octave SDRs represent will be sold by SEB on Nasdaq New York. The sale would take place as soon as practicable after the termination of the Octave SDR Program. The payment of the proceeds from the sale of the Octave Class B Ordinary Shares will be paid pro rata to the previous holders of such Octave SDRs. See “The Separation and the Distribution—Manner of Effecting the Distribution—Swedish Depository Receipts.” This sale could result in proceeds to the holders that are lower than the prevailing market value of the underlying shares at the time of sale. In addition, SEB’s sale of Octave Class B Ordinary Shares could cause increased volatility or negatively affect the trading price of the Octave Class B Ordinary Shares. This presents a significant risk to individual holders of Octave SDRs.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 market for the Octave Class B Ordinary Shares or Octave SDRs currently exists and an active trading market for them may not develop or be sustained, and the market price and trading volume of the Octave Class B Ordinary Shares and Octave SDRs may be volatile.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is currently no public market for the Octave Class B Ordinary Shares or the Octave SDRs. Following the Distribution, we intend to list Octave Class B Ordinary Shares on Nasdaq New York and the Octave SDRs on Nasdaq Stockholm, but there is no guarantee that such listings will be achieved or maintained. An active trading market may not develop as a result of the Distribution or may not be sustained in the future, and any such market may not be liquid enough for investors to resell their Octave Class B Ordinary Shares or Octave SDRs quickly or at the market price following the Distribution. In addition, the market price of Octave Class B Ordinary Shares and Octave SDRs could fluctuate significantly for many reasons, including in response to the risk factors listed in this information statement or for reasons unrelated to our specific performance or beyond our control, such as reports by industry analysts, investor perceptions or negative developments for our customers, competitors or vendors, as well as general economic and industry conditions. Further, Octave SDRs that will be traded on Nasdaq Stockholm are different from a Swedish share of stock being traded on Nasdaq Stockholm. For example, Octave SDRs represent shares of an Irish company and are not themselves shares of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an active trading market for the Octave Class B Ordinary Shares or Octave SDRs does not develop or is not sustained, it may be difficult for our shareholders to sell shares without depressing the market price for the shares, or to sell their shares at all, and could lead to our share price being depressed or volatile. It may also impair our ability to raise capital to continue to fund operations by selling the Octave Class B Ordinary Shares and may impair our ability to acquire other companies or technologies by using our shares as consideration. </w:t>
      </w:r>
    </w:p>
    <w:p>
      <w:pPr>
        <w:pStyle w:val="TextBody"/>
        <w:bidi w:val="0"/>
        <w:spacing w:before="0" w:after="180"/>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330" name="Frame3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i/>
          <w:color w:val="000000"/>
          <w:sz w:val="20"/>
        </w:rPr>
        <w:t xml:space="preserve">Certain existing shareholders of Hexagon shares, including our significant shareholder, Melker Schörling AB </w:t>
      </w:r>
      <w:r>
        <w:rPr>
          <w:rFonts w:ascii="Times New Roman;serif" w:hAnsi="Times New Roman;serif"/>
          <w:b w:val="false"/>
          <w:color w:val="000000"/>
          <w:sz w:val="20"/>
        </w:rPr>
        <w:t>(</w:t>
      </w:r>
      <w:r>
        <w:rPr>
          <w:color w:val="000000"/>
        </w:rPr>
        <w:t>“</w:t>
      </w:r>
      <w:r>
        <w:rPr>
          <w:rFonts w:ascii="Times New Roman;serif" w:hAnsi="Times New Roman;serif"/>
          <w:b/>
          <w:i/>
          <w:color w:val="000000"/>
          <w:sz w:val="20"/>
        </w:rPr>
        <w:t>MSAB”), may not wish to hold shares in Octave or may prefer to sell their holdings in Octave following the Distribution, and substantial sales or the possibility of such sales could cause our share price and the price of the Octave SDR to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Distribution, holders of Hexagon Class A Shares will receive Octave Class A Ordinary Shares, and holders of Hexagon Class B Shares will receive Octave Class B Ordinary Shares represented by Octave SDRs and generally may sell those securities immediately in the public market, subject to certain restrictions applicable to shares held by our affiliates. Non-affiliate shareholders, including some Hexagon shareholders, including some of its larger shareholders, are not subject to a contractual requirement to hold their shares, and therefore, may sell the Octave Class A Ordinary Shares and/or Octave Class B Ordinary Shares represented by Octave SDRs they receive in the Distribution if, for reasons such as our business profile, market capitalization or, in the case of index funds, we are not a participant in the index in which they are investing.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to compliance with applicable securities laws, any sales of Octave Shares or Octave SDRs by Hexagon shareholders representing a substantial percentage of our share capital could negatively impact the price of Octave Class B Ordinary Shares and Octave SDRs. Further, the perception in the market that such sales might occur may decrease the market price of Octave Class B Ordinary Shares and Octave SDRs, and impair our ability to raise capital through the sale of additional equity securities and could have a material adverse effect on our business, results of operations, and financial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particular, the possibility or perceived possibility of sales by MSAB of a substantial number of our shares, or the market perception that such sales may occur, could adversely affect the prevailing market price of our shares and may make it more difficult for us to issue equity securities in the future at a time and price we deem appropriate as such sales may be interpreted by the market as a negative signal with respect to such significant shareholder’s beliefs in the future prospects of our business. Any such sales or the anticipation of such sales may have a material adverse effect on our business, financial condition,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The dual-class share structure contained in our Articles has the effect of concentrating voting control and the ability to influence corporate matters with our significant shareholder, MSAB. </w:t>
      </w:r>
    </w:p>
    <w:p>
      <w:pPr>
        <w:pStyle w:val="TextBody"/>
        <w:bidi w:val="0"/>
        <w:spacing w:lineRule="auto" w:line="288" w:before="0" w:after="180"/>
        <w:jc w:val="both"/>
        <w:rPr/>
      </w:pPr>
      <w:r>
        <w:rPr>
          <w:rFonts w:ascii="Times New Roman;serif" w:hAnsi="Times New Roman;serif"/>
          <w:b w:val="false"/>
          <w:color w:val="000000"/>
          <w:sz w:val="20"/>
        </w:rPr>
        <w:t xml:space="preserve">Pursuant to our Articles, Octave Class A Ordinary Shares and Octave Class B Ordinary Shares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in all respects except for voting rights. Each holder is entitled to ten votes for each Octave Class A Ordinary Share that it holds as of the record date for a general meeting of shareholders and one vote for each Octave Class B Ordinary Share that it holds as of the record date for a general meeting of shareholders.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Distribution, MSAB will hold 11,025,000 Octave Class A Ordinary Shares and 47,408,144 Octave Class B Ordinary Shares, representing approximately 42.9% of the total voting power of our share capital, and will therefore have significant influence over the results of all matters submitted to a vote of our shareholders, including the election of members of our Board of Directors and other corporate decisions. For so long as MSAB continues to own a significant percentage of Octave Class A Ordinary Shares, MSAB will be able to exercise significant influence with respect to the composition of our Board of Directors, new issuances of equity, including to our employees under equity incentive plans, amendments to our organizational documents, and approval of any merger, amalgamation, sale of assets, or other major corporate transaction requiring shareholder approval. Accordingly, for such period of time, MSAB will have substantial influence with respect to our management, business plans, and policies. The interests of MSAB may conflict with the interests of other shareholders and the concentration of ownership could deprive other shareholders of an opportunity to receive a premium for their Octave Shares as part of a sale of Octave, and ultimately might affect the market price of the Octave Shares.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do not intend to pay dividends on Octave Shares in the near future, so any returns will be limited to the value of such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anticipate that we will retain future earnings for the development, operation, and expansion of our business, and do not anticipate declaring or paying any cash dividends in the near future. We do not intend to declare or pay any dividends in the near future, meaning that any returns will be limited to the value of Octave Shares, and we may not continue to pay any dividend if we nevertheless do commence the payment of dividends. Any </w:t>
      </w:r>
    </w:p>
    <w:p>
      <w:pPr>
        <w:pStyle w:val="TextBody"/>
        <w:bidi w:val="0"/>
        <w:spacing w:before="0" w:after="180"/>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331" name="Frame3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determination to pay dividends in the future will be at the sole discretion of the Board of Directors. The Board of Directors’ decisions regarding the payment of dividends will depend on many factors, such as our financial condition, earnings, capital requirements, debt obligations, legal requirements, regulatory constraints, and other factors that the Board of Directors deems relevant. For more information, see “The Separation and the Distribution—Dividend Policy.”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Your percentage ownership of Octave Class B Ordinary Shares may be diluted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your percentage ownership of Octave Class B Ordinary Shares may be diluted because of equity issuances for acquisitions, capital market transactions, or otherwise, including equity awards that may be granted to our directors, officers, and employees.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significant additional capital may be needed in the future to continue our planned operations. To the extent we raise additional capital by issuing equity securities, our shareholders may experience substantial dilution. We may sell Class B Ordinary Shares, convertible securities, or other equity securities in one or more transactions, and any new investors may be materially diluted by subsequent sales. These sales may result in material dilution to our existing shareholders, and new investors could gain rights superior to our existing shareholders.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will have rights to receive Class B Ordinary Shares after the Distribution as a result of the conversion of their Hexagon equity awards to Octave equity awards. The conversion of these Hexagon equity awards into Octave equity awards is described in further detail in the section entitled “Compensation Discussion and Analysis—Treatment of Outstanding Hexagon Equity Awards.” As of the date of this information statement, the exact number of Octave Class B Ordinary Shares that will be subject to the converted Octave equity awards is not determinable, and, therefore, it is not possible to determine the extent to which your percentage ownership in Octave could be diluted as a result of the conversion.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is anticipated that our Compensation Committee will grant additional equity awards to our employees and directors after the Distribution, from time to time, under our equity compensation plans. These additional awards will have a dilutive effect on our earnings per share, which could adversely affect the market price of Octave Class B Ordinary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Articles will authorize Octave to issue one or more classes or series of preferred shares having such designation, powers, preferences and relative, participating, optional, and other special rights, including preferences over Octave Class B Ordinary Shares respecting voting, dividends, and distributions, as our Board of Directors generally may determine in accordance with our Articles. The Board is expressly empowered to fix the terms of any series of preferred shares prior to issuance, including dividend rights, redemption terms, liquidation preferences, conversion rights, and voting rights. However, our Articles provide that preferred shares may not be convertible into Octave Class A Ordinary Shares, nor may they carry more than one vote per share at any general meeting, without the consent of a majority of the holders of Octave Class A Ordinary Shares. The terms of one or more classes or series of preferred shares could dilute the voting power or reduce the value of Octave Class B Ordinary Shares. For example, we could grant the holders of preferred shares the right to elect some number of our directors in all events or on the happening of specified events or the right to veto specified transactions. Similarly, the repurchase or redemption rights or liquidation preferences that we could assign to holders of preferred shares could affect the residual value of the Octave Class B Ordinary Shares. See “Description of Our Share Capital.” As a matter of Irish law, the directors of a company (or a duly authorized committee thereof) may cause the company to issue new shares on a non-pre-emptive basis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will permit such authority to be conferred, in respect of the issue of Octave Class B Ordinary Shares, until the date of the next-following annual general meeting.</w:t>
      </w:r>
    </w:p>
    <w:p>
      <w:pPr>
        <w:pStyle w:val="TextBody"/>
        <w:bidi w:val="0"/>
        <w:spacing w:before="0" w:after="180"/>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46685"/>
                <wp:effectExtent l="0" t="0" r="0" b="0"/>
                <wp:wrapNone/>
                <wp:docPr id="332" name="Frame3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rights associated with Octave Class B Ordinary Shares will differ from the rights associated with Hexagon Class B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completion of the Distribution, the rights of Hexagon shareholders who become Octave shareholders will be governed by our Articles and by Irish law. The rights associated with Octave Class B Ordinary Shares will differ from the rights associated with Hexagon Class B Shares, which are governed by Hexagon’s articles of association, as amended, and by Swedish law. Material differences between the rights of shareholders of Hexagon and the rights of our shareholders include differences with respect to, among other things, the removal of directors, the convening of annual meetings of shareholders and special shareholder meetings, shareholder approval of certain transactions, anti-takeover measures, and provisions relating to the ability to amend our Articles. See “Description of Our Share Capital” for more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accounting and other management systems and resources may not be adequately prepared to meet the financial reporting and other requirements to which we will be subject as a standalone, publicly traded company following the Distribution. Fulfilling our obligations incident to being a public company, including with respect to remediating the material weaknesses identified in connection with preparation for the separation and Distribution, and implementing the requirements of and related rules under the Sarbanes-Oxley Act of 2002, is expensive and time-consuming, and any delays or difficulty in satisfying these obligations could have a material adverse effect on our future results of operations and the price of Octave Class B Ordinary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the Sarbanes-Oxley Act of 2002 and the related rules and regulations of the SEC, as well as the rules of Nasdaq New York, will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Other expenses associated with being a public company include increased audit, accounting, and legal fees, investor relations expenses, increased directors’ fees and director and officer liability insurance costs, registrar and transfer agent fees, listing fees, as well as other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particular, the Sarbanes-Oxley Act of 2002 will require us to document and test the effectiveness of our internal control over financial reporting in accordance with an established internal control framework, and to report on our conclusions as to the effectiveness of our internal controls. It also will require an independent registered public accounting firm to test our internal control over financial reporting and report on the effectiveness of such controls. In addition, we will be required under the Exchange Act to maintain disclosure controls and procedures and internal controls over financial reporting. Due to the inherent limitations in any internal control environment, there can be no assurance that all control issues and instances of fraud, errors, or misstatements, if any, within the Octave Business have been or will be detected on a timely basis. Such deficiencies could result in the restatement of financial statements of one or more periods.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preparation of our Combined Financial Statements in contemplation of the separation and Distribution, we identified two material weaknesses in our internal control over financial reporting as of December 31, 2025. A material weakness is a deficiency, or combination of deficiencies, in internal controls over financial reporting such that there is a reasonable possibility that a material misstatement of a company’s annual or interim financial statements will not be prevented or detected on a timely basis. The material weaknesses in our internal controls over financial reporting are summarized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 assessment process and segregation of duties – The Octave Business did not adequately design and maintain an effective risk assessment process, wherein Octave’s risk assessment process did not properly assess the risks associated with the lack of functional segregation of duties specifically those related to the preparation and review of manual journal entries.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Information Technology General Controls – The Octave Business did not design and maintain effective information technology general controls for information systems that are relevant to the preparation of our Combined Financial Statements, specifically with respect to: (i) program change management controls for financial systems to ensure that information technology program and data changes affecting financial </w:t>
      </w:r>
    </w:p>
    <w:p>
      <w:pPr>
        <w:pStyle w:val="TextBody"/>
        <w:bidi w:val="0"/>
        <w:spacing w:before="0" w:after="180"/>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46685"/>
                <wp:effectExtent l="0" t="0" r="0" b="0"/>
                <wp:wrapNone/>
                <wp:docPr id="333" name="Frame3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information technology applications and underlying accounting records are identified, tested, authorized, and implemented appropriately; (ii) user access controls to ensure appropriate segregation of duties and that adequately restrict access to financial applications, programs, and data to appropriate personnel; and (iii) computer operations controls to ensure that back up and restore activities are monitored for relevant systems.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material weaknesses did not result in a material misstatement in our Combined Financial Statements. However, each of these material weaknesses could result in a material misstatement of substantially all of our accounts or disclosures that would result in a material misstatement in annual or interim financial statements that would not be prevented or detected.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in the process of developing and implementing a remediation plan, which began in late 2025 at the time control deficiencies were identified, to address these material weaknesses, including: enhancing the risk assessment process to identify risks of material misstatement at a sufficient level of precision; designing and implementing additional controls to strengthen segregation of duties, including enhanced review procedures over the preparation and posting of manual journal entries; implementing additional monitoring controls over system-generated reports; improving back-up authorization and testing processes; and strengthening change management processes with improved documentation and approvals, including user access rights and segregation of duties. We cannot ensure that the measures that we have taken, and that will be taken, to remediate these material weaknesses will, in fact, remedy such material weaknesses or will be sufficient to prevent future material weaknesses from occurring. At this time, we cannot provide a reasonable estimate of the costs expected to be incurred in connection with implementing our remediation plan for the identified material weaknesses, as the specific remediation actions, timing, and resource requirements are still being finalized. However, these remediation measures will be time-consuming, will result in incurring significant costs, and will place significant demands on our financial and operational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failure to maintain effective internal controls over financial reporting, or if we are unable to successfully remediate the identified material weaknesses or any future material weaknesses identified,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price of Octave Class B Ordinary Shares may decline as a result.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in future periods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Octave Class B Ordinary Shares. In addition, failure to comply with the Sarbanes-Oxley Act of 2002 could potentially subject us to sanctions or investigations by the SEC, Nasdaq New York, or other regulatory authorities.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disclosure controls and procedures may not prevent or detect all errors or acts of fraud.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will be subject to certain reporting requirements of the Exchange Act. Our disclosure controls and procedures will be designed to reasonably assure that information required to be disclosed by us in reports we file or submit under the Exchange Act are accumulated and communicated to management, recorded, processed, summarized, and reported within the time periods specified in the rules and forms of the SEC.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However,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Accordingly, because of the inherent limitations in our control system, misstatements or insufficient disclosures due to error or fraud may occur and not be detected, which may adversely affect the trading price of Octave SDRs and Octave Class B Ordinary Shares, damage our reputation among the investment community and may also adversely affect our business, prospects, financial condition, and results of operations.</w:t>
      </w:r>
    </w:p>
    <w:p>
      <w:pPr>
        <w:pStyle w:val="TextBody"/>
        <w:bidi w:val="0"/>
        <w:spacing w:before="0" w:after="180"/>
        <w:jc w:val="both"/>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46685"/>
                <wp:effectExtent l="0" t="0" r="0" b="0"/>
                <wp:wrapNone/>
                <wp:docPr id="334" name="Frame3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securities analysts do not publish research or reports, or publish inaccurate or unfavorable research, about our business or if they downgrade Octave Class B Ordinary Shares or our sector, our share price and trading volume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market for Octave Class B Ordinary Shares will rely in part on the research and reports published about us or our business by industry or financial analysts. As a new and standalone public company, we may not receive any research coverage by equity research analysts. Equity research analysts may elect not to initiate or to continue to provide research coverage of Octave Class B Ordinary Shares. If one or more of these analysts ceases coverage of Octave or fails to publish reports on us regularly, we could lose viability in the market, which in turn could cause our share price or trading volume to decline. Even if we do have equity research analyst coverage, we will not have any control over the analysts or the content and opinions included in their reports. Furthermore, if one or more of the analysts who do cover us downgrade Octave Class B Ordinary Shares or our industry, or the shares of any of our competitors, or publish inaccurate or unfavorable research about our business, the price of Octave Class B Ordinary Shares could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business could be negatively affected as a result of the actions of activist shareholders or other external factors.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faced with an activist shareholder action or similar claims, we may not be able to respond successfully to the action, which could be disruptive to our business. Even if we are successful, our business could be adversely affected by any activist shareholder action involving us because: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responding to such situations can be costly and time-consuming, can disrupt operations and divert the attention of management and employees, and can lead to uncertainty;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perceived uncertainties as to future direction may result in the loss of potential acquisitions, collaborations or licensing opportunities, and may make it more difficult to attract and retain qualified personnel and business partners;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individuals are elected to our Board of Directors with a specific agenda, it may adversely affect our ability to effectively implement our strategic plan in a timely manner and create additional value for our shareholders.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and other actions by external actors could cause the market price of Octave Class B Ordinary Shares and Octave SDRs to decline or experience periods of volatility.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Risks Relating to Our Jurisdiction of Incorporation in Ireland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Irish law differs from the laws in effect in other jurisdictions, and any actual or potential offer to acquire Octave will be subject to certain provisions of the Irish Takeover Rules and the Swedish Takeover Rules.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our securities could have more difficulty protecting their interests than would the shareholders of a corporation incorporated in other jurisdictions. As an Irish-incorporated company, we are governed by Irish law, including the Irish Companies Act 2014, as amended (the “Irish Companies Act”) and the Irish Takeover Panel Act, 1997, Takeover Rules, 2022 (the “Irish Takeover Rules”), which differ in some significant, and possibly material, respects from provisions set forth in various U.S. state laws applicable to U.S. corporations and their shareholders as well as the laws of Sweden applicable to Hexagon. In addition, while the Octave SDRs remain listed on Nasdaq Stockholm, the Swedish Takeover Rules for Nasdaq Stockholm and Nordic Growth Market NGM of the Swedish Stock Market Self-Regulation Committee (the “Swedish Takeover Rules”) will apply to offers for our securities. Consequently, an offeror may be required not only to comply with the Irish Takeover Rules but also to consider the provisions of the Swedish Takeover Rules. Preparing an offer that satisfies the requirements of all applicable jurisdictions concerned can be both time-consuming and costly.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duties of directors and officers of an Irish company are generally owed to the company only. Therefore, under Irish law, shareholders of Irish companies do not generally have a right to commence a legal action against directors or officers and may only do so in limited circumstances. </w:t>
      </w:r>
    </w:p>
    <w:p>
      <w:pPr>
        <w:pStyle w:val="TextBody"/>
        <w:bidi w:val="0"/>
        <w:spacing w:before="0" w:after="180"/>
        <w:jc w:val="both"/>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46685"/>
                <wp:effectExtent l="0" t="0" r="0" b="0"/>
                <wp:wrapNone/>
                <wp:docPr id="335" name="Frame3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it may not be possible to enforce court judgments obtained in the United States against us in Ireland based on the civil liability provisions of U.S. federal or U.S. state securities laws. In addition, there is some uncertainty as to whether the courts of Ireland would recognize or enforce judgments of U.S. courts obtained against us or our directors or officers based on the civil liabilities provisions of U.S. federal or U.S.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U.S. state court based on civil liability, whether or not based solely on U.S. federal or U.S. state securities laws, would not automatically be enforceable in Ireland.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judgment obtained against us would have to be enforced by the courts of Ireland if the following general requirements are met: (i) U.S. courts must have had jurisdiction in relation to the particular defendant according to Irish conflict of law rules (the submission to jurisdiction by the defendant would satisfy this rule); and (ii) the judgment must be final and conclusive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However, the Irish courts may refuse to enforce a judgment of the U.S. courts which meets the above requirements for one of the following reasons: (i) if the judgment is not for a definite sum of money; (ii) if the judgment was obtained by fraud; (iii) the enforcement of the judgment in Ireland would be contrary to natural or constitutional justice; (iv) the judgment is contrary to Irish public policy or involves certain U.S. laws which will not be enforced in Ireland; or (v) jurisdiction cannot be obtained by the Irish courts over the judgment debtors in the enforcement proceedings by personal service in Ireland or outside of Ireland under Order 11 of the Ireland Superior Courts Rules.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actual or potential offer to acquire Octave will be subject to certain aspects of the Irish Takeover Rules, which are different than those in the United States and Sweden. 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 or the redemption or repurchase of shares; (ii) material acquisitions or disposals; (iii) entering into contracts other than in the ordinary course of business; or (iv) any action, other than seeking alternative offers, which may result in the frustration of an offer, are prohibited during the course of an offer or at any earlier time during which our Board of Directors has reason to believe an offer is or may be imminent. Exceptions to this prohibition are available where the action is approved by our shareholders at a general meeting or, in certain circumstances, where the Irish Takeover Panel has given its consent to the action. These provisions may give our Board of Directors less ability to control negotiations with hostile offerors than would be the case for a corporation incorporated in a jurisdiction of the United States, although the Irish Takeover Rules also include provisions in relation to financing, transaction conditions, and other matters that make hostile offers more challenging and costly for potential offerors.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There is no assurance that the High Court of Ireland’s approval of the creation of distributable reserves will be forthcoming.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we currently do not intend to pay dividends in the near future, we may determine to pay dividends in the future, subject to applicable law. Under Irish law, dividends must be paid (and share repurchases and redemptions must generally be funded) out of “distributable reserves,” which we will not have immediately following the Distribution. Immediately after the Distribution, we will not have any “distributable reserves” but will have a significant amount of share premium. To create “distributable reserves,” we intend to undertake an Irish legal process pursuant to which we will convert an amount up to the value of our entire share premium account to “distributable reserves.” This process would require the approval of the High Court of Ireland. Although we are not aware of any reason why the High Court of Ireland would not approve the creation of distributable reserves in this manner, the issuance of the required order is a matter for the discretion of the High Court of Ireland and there is no guarantee that such approval would be granted. In the event that “distributable reserves” are not created, no </w:t>
      </w:r>
    </w:p>
    <w:p>
      <w:pPr>
        <w:pStyle w:val="TextBody"/>
        <w:bidi w:val="0"/>
        <w:spacing w:before="0" w:after="180"/>
        <w:jc w:val="both"/>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336" name="Frame3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distributions by way of dividends, share repurchases, redemptions, or otherwise will be permitted under Irish law until such time as we have created sufficient distributable reserves from our operating activities.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Irish law imposes restrictions on certain aspects of capital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Irish law allows our shareholders to pre-authorize shares to be issued by our Board of Directors without further shareholder approval for up to a maximum of five years. This authorization will be contained in our Articles, in respect of the issue of Octave Class B Ordinary Shares, immediately prior to the Distribution and will lapse at the date of the next-following annual general meeting, unless renewed by shareholders, and we cannot guarantee that such renewal will always be approved. Additionally, subject to specified exceptions, including the opt-out that will be included in our Articles upon consummation of the Distribution, Irish law grants statutory pre-emptive rights to existing shareholders to subscribe for new issuances of shares for cash. This opt-out also expires at the date of the next following annual general meeting, unless renewed by further shareholder approval and we cannot guarantee that such renewal of the opt-out from pre-emptive rights will always be approved. We cannot ensure that these Irish legal restrictions will not interfere with our capital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provisions in our Articles, among other things, could prevent or delay an acquisition of Octave, which could decrease the trading price of our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contain provisions that could have the effect of deterring coercive takeover practices, inadequate takeover bids, and unsolicited offers. These provisions include,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provision of our Articles which generally prohibits us from engaging in a business combination with an interested shareholder (being: (i) the beneficial owner of 10% or more of our voting shares; (ii) any person who has stated in a filing with any governmental agency or press release or otherwise publicly disclosed a plan or intention to become or consider becoming the beneficial owner of shares of 10% or more of our voting shares and has not expressly abandoned such plan, intention or consideration more than two years prior to the date in question; or (iii) an affiliate or associate of us that has at any time within the previous five years been the beneficial owner of the relevant percentage of our voting shares), subject to certain exceptions;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rules regarding how shareholders may present proposals or nominate directors for election at shareholder meetings;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right of our Board of Directors to issue preferred shares without shareholder approval in certain circumstances, subject to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our Board of Directors to fill vacancies on our Board of Directors in certain circumstances.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However, these provisions will apply even if the offer may be considered beneficial by some shareholders and could delay or prevent an acquisition that our Board of Directors determines is in the best interests of Octave and our shareholders. These provisions may also prevent or discourage attempts to remove and replace incumbent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several mandatory provisions of Irish law could prevent or delay an acquisition of Octave. For example, Irish law does not permit shareholders of an Irish public limited company to take action by written consent with less than unanimous consent. We also will be subject to various provisions of Irish law relating to mandatory bids, voluntary bids, requirements to make a cash offer and minimum price requirements, as well as substantial acquisition rules and rules requiring the disclosure of interests in our shares in certain circumstances. Also, Irish companies, including Octave, may alter their memorandum of association and articles of association only with the approval of at least 75% of the votes of the company’s shareholders cast in person or by proxy at a general meeting of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these and other provisions of our Articles and Irish law that could be considered to have an anti-takeover effect, see “Description of Our Share Capital—Anti-Takeover Provisions.”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agreements that we will enter into with Hexagon in connection with the Distribution generally will require Hexagon’s consent to any assignment by us of our rights and obligations under the agreements. The consent and </w:t>
      </w:r>
    </w:p>
    <w:p>
      <w:pPr>
        <w:pStyle w:val="TextBody"/>
        <w:bidi w:val="0"/>
        <w:spacing w:before="0" w:after="180"/>
        <w:jc w:val="both"/>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337" name="Frame3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termination rights set forth in these agreements might discourage, delay, or prevent a change of control that shareholders may consider favorable. For a more detailed description of these agreements, see “Certain Relationships and Related Party Transactions—Relationship Between Hexagon and Octave After the Distribution.”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are subject to changes in law and other factors that may not allow us to maintain a worldwide effective corporate tax rate that is competitive in our industry.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give any assurance as to what our effective tax rate will be in the future, because of, among other things, uncertainty regarding the tax policies of the jurisdictions where we operate. Our effective tax rate may vary from our expectation and that variance may be material. Also, the tax laws of the United States, the United Kingdom Ireland, Switzerland, and other jurisdictions could change in the future, and such changes could cause a material change in our worldwide effective corporate tax rate.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particular, legislative action could be taken by the United States, the United Kingdom, Ireland, Switzerland,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to maintain tax residency in Ireland and take advantage of the tax treaties among the United States and Ireland, we could be subject to increased taxation, which could materially adversely affect our financial condition, results of operations, cash flows or our effective tax rate in future reporting periods.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A change in our tax residency could have a negative effect on our future profitability and may trigger taxes and/or exit charges.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current Irish legislation, a company is regarded as resident for tax purposes in Ireland if it is incorporated in Ireland.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a determination issued by the competent authority in Ireland, the Irish Revenue Commissioners, and the competent authority in the United Kingdom, HM Revenue &amp; Customs, we were previously resident for tax purposes only in the United Kingdom. Following an application to HM Revenue &amp; Customs, we received consent to cease to be tax resident in the United Kingdom and have since emigrated to Ireland. We are currently in the process of obtaining final confirmation from the Irish and UK competent authorities that the previous determination has been withdrawn and is no longer in force. Whilst we are currently resident for tax purposes only in Ireland, other jurisdictions may seek to assert taxing jurisdiction over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in the future, whether as a result of a change in law or the practice of any relevant tax authority or as a result of any change in the conduct of our affairs, our tax residency position could change or be challenged. It is difficult to predict the ultimate impact of a change in tax residency, but if we cease to be tax resident in Ireland and become a resident in another jurisdiction, we may be subject to exit charges and could become liable for additional tax charges in other jurisdictions (including dividend withholding taxes or corporate income tax charges). If we were to be treated as resident in more than one jurisdiction, we could be subject to taxation in multiple jurisdictions. If, for example, we were considered to be a tax resident of the U.K. again, we could become liable for U.K. corporation tax.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Transfers of Octave Shares may be subject to Irish stamp duty.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rate of stamp duty (where applicable) on transfers of shares of Irish incorporated companies (including Octave Class A Ordinary Shares and Octave Class B Ordinary Shares) is generally 1% of the price paid or the market value of the shares acquired, whichever is greater.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many transfers of our shares, there is not expected to be any Irish stamp duty. A transfer of our shares from a seller who holds shares beneficially (i.e., through the DTC) to a buyer who holds the acquired shares beneficially (i.e., through DTC), which is effected by the debit/credit of book-entry interests representing the shares through DTC, will not be subject to Irish stamp duty. However, a transfer of our shares by a seller who holds shares directly (i.e., not through DTC) to any buyer, or by a seller who holds the shares beneficially to a buyer who holds the </w:t>
      </w:r>
    </w:p>
    <w:p>
      <w:pPr>
        <w:pStyle w:val="TextBody"/>
        <w:bidi w:val="0"/>
        <w:spacing w:before="0" w:after="180"/>
        <w:jc w:val="both"/>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46685"/>
                <wp:effectExtent l="0" t="0" r="0" b="0"/>
                <wp:wrapNone/>
                <wp:docPr id="338" name="Frame3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acquired shares directly, may be subject to Irish stamp duty (currently at the rate of 1% of the price paid or the market value of the shares acquired, if higher) which is generally payable by the buyer.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shareholder who directly holds shares may transfer those shares into his or her own broker account to be held through DTC without giving rise to Irish stamp duty provided that the shareholder has confirmed to our transfer agent that there is no change in the beneficial ownership of the shares as a result of the transfer and the transfer into DTC is not effected in contemplation of a sale of such shares by the beneficial owner to a third party. Because of the potential Irish stamp duty on transfers of our shares, we strongly recommend that any person who wishes to acquire our shares acquire such shares through DTC.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provide that, in the event of any such payment, we: (i) may seek reimbursement from the buyer; (ii) will have a lien against the shares acquired by such buyer and any dividends paid on such shares; and (iii) may set off the amount of the stamp duty against future dividends on such shares. Parties to a share transfer may assume that any stamp duty arising in respect of a transaction in our shares has been paid unless one or both of such parties is otherwise notified by us.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Shares received by means of a gift or inheritance could be subject to Irish capital acquisitions tax.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Irish capital acquisitions tax (“CAT”) could apply to a gift or inheritance of our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of the same marriage or civil partners of the same civil partnership are exempt from CAT. Children currently have a tax-free threshold of €400,000 per lifetime in respect of taxable gifts or inheritances received from their parents.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46685"/>
                <wp:effectExtent l="0" t="0" r="0" b="0"/>
                <wp:wrapNone/>
                <wp:docPr id="339" name="Frame3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information statement and other materials we have filed or will file with the SEC include, or will include, forward-looking statements. All statements other than statements of historical facts in this information statement, in other materials we have filed or will file with the SEC and in related comments by our management, including statements about future events, future financial position or results of operation, business strategy, budgets, projected costs, plans and objectives of management for future operations, are forward-looking statements that involve certain risks and uncertainties. Use of the words “may,” “will,” “would,” “could,” “should,” “believes,” “estimates,” “projects,” “potential,” “expects,” “plans,” “seeks,” “intends,” “evaluates,” “pursues,” “anticipates,” “continues,” “designs,” “impacts,” “affects,” “forecasts,” “target,” “outlook,” “initiative,” “objective,” “designed,” “priorities,” “goal” or the negative of those words and other similar expressions may identify forward-looking statements, but the absence of these words does not necessarily mean a statement is not forward-looking.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current expectations and projections about future events and trends that we believe may affect our financial condition, results of operation, strategy, short- and long-term business operations and objectives and financial needs.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the Distribution, the business and operations of Octave following the Distribution and any benefits or costs of the Distribution, including the tax treatment of the Distribution and the limitation imposed on us by the Tax Disaffiliation Agreement that we enter into with Hexagon;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 from the Distribution making it more difficult to maintain our business and operational relationships;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post-separation relationships with Hexagon, third parties, collaborators and our employees;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operate as a standalone company and execute our strategic priorities;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efficiently develop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obtain funding for our operations necessary to complete further strategic transactions and the development and commercialization of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substantially invest in our technology infrastructure systems;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commercialize our products and services in a timely manner;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pricing of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penetrate foreign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implementation of our business model, and strategic plans for our business,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effects of increased industry competition;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scope of protection we are able to establish and maintain for intellectual property rights covering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estimates of our future revenue, expenses, capital requirements, and our needs for additional financing;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0" w:after="180"/>
        <w:jc w:val="both"/>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340" name="Frame3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future agreements with third parties in connection with the commercialization of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size and growth potential of the markets for our products and services, and our ability to serve those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rate and degree of market acceptance of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developments in the United States and other relevant jurisdictions;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contract with third-party vendors and manufacturers and their ability to perform adequately;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key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U.S. and non-U.S. laws and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relating to our competitors and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indemnification liabilities that we may owe to Hexagon after the Distribution;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failure of us or Hexagon to satisfy obligations under the Transition Services Agreement or other agreements entered into in connection with the Distribution;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dilution to holders of our ordinary shares as a result of issuances of additional shares to fund our financial obligations and other financing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global economic and political developments on our business, including rising inflation and interest rates, capital market disruptions, bank failures, government shutdowns, economic sanctions and economic slowdowns or recessions that may result from such developments which could harm our research and development efforts as well as the value of our ordinary shares and our ability to access capital markets;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risks and uncertainties, including those under the caption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forward</w:t>
        <w:noBreakHyphen/>
        <w:t>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forward</w:t>
        <w:noBreakHyphen/>
        <w:t>looking events and circumstances discussed in this information statement may not occur and actual results could differ materially and adversely from those anticipated or implied in the forward</w:t>
        <w:noBreakHyphen/>
        <w:t xml:space="preserve">looking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w:t>
        <w:noBreakHyphen/>
        <w:t>looking statements as predictions of future events. We cannot guarantee that the future results, levels of activity, performance or events and circumstances reflected in the forward</w:t>
        <w:noBreakHyphen/>
        <w:t>looking statements will be achieved or occur. Moreover, except as required by law, neither we nor any other person assumes responsibility for the accuracy and completeness of the forward</w:t>
        <w:noBreakHyphen/>
        <w:t>looking statements. We undertake no obligation to update publicly any forward</w:t>
        <w:noBreakHyphen/>
        <w:t xml:space="preserve">looking statements for any reason after the date of this information statement to conform these statements to actual results or to changes in our expectations.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read this information statement and the documents that we reference in this information statement and have filed with the SEC as exhibits to the registration statement of which this information statement forms a part with the understanding that our actual future results, levels of activity, performance and events and circumstances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46685"/>
                <wp:effectExtent l="0" t="0" r="0" b="0"/>
                <wp:wrapNone/>
                <wp:docPr id="341" name="Frame3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THE SEPARATION AND THE DISTRIBUTION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which is referred to in this information statement as the Distribution. In connection with the Distribution, Hexagon will complete an internal reorganization and transfer the Octave Business to us. To complete the Distribution, Hexagon will distribute directly to its shareholders all of our issued share capital. Octave Shares will be distributed to holders of record of Hexagon Shares on the record date for the Distribution. Each such holder will receive one (1) Octave Class A Ordinary Share for every ten (10) Hexagon Class A Shares and one (1) Octave Class B Ordinary Share for every ten (10) Hexagon Class B Shares held as of the close of business on the record date. The Octave Class B Ordinary Shares will be delivered to holders of record, other than affiliates of Hexagon, in the form of Octave SDRs.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listing of the Octave SDRs, we have also made available a Swedish prospectus. See “Description of Swedish Depository Receipts.”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Manner of Effecting the Distribution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Internal Reorganization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preparation for the Distribution, Hexagon and its subsidiaries will complete the internal reorganization and will transfer to Octave the entities, assets, liabilities and obligations that Octave will hold following the Distribution. The internal reorganization will include stock and asset transfers, dividends, contributions and similar transactions, and include formation of new entities, where required, in U.S. and non-U.S. jurisdictions to own and operate the Octave Business in such jurisdictions. Among other things, the internal reorganization will result in Octave owning, directly or indirectly, the operations comprising, and the entities that conduct, the Octave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Distribution of the Octave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general terms and conditions relating to the completion of the Distribution will be set forth in a Distribution Agreement between Hexagon and Octave. Under the Distribution Agreement, the Distribution will be effective as of               , Stockholm time on               (the “Distribution Date”). As a result of the Distribution, on the Distribution Date, each holder of Hexagon Shares will receive one (1) Octave Class A Ordinary Share for every ten (10) Hexagon Class A Shares and one (1) Octave Class B Ordinary Share for every ten (10) Hexagon Class B Shares in each case held on the record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Hexagon Class A Shares on the record date will receive Octave Class A Ordinary Shares. Such Octave Class A Ordinary Shares will be recorded in book-entry form with the transfer agent. Affiliate holders of Hexagon Class B Shares on the record date will receive Octave Class B Ordinary Shares. Such Octave Class B Ordinary Shares will be recorded in book-entry form with the transfer agent. Non-affiliate holders of Hexagon Class B Shares on the record date will be entitled to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Swedish Depository Receipts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will establish an SDR program pursuant to a SDR Issuer Agreement, which is to be entered into between Octave and SEB, as custodian, and the general terms and conditions for Octave SDRs to be agreed with SEB. At the distribution of the Octave Class B Ordinary Shares, Octave will deliver through its custodian the Octave Class B Ordinary Shares in the form of Octave SDRs.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It is anticipated that Hexagon shareholders entitled to receive Octave Class B Shares will be entitled to receive one Octave SDR for each Octave Class B Share to which they are entitled as a result of their Hexagon shares held as of the record date, other than affiliates of Hexagon. The date of delivery of the Octave SDRs is </w:t>
      </w:r>
    </w:p>
    <w:p>
      <w:pPr>
        <w:pStyle w:val="TextBody"/>
        <w:bidi w:val="0"/>
        <w:spacing w:before="0" w:after="180"/>
        <w:jc w:val="both"/>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342" name="Frame3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expected to be               . The Octave SDRs are expected to remain listed on Nasdaq Stockholm until further notice, which we expect to be for about two years following the Distribution Date.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Persons holding Hexagon Shares through a bank, broker or other nominee should contact such entity regarding the receipt of the Octave SDRs to which they may be entitled. Holders of Hexagon Shares will not be charged any fees or expenses by Hexagon or Octave in connection with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has agreed to pay any fees for holders who wish to cancel Octave SDRs and receive the underlying Octave Class B Ordinary Shares in a U.S. brokerage account for the six (6) months from and including the first day of trading in the Octave SDRs on Nasdaq Stockholm. After such period, such fees will be borne by the holders.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Reasons for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Hexagon believes that the Distribution is in the best interests of both Hexagon and Octave for a number of reasons,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Different Independent Strategic Needs</w:t>
      </w:r>
      <w:r>
        <w:rPr>
          <w:rFonts w:ascii="Times New Roman;serif" w:hAnsi="Times New Roman;serif"/>
          <w:b w:val="false"/>
          <w:color w:val="000000"/>
          <w:sz w:val="20"/>
        </w:rPr>
        <w:t xml:space="preserve">. The Distribution will provide each of Hexagon and Octave with increased flexibility to pursue their own 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shares as currency for acquisitions reflective of their distinct growth strategies.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Operational Autonomy</w:t>
      </w:r>
      <w:r>
        <w:rPr>
          <w:rFonts w:ascii="Times New Roman;serif" w:hAnsi="Times New Roman;serif"/>
          <w:b w:val="false"/>
          <w:color w:val="000000"/>
          <w:sz w:val="20"/>
        </w:rPr>
        <w:t xml:space="preserve">. Going forward, Hexagon anticipates focusing on its core mission of helping industrial customers address labor shortages 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Financial Resources</w:t>
      </w:r>
      <w:r>
        <w:rPr>
          <w:rFonts w:ascii="Times New Roman;serif" w:hAnsi="Times New Roman;serif"/>
          <w:b w:val="false"/>
          <w:color w:val="000000"/>
          <w:sz w:val="20"/>
        </w:rPr>
        <w:t xml:space="preserve">. The Distribution will allow each company to raise and invest capital in its business in a time and manner appropriate for its distinct strategy and business needs and facilitating a more efficient allocation of capital.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Attraction and Retention of Talent</w:t>
      </w:r>
      <w:r>
        <w:rPr>
          <w:rFonts w:ascii="Times New Roman;serif" w:hAnsi="Times New Roman;serif"/>
          <w:b w:val="false"/>
          <w:color w:val="000000"/>
          <w:sz w:val="20"/>
        </w:rPr>
        <w:t>. The businesses that Hexagon and we will separately conduct have different risk and reward profiles, which 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Our operating practices will be focused on agility, collaboration, empowerment and speed in order to compete for the best talent against technology and software development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Employee Incentives</w:t>
      </w:r>
      <w:r>
        <w:rPr>
          <w:rFonts w:ascii="Times New Roman;serif" w:hAnsi="Times New Roman;serif"/>
          <w:b w:val="false"/>
          <w:color w:val="000000"/>
          <w:sz w:val="20"/>
        </w:rPr>
        <w:t>. The Distribution will facilitate incentive compensation arrangements for employees more closely tied to the performance of the relevant company’s business and can thereby enhance employee hiring and retention by, among other things, improving alignment of management and employee incentives with performance and growth objectives.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Enhanced Strategic Alignment</w:t>
      </w:r>
      <w:r>
        <w:rPr>
          <w:rFonts w:ascii="Times New Roman;serif" w:hAnsi="Times New Roman;serif"/>
          <w:b w:val="false"/>
          <w:color w:val="000000"/>
          <w:sz w:val="20"/>
        </w:rPr>
        <w:t>. The Distribution will allow each company to focus on and more effectively pursue distinct product portfolios, 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pStyle w:val="TextBody"/>
        <w:bidi w:val="0"/>
        <w:spacing w:before="0" w:after="180"/>
        <w:jc w:val="both"/>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46685"/>
                <wp:effectExtent l="0" t="0" r="0" b="0"/>
                <wp:wrapNone/>
                <wp:docPr id="343" name="Frame3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Potential Increased Share Value</w:t>
      </w:r>
      <w:r>
        <w:rPr>
          <w:rFonts w:ascii="Times New Roman;serif" w:hAnsi="Times New Roman;serif"/>
          <w:b w:val="false"/>
          <w:color w:val="000000"/>
          <w:sz w:val="20"/>
        </w:rPr>
        <w:t>. The evaluation of separate investment characteristics, including risks, performance, and future prospects of the 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After the Distribution, we will be an independent, publicly-traded company. We will enter into a Distribution Agreement and other related agreements with Hexagon to effect the Distribution and provide a framework for Octave’s relationship with Hexagon after the Distribution. These agreements will provide for the allocation between Hexagon and Octave of Hexagon’s assets, liabilities and obligations attributable to periods prior to the internal reorganization and will govern the relationship between Hexagon and Octave after the Distribution. For a more detailed description of these agreements, see “Certain Relationships and Related Party Transactions—Relationship Between Hexagon and Octave After the Distribution.”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Reason for Furnishing this Information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information statement is being furnished solely to provide information to Hexagon shareholders that are entitled to receive Octave Shares and Octave SDRs in the Distribution. This information statement also forms a part of a registration statement on Form 10 to register the Octave Class B Ordinary Shares under Section 12(b) of the Exchange Act in connection with the proposed listing of the Octave Class B Ordinary Shares on Nasdaq New York. This information statement is not, and is not to be construed as, an inducement or encouragement to buy, hold or sell any Octave Shares, Octave SDRs, Hexagon Shares or other securities representing shares or common stock of Hexagon or Octave. We believe that the information in this information statement is accurate as of the date set forth on the cover. Changes to the information contained in this information statement may occur after that date, and we undertake no obligation to update such information, except in the normal course of our public disclosure obligations or as required by applicable law.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Market for the Octave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is currently no public market for the Octave Shares and an active trading market may not develop or may not be sustained. It has not yet been determined whether Octave Class B Ordinary Shares will trade on a “when-issued” basis on Nasdaq New York before completion of the Distribution. A “when-issued” market in Octave Class B Ordinary Shares may develop as soon as one New York business day prior to the record date for the Distribution. “When-issued” trading refers to a sale or purchase made conditionally because the security has been authorized but not yet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list Octave Class B Ordinary Shares on Nasdaq New York under the ticker symbol “OCTV” and our Octave SDRs on Nasdaq Stockholm under the ticker symbol “OCTV SDB,” provided our applications for listing are approved. Assuming that the listing application for Octave Class B Ordinary Shares is approved, it is anticipated that trading for Octave Class B Ordinary Shares will commence           New York business days following the Distribution. Octave currently intends to distribute interests in Octave Class B Ordinary Shares through an SDR program that will be listed on Nasdaq Stockholm substantially concurrently with listing Octave Class B Ordinary Shares on Nasdaq New York. 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Neither we nor Hexagon can ensure as to the trading price of Hexagon Class B Shares or Octave Class B Ordinary Shares (or Octave SDRs) after the Distribution, or as to whether the combined trading prices of Octave Class B Ordinary Shares (or Octave SDRs) and Hexagon Class B Shares after the Distribution will equal or exceed the trading prices of Hexagon Class B Shares prior to the Distribution. The trading price of Octave Class B Ordinary Shares and Octave SDRs may fluctuate significantly following the Distribution. See “Risk Factors—Risks Relating to Octave Class B Ordinary Shares and Octave SDRs” for more detail. </w:t>
      </w:r>
    </w:p>
    <w:p>
      <w:pPr>
        <w:pStyle w:val="TextBody"/>
        <w:bidi w:val="0"/>
        <w:spacing w:before="0" w:after="180"/>
        <w:jc w:val="both"/>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344" name="Frame3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Transferability of the Octave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Octave Class B Ordinary Shares underlying Octave SDRs distributed to holders of shares of Hexagon Class B Shares will be freely transferable without registration under the U.S. Securities Act of 1933 (the “Securities Act”), except for Octave Shares received by persons who may be deemed to be our “affiliates” under the Securities Act. Persons who may be deemed to be our affiliates after the Distribution generally include individuals or entities that control, are controlled by or are under common control with us and may include our directors, executive officers or principal shareholders. Our affiliates will be permitted to sell their Octave Class B Ordinary Shares only pursuant to an effective registration statement under the Securities Act or an exemption from the registration requirements of the Securities Act, such as the exemptions afforded by Rule 144 thereunder.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future, we will likely adopt new equity-based compensation plans and issue equity-based awards. We currently expect to file a registration statement to register shares to be issued under these equity plans. Shares issued pursuant to awards after the effective date of that registration statement, other than shares issued to affiliates, generally will be freely tradable without further registration under the Securities Act.</w:t>
      </w:r>
    </w:p>
    <w:p>
      <w:pPr>
        <w:pStyle w:val="TextBody"/>
        <w:bidi w:val="0"/>
        <w:spacing w:lineRule="auto" w:line="288" w:before="0" w:after="180"/>
        <w:jc w:val="both"/>
        <w:rPr>
          <w:rFonts w:ascii="Times New Roman;serif" w:hAnsi="Times New Roman;serif"/>
          <w:b/>
          <w:color w:val="000000"/>
          <w:sz w:val="20"/>
        </w:rPr>
      </w:pPr>
      <w:bookmarkStart w:id="0" w:name="i95d846113c6047488757878217e24c4d_26834"/>
      <w:bookmarkEnd w:id="0"/>
      <w:r>
        <w:rPr>
          <w:rFonts w:ascii="Times New Roman;serif" w:hAnsi="Times New Roman;serif"/>
          <w:b/>
          <w:color w:val="000000"/>
          <w:sz w:val="20"/>
        </w:rPr>
        <w:t>Dividend Policy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our earnings to finance R&amp;D, acquisitions and the operation and expansion of our business and do not anticipate paying any cash dividends in the near future. The recommendation, declaration and payment of any dividends in the future by us will be subject to the sole discretion of the Board of Directors and will depend upon many factors, including our financial condition, earnings, distributable reserves, capital requirements of our operating subsidiaries, covenants associated with certain of our debt obligations, legal requirements, regulatory constraints and other factors deemed relevant by our Board of Directors. Moreover, if we determine to pay any dividends in the future, there can be no assurance that we will continue to pay such dividends.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Irish law, dividends and distributions (including by way of the payment of cash dividends or share repurchases) may only be made from profits available for distribution, or “distributable reserves” on our unconsolidated balance sheet prepared in accordance with the Irish Companies Act. In addition, no distribution or dividend may be paid or made by us unless our net assets are equal to, or in excess of, the aggregate of our share capital that has been paid up or that is payable in the future plus non-distributable reserves and the distribution or dividend would not reduce our net assets below such aggregate. See “Description of our Share Capital—Dividends” for additional information on restrictions on payment of dividends or other 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345" name="Frame3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cash and cash equivalents and our capitalization as of December 31, 2025, on a historical basis and a pro forma basis, to give effect to the Distribution and the transactions related to the Distribution as further described under “Unaudited Pro Forma Combined Financial Information,” as if they occurred on December 31, 2025. The cash and cash equivalents and our capitalization information in the following table may not necessarily reflect what our cash and cash equivalents and capitalization would have been had we been operating as a standalone company as of December 31, 2025. Additionally, the information in the following table may not necessarily reflect what our cash and cash equivalents and our capitalization may be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should be read in conjunction with Octave’s “Management’s Discussion and Analysis of Financial Condition and Results of Operations,” “Unaudited Pro Forma Combined Financial Information,” and audited Combined Financial Statements and accompanying Notes included elsewhere in this information statement.</w:t>
      </w:r>
    </w:p>
    <w:tbl>
      <w:tblPr>
        <w:tblW w:w="6413" w:type="dxa"/>
        <w:jc w:val="left"/>
        <w:tblInd w:w="0" w:type="dxa"/>
        <w:tblLayout w:type="fixed"/>
        <w:tblCellMar>
          <w:top w:w="28" w:type="dxa"/>
          <w:left w:w="28" w:type="dxa"/>
          <w:bottom w:w="28" w:type="dxa"/>
          <w:right w:w="28" w:type="dxa"/>
        </w:tblCellMar>
      </w:tblPr>
      <w:tblGrid>
        <w:gridCol w:w="1235"/>
        <w:gridCol w:w="1089"/>
        <w:gridCol w:w="1095"/>
        <w:gridCol w:w="211"/>
        <w:gridCol w:w="991"/>
        <w:gridCol w:w="109"/>
        <w:gridCol w:w="109"/>
        <w:gridCol w:w="109"/>
        <w:gridCol w:w="109"/>
        <w:gridCol w:w="211"/>
        <w:gridCol w:w="991"/>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Indebtedness</w:t>
            </w:r>
            <w:r>
              <w:rPr>
                <w:color w:val="000000"/>
              </w:rPr>
              <w:t xml:space="preserve"> </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14" w:after="14"/>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14" w:after="14"/>
              <w:jc w:val="left"/>
              <w:rPr/>
            </w:pPr>
            <w:r>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indebtedness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tLeast" w:line="171"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tLeast" w:line="171" w:before="0" w:after="283"/>
              <w:jc w:val="right"/>
              <w:rPr>
                <w:rFonts w:ascii="Times New Roman;serif" w:hAnsi="Times New Roman;serif"/>
                <w:b w:val="false"/>
                <w:color w:val="000000"/>
                <w:sz w:val="20"/>
              </w:rPr>
            </w:pPr>
            <w:r>
              <w:rPr>
                <w:rFonts w:ascii="Times New Roman;serif" w:hAnsi="Times New Roman;serif"/>
                <w:b w:val="false"/>
                <w:color w:val="000000"/>
                <w:sz w:val="20"/>
              </w:rPr>
              <w:t>523,500 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Equity</w:t>
            </w:r>
            <w:r>
              <w:rPr>
                <w:color w:val="000000"/>
              </w:rPr>
              <w:t xml:space="preserve"> </w:t>
            </w:r>
          </w:p>
        </w:tc>
        <w:tc>
          <w:tcPr>
            <w:tcW w:w="1311" w:type="dxa"/>
            <w:gridSpan w:val="3"/>
            <w:tcBorders/>
            <w:shd w:fill="FFFFFF" w:val="clear"/>
            <w:tcMar>
              <w:top w:w="0" w:type="dxa"/>
              <w:left w:w="0" w:type="dxa"/>
              <w:bottom w:w="0" w:type="dxa"/>
              <w:right w:w="0" w:type="dxa"/>
            </w:tcMar>
            <w:vAlign w:val="center"/>
          </w:tcPr>
          <w:p>
            <w:pPr>
              <w:pStyle w:val="TableContents"/>
              <w:bidi w:val="0"/>
              <w:spacing w:before="14" w:after="14"/>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Ordinary Shares, par value $0.01</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Ordinary Shares, par value $0.01</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Parent investment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7,108,493 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capitalization</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7,677,635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7,631,993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post-Distribution capitalization presented is estimated based on assumptions management believes are reasonable. However, the actual post-Distribution capitalization could be different from these estimates and would depend on several factors, including Cash and cash equivalents held by Octave immediately prior to Distribution and the cash payment from the Octave Business to Hexagon in connection with the Distribution. Changes in estimated post-Distribution capitalization will be included in an amendment to the registration statement of which this information statement forms a part, if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346" name="Frame3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 PRO FORMA COMBINED FINANCIAL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Combined Financial Statements consist of an Unaudited Pro Forma Combined Balance Sheet as of December 31, 2025 and Unaudited Pro Forma Combined Statement of Operations for the year ended December 31, 2025. This unaudited pro forma financial information has been derived from our audited Combined Financial Statements for the year ended December 31, 2025, included elsewhere in this information statement. All significant pro forma adjustments and their underlying assumptions are described more fully in the Notes to Unaudited Pro Forma Combined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Combined Balance Sheet gives effect to the Pro Forma Transactions (as defined below) as if they had occurred on December 31, 2025, the latest balance sheet date. The Unaudited Pro Forma Combined Statement of Operations give effect to the Pro Forma Transactions as if they had occurred on January 1, 2025, the first day of fiscal year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Statements have been prepared to include transaction accounting adjustments, autonomous entity adjustments, and other transaction adjustments to reflect the financial condition and results of operations as if the Company was a standalone public entity following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Combined Financial Statements illustrates the effects of the following transactions (collectively, the “Pro Forma Transactions”):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anticipated post-Distribution capital structure, including (i) the issuance of approximately 11,025,000 Octave Class A Ordinary Shares and 257,412,788 Octave Class B Ordinary Shares, (ii) the incurrence of indebtedness of approximately $525.0 million at an estimated weighted average interest rate of 4.5% and (iii) the cash payment of approximately $598.2 million of cash to Hexagon substantially concurrent with the Distribution;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transfers occurring pursuant to the Distribution Agreement, including the contribution by Hexagon to Octave of certain assets and liabilities that comprise the Octave Business and the retention by Hexagon of certain non-core revenue contracts;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impacts arising from contractual agreements made in preparation for the Company to be a standalone public entity, including new lease agreements, new compensation agreements, and a Transition Services Agreement between Hexagon and the Company;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divestiture of certain non-core businesses historically managed by the Company ahead of the spin-off;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impacts of the aforementioned adjustments on current and deferred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Statements have been prepared to include transaction accounting, autonomous entity and other transaction adjustments to reflect the financial condition and results of operations as if we were a standalone public entity. Transaction accounting adjustments have been presented to show the impact and associated cost as a direct result of the separation from Hexagon, including the establishment of the Company’s expected capital structure at the time of Distribution. Autonomous entity adjustments have been presented to show the impact and associated cost as a direct result of new agreements, both third-party and with Hexagon, entered into in preparation for operating as a standalone public entity. Other transaction adjustments have been presented to show the impact on operating results relating to the Company’s sale of certain non-core businesses during the historical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Notes to Unaudited Pro Forma Combined Financial Statements include a presentation of management adjustments that management believes are necessary to provide an understanding of the pro forma effects of the separation and the Distribution. These management adjustments reflect expected incremental costs associated with the stand-up of functions to operate as a standalone public entity as well as realize anticipated cost savings associated with various restructuring plans implemented prior to spin-off. Actual future costs incurred or savings realized may differ from these estimates.</w:t>
      </w:r>
    </w:p>
    <w:p>
      <w:pPr>
        <w:pStyle w:val="TextBody"/>
        <w:bidi w:val="0"/>
        <w:spacing w:before="0" w:after="180"/>
        <w:jc w:val="both"/>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347" name="Frame3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Statements were prepared in accordance with Article 11 of Regulation S-X, as amended. The Unaudited Pro Forma Combined Financial Statements are subject to the assumptions and adjustments described in the accompanying Notes. The Pro Forma Transactions are based on available information and assumptions we believe are reasonable; however, such adjustments are subject to change. A final determination regarding our capital structure has not yet been made, and the Distribution Agreement, Tax Disaffiliation Agreement, Transition Services Agreement, Employee Matters Agreement and other transaction-related agreements have not been executed. As such, the Unaudited Pro Forma Combined Financial Statements may be revised in future amendments to reflect the impact on our capital structure and the final form of those agreements, to the extent any such revisions would be deemed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Statements have been presented for informational purposes only. The Unaudited Pro Forma Information is not necessarily indicative of our results of operations or financial condition had the Distribution and the related transactions been completed on the dates assumed and should not be relied upon as a representation of our future performance or financial position as a standalone public entity. The Combined Financial Statements have been derived from Hexagon’s historical accounting records and include certain corporate overhead and other shared costs which have been allocated to the Company. The allocations have been determined on a reasonable basis; however, the amounts are not necessarily representative of the amounts that would have been reflected in the financial statements had the Company been an entity that operated independently of Hexagon during the periods or at the dates presented.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Combined Financial Statements should be read in conjunction with Octave’s “Management’s Discussion and Analysis of Financial Condition and Results of Operations” and audited Combined Financial Statements and accompanying Notes included elsewhere in this information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348" name="Frame3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 PRO FORMA COMBINED BALANCE SHEET</w:t>
      </w:r>
    </w:p>
    <w:tbl>
      <w:tblPr>
        <w:tblW w:w="10205" w:type="dxa"/>
        <w:jc w:val="left"/>
        <w:tblInd w:w="0" w:type="dxa"/>
        <w:tblLayout w:type="fixed"/>
        <w:tblCellMar>
          <w:top w:w="28" w:type="dxa"/>
          <w:left w:w="28" w:type="dxa"/>
          <w:bottom w:w="28" w:type="dxa"/>
          <w:right w:w="28" w:type="dxa"/>
        </w:tblCellMar>
      </w:tblPr>
      <w:tblGrid>
        <w:gridCol w:w="960"/>
        <w:gridCol w:w="733"/>
        <w:gridCol w:w="735"/>
        <w:gridCol w:w="211"/>
        <w:gridCol w:w="991"/>
        <w:gridCol w:w="109"/>
        <w:gridCol w:w="109"/>
        <w:gridCol w:w="109"/>
        <w:gridCol w:w="109"/>
        <w:gridCol w:w="340"/>
        <w:gridCol w:w="1185"/>
        <w:gridCol w:w="165"/>
        <w:gridCol w:w="165"/>
        <w:gridCol w:w="165"/>
        <w:gridCol w:w="165"/>
        <w:gridCol w:w="109"/>
        <w:gridCol w:w="109"/>
        <w:gridCol w:w="109"/>
        <w:gridCol w:w="320"/>
        <w:gridCol w:w="958"/>
        <w:gridCol w:w="164"/>
        <w:gridCol w:w="164"/>
        <w:gridCol w:w="164"/>
        <w:gridCol w:w="164"/>
        <w:gridCol w:w="109"/>
        <w:gridCol w:w="109"/>
        <w:gridCol w:w="109"/>
        <w:gridCol w:w="211"/>
        <w:gridCol w:w="991"/>
        <w:gridCol w:w="164"/>
      </w:tblGrid>
      <w:tr>
        <w:trPr/>
        <w:tc>
          <w:tcPr>
            <w:tcW w:w="96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 of December 31, 2025</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Autonomous Entity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assets</w:t>
            </w:r>
            <w:r>
              <w:rPr>
                <w:color w:val="000000"/>
              </w:rPr>
              <w:t xml:space="preserve"> </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656,763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(76,069)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580,694</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6,221,366 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(76,223)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9,978</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8,630,006</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liabilities</w:t>
            </w:r>
            <w:r>
              <w:rPr>
                <w:color w:val="000000"/>
              </w:rPr>
              <w:t xml:space="preserve">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652,874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654,304</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w:t>
            </w:r>
            <w:r>
              <w:rPr>
                <w:color w:val="000000"/>
              </w:rPr>
              <w:t xml:space="preserve"> </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1,018,616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492,919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9,978</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1,521,513</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Ordinary Shares, par value $0.01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Ordinary Shares, par value $0.01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7,177,732 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7,177,732 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Parent investment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(7,749,558)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equity</w:t>
            </w:r>
            <w:r>
              <w:rPr>
                <w:color w:val="000000"/>
              </w:rPr>
              <w:t xml:space="preserve">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(569,142)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7,108,493</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 and equity</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(76,223)</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9,978</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8,630,006</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Pro Forma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46685"/>
                <wp:effectExtent l="0" t="0" r="0" b="0"/>
                <wp:wrapNone/>
                <wp:docPr id="349" name="Frame3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 PRO FORMA COMBINED STATEMENT OF OPERATIONS</w:t>
      </w:r>
    </w:p>
    <w:tbl>
      <w:tblPr>
        <w:tblW w:w="10205" w:type="dxa"/>
        <w:jc w:val="left"/>
        <w:tblInd w:w="0" w:type="dxa"/>
        <w:tblLayout w:type="fixed"/>
        <w:tblCellMar>
          <w:top w:w="28" w:type="dxa"/>
          <w:left w:w="28" w:type="dxa"/>
          <w:bottom w:w="28" w:type="dxa"/>
          <w:right w:w="28" w:type="dxa"/>
        </w:tblCellMar>
      </w:tblPr>
      <w:tblGrid>
        <w:gridCol w:w="698"/>
        <w:gridCol w:w="439"/>
        <w:gridCol w:w="440"/>
        <w:gridCol w:w="211"/>
        <w:gridCol w:w="976"/>
        <w:gridCol w:w="109"/>
        <w:gridCol w:w="109"/>
        <w:gridCol w:w="109"/>
        <w:gridCol w:w="109"/>
        <w:gridCol w:w="234"/>
        <w:gridCol w:w="832"/>
        <w:gridCol w:w="121"/>
        <w:gridCol w:w="121"/>
        <w:gridCol w:w="121"/>
        <w:gridCol w:w="121"/>
        <w:gridCol w:w="109"/>
        <w:gridCol w:w="109"/>
        <w:gridCol w:w="109"/>
        <w:gridCol w:w="228"/>
        <w:gridCol w:w="810"/>
        <w:gridCol w:w="118"/>
        <w:gridCol w:w="118"/>
        <w:gridCol w:w="118"/>
        <w:gridCol w:w="118"/>
        <w:gridCol w:w="109"/>
        <w:gridCol w:w="109"/>
        <w:gridCol w:w="109"/>
        <w:gridCol w:w="253"/>
        <w:gridCol w:w="905"/>
        <w:gridCol w:w="131"/>
        <w:gridCol w:w="109"/>
        <w:gridCol w:w="109"/>
        <w:gridCol w:w="109"/>
        <w:gridCol w:w="211"/>
        <w:gridCol w:w="976"/>
        <w:gridCol w:w="109"/>
        <w:gridCol w:w="109"/>
        <w:gridCol w:w="109"/>
        <w:gridCol w:w="161"/>
      </w:tblGrid>
      <w:tr>
        <w:trPr/>
        <w:tc>
          <w:tcPr>
            <w:tcW w:w="6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 2025</w:t>
              <w:br/>
              <w:t>(in thousands, except per share amounts)</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Autonomous Entity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Transaction Adjustments (Note 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Subscriptions and licenses</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(11,979)</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1,266,573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(8,635)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(37,426)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1,591,837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revenue</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(7,840)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(28,795)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372,174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profit</w:t>
            </w:r>
            <w:r>
              <w:rPr>
                <w:color w:val="000000"/>
              </w:rPr>
              <w:t xml:space="preserv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1,229,740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(8,631)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1,219,663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(h)(i)(j)</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from operations</w:t>
            </w:r>
            <w:r>
              <w:rPr>
                <w:color w:val="000000"/>
              </w:rPr>
              <w:t xml:space="preserv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(19,590)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(3,840)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before income tax</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(25,655)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12,738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(19,643)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(12,037)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15,998</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Pro forma earnings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Pro forma 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w:t>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Pro Forma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46685"/>
                <wp:effectExtent l="0" t="0" r="0" b="0"/>
                <wp:wrapNone/>
                <wp:docPr id="350" name="Frame3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Notes to Unaudited Pro Forma Combined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 Accounting Adjustments</w:t>
      </w:r>
    </w:p>
    <w:p>
      <w:pPr>
        <w:pStyle w:val="TextBody"/>
        <w:bidi w:val="0"/>
        <w:spacing w:lineRule="auto" w:line="288" w:before="0" w:after="180"/>
        <w:jc w:val="both"/>
        <w:rPr/>
      </w:pPr>
      <w:r>
        <w:rPr>
          <w:rFonts w:ascii="Times New Roman;serif" w:hAnsi="Times New Roman;serif"/>
          <w:b w:val="false"/>
          <w:color w:val="000000"/>
          <w:sz w:val="20"/>
        </w:rPr>
        <w:t>(a) This adjustment reflects the estimated incurrence of indebtedness of $525.0 million that is expected to be issued under a term loan (consisting of a U.S. dollar denominated term loan in an amount of up to $350 million and a Euro denominated term loan in an amount of up to €150 million) in connection with the Distribution. This indebtedness is expected to have a term of four (4) years with an estimated weighted average interest rate of approximately 4.5%. Total deferred debt issuance costs associated with such indebtedness are estimated at $1.5 million, which will be amortized to Interest expense over the terms of the respective instruments and are reflected as a reduction to Long-term debt. A combination of proceeds from this debt issuance and Cash and cash equivalents on hand will be used to fund a cash payment from the Octave Business to Hexagon in connection with the Distribution. The actual cash payment amount will be finalized immediately prior to Distribution based upon an assessment of the net debt to adjusted earnings ratio for both Octave and Hexagon whereby the two companies intend to have a similar ratio immediately following the Distribution.</w:t>
      </w:r>
      <w:r>
        <w:rPr>
          <w:color w:val="000000"/>
          <w:shd w:fill="FFFFFF" w:val="clear"/>
        </w:rPr>
        <w:t xml:space="preserve"> </w:t>
      </w:r>
      <w:r>
        <w:rPr>
          <w:rFonts w:ascii="Times New Roman;serif" w:hAnsi="Times New Roman;serif"/>
          <w:b w:val="false"/>
          <w:color w:val="000000"/>
          <w:sz w:val="20"/>
        </w:rPr>
        <w:t>Based upon the foregoing assumptions as of December 31, 2025, this adjustment reflects an estimated cash payment of $598.2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Company expects to enter into a 5-year revolving credit facility with an aggregate committed amount of $500.0 million. However, the facility is not expected to be utilized at the completion of the Distribution. Total deferred debt issuance costs associated with such revolving credit facility are estimated at $1.4 million, which will be amortized to Interest expense over the term of the revolving credit facility and are reflected within Other noncurrent assets. Undrawn funds under this facility incur a commitment fee, which is estimated to be $0.8 million for the year ended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has not yet entered into the credit agreement for the Proposed Facilities outlined above. See “Capitalization,” “Management’s Discussion and Analysis of Financial Condition and Results of Operations Liquidity and Capital Resources” and “Description of Material Indebtedness” for additional details.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following represents adjustments to Long-term debt:</w:t>
      </w:r>
    </w:p>
    <w:tbl>
      <w:tblPr>
        <w:tblW w:w="6074" w:type="dxa"/>
        <w:jc w:val="left"/>
        <w:tblInd w:w="0" w:type="dxa"/>
        <w:tblLayout w:type="fixed"/>
        <w:tblCellMar>
          <w:top w:w="28" w:type="dxa"/>
          <w:left w:w="28" w:type="dxa"/>
          <w:bottom w:w="28" w:type="dxa"/>
          <w:right w:w="28" w:type="dxa"/>
        </w:tblCellMar>
      </w:tblPr>
      <w:tblGrid>
        <w:gridCol w:w="1485"/>
        <w:gridCol w:w="1303"/>
        <w:gridCol w:w="1322"/>
        <w:gridCol w:w="343"/>
        <w:gridCol w:w="1370"/>
        <w:gridCol w:w="251"/>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hanging="360"/>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Issuance of debt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pro forma adjustment to Long-term debt</w:t>
            </w:r>
            <w:r>
              <w:rPr>
                <w:color w:val="000000"/>
              </w:rPr>
              <w:t xml:space="preserve">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523,500</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adjustments to Interest expense: </w:t>
      </w:r>
    </w:p>
    <w:tbl>
      <w:tblPr>
        <w:tblW w:w="6585" w:type="dxa"/>
        <w:jc w:val="left"/>
        <w:tblInd w:w="0" w:type="dxa"/>
        <w:tblLayout w:type="fixed"/>
        <w:tblCellMar>
          <w:top w:w="28" w:type="dxa"/>
          <w:left w:w="28" w:type="dxa"/>
          <w:bottom w:w="28" w:type="dxa"/>
          <w:right w:w="28" w:type="dxa"/>
        </w:tblCellMar>
      </w:tblPr>
      <w:tblGrid>
        <w:gridCol w:w="1499"/>
        <w:gridCol w:w="1318"/>
        <w:gridCol w:w="1323"/>
        <w:gridCol w:w="468"/>
        <w:gridCol w:w="1635"/>
        <w:gridCol w:w="342"/>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Interest expense on total indebtedness</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pro forma adjustment to Interest expense</w:t>
            </w:r>
            <w:r>
              <w:rPr>
                <w:color w:val="000000"/>
              </w:rPr>
              <w:t xml:space="preserve"> </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25,170</w:t>
            </w:r>
            <w:r>
              <w:rPr>
                <w:color w:val="000000"/>
              </w:rPr>
              <w:t>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actual interest rates of indebtedness may change from those estimated above. It is estimated that for every incremental 0.125 percent change (increase or decrease) from those assumed in estimating pro forma Interest expense, pro forma Interest expense could change by approximately $0.7 million per year.</w:t>
      </w:r>
    </w:p>
    <w:p>
      <w:pPr>
        <w:pStyle w:val="TextBody"/>
        <w:bidi w:val="0"/>
        <w:spacing w:before="0" w:after="180"/>
        <w:jc w:val="both"/>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46685"/>
                <wp:effectExtent l="0" t="0" r="0" b="0"/>
                <wp:wrapNone/>
                <wp:docPr id="351" name="Frame3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 xml:space="preserve">(b) This adjustment reflects the deferred income taxes impact of certain tax attributes, including United States and foreign net operating losses, interest limitations, and other tax credits, that will transfer with the Company. Historically, the Combined Balance Sheets excluded certain tax attributes as the Company’s income tax provision was calculated using a separate return method. The separate return method applies Accounting Standards Codification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to the standalone financial statements of each member of the combined group as if the group members were separate taxpayers. As a result, tax attributes included in certain Octave legal entities, which will transfer with the Company, were not presented in the Combined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 This adjustment reflects the reclassification of Hexagon’s net investment in the Company, which was recorded in Net Parent investment, to Class A Ordinary Shares, Class B Ordinary Shares and Additional paid-in capital to reflect the assumed issuance of approximately 11,025,00 Class A Ordinary Shares and 257,412,788 Class B Ordinary Shares, each with a par value of $0.01 per share, pursuant to the Distribution Agreement immediately prior to the Distribution.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number of outstanding shares is based on the number of shares of Hexagon common stock outstanding on December 31, 2025, and a distribution ratio of one (1) Octave Share for every ten (10) Hexagon Shares. The actual number of shares issued will not be known until the record date of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additional paid-in capital adjustments are summarized below:</w:t>
      </w:r>
    </w:p>
    <w:tbl>
      <w:tblPr>
        <w:tblW w:w="6898" w:type="dxa"/>
        <w:jc w:val="left"/>
        <w:tblInd w:w="0" w:type="dxa"/>
        <w:tblLayout w:type="fixed"/>
        <w:tblCellMar>
          <w:top w:w="28" w:type="dxa"/>
          <w:left w:w="28" w:type="dxa"/>
          <w:bottom w:w="28" w:type="dxa"/>
          <w:right w:w="28" w:type="dxa"/>
        </w:tblCellMar>
      </w:tblPr>
      <w:tblGrid>
        <w:gridCol w:w="1782"/>
        <w:gridCol w:w="1571"/>
        <w:gridCol w:w="1581"/>
        <w:gridCol w:w="305"/>
        <w:gridCol w:w="1436"/>
        <w:gridCol w:w="223"/>
      </w:tblGrid>
      <w:tr>
        <w:trPr/>
        <w:tc>
          <w:tcPr>
            <w:tcW w:w="178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ind w:left="0" w:right="0" w:hanging="360"/>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Cash payment to Hexagon </w:t>
            </w:r>
            <w:r>
              <w:rPr>
                <w:rFonts w:ascii="Times New Roman;serif" w:hAnsi="Times New Roman;serif"/>
                <w:b w:val="false"/>
                <w:color w:val="000000"/>
                <w:sz w:val="13"/>
              </w:rPr>
              <w:t>(a)</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(598,169)</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issuance</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Parent investment</w:t>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7,749,558 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shd w:fill="FFFFFF" w:val="clear"/>
              </w:rPr>
              <w:t>Deferred taxes</w:t>
            </w:r>
            <w:r>
              <w:rPr>
                <w:color w:val="000000"/>
                <w:shd w:fill="FFFFFF" w:val="clear"/>
              </w:rPr>
              <w:t xml:space="preserve"> </w:t>
            </w:r>
            <w:r>
              <w:rPr>
                <w:rFonts w:ascii="Times New Roman;serif" w:hAnsi="Times New Roman;serif"/>
                <w:b w:val="false"/>
                <w:color w:val="000000"/>
                <w:sz w:val="13"/>
                <w:shd w:fill="FFFFFF" w:val="clear"/>
              </w:rPr>
              <w:t>(b)</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pro forma adjustment to additional paid-in capital</w:t>
            </w:r>
            <w:r>
              <w:rPr>
                <w:color w:val="000000"/>
              </w:rPr>
              <w:t xml:space="preserve">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7,177,732</w:t>
            </w:r>
            <w:r>
              <w:rPr>
                <w:color w:val="000000"/>
              </w:rPr>
              <w:t>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 This adjustment reflects the Services and other revenue and related Cost of services and other generated by non-core revenue contracts within the Company’s U.S. federal government contracting subsidiary that will be retained by Hexagon following the Distribution, and which were historically included in the Company’s Combined Statement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 This adjustment reflects compensation expense for employees that were historically shared between the Company and other Hexagon businesses and will be transferred to the Company from Hexagon, or from the Company to Hexagon, prior to the Distribution.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 This adjustment reflects the current and deferred income tax impact of the transaction accounting adjustments noted above. This adjustment is primarily calculated by applying the statutory tax rates in the respective jurisdictions to each of the pre-tax transaction accounting adjustments.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 Pro forma basic and diluted earnings per share and pro forma weighted-average basic common shares outstanding reflect the number of Octave Shares expected to be outstanding upon completion of the Distribution. The dilutive effect following the completion of the Distribution is estimated based upon the impact of the Company’s equity-based compensation plans, including both (i) the issuance of Octave Equity Awards in replacement of existing Hexagon Equity Awards and (ii) the assumed grant of restricted stock units and performance stock units under the Octave Intelligence plc Long-Term Incentive Plan included in this Pro Forma Combined Statement of Operations.</w:t>
      </w:r>
    </w:p>
    <w:p>
      <w:pPr>
        <w:pStyle w:val="TextBody"/>
        <w:bidi w:val="0"/>
        <w:spacing w:lineRule="auto" w:line="288" w:before="0" w:after="180"/>
        <w:jc w:val="both"/>
        <w:rPr/>
      </w:pPr>
      <w:r>
        <w:rPr>
          <w:rFonts w:ascii="Times New Roman;serif" w:hAnsi="Times New Roman;serif"/>
          <w:b w:val="false"/>
          <w:color w:val="000000"/>
          <w:sz w:val="20"/>
        </w:rPr>
        <w:t xml:space="preserve">Basic and diluted earnings per share are the same for Class A Ordinary Shares and Class B Ordinary Shares as both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in all respects except for voting rights. </w:t>
      </w:r>
    </w:p>
    <w:p>
      <w:pPr>
        <w:pStyle w:val="TextBody"/>
        <w:bidi w:val="0"/>
        <w:spacing w:before="0" w:after="180"/>
        <w:jc w:val="both"/>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46685"/>
                <wp:effectExtent l="0" t="0" r="0" b="0"/>
                <wp:wrapNone/>
                <wp:docPr id="352" name="Frame3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Autonomous Entity Adjustments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 This adjustment reflects the effect of new lease arrangements with third parties that have been, or will be, entered into prior to the Distribution. This adjustment records the operating lease right-of-use assets and related operating lease liabilities based on the estimated present value of the lease payments over the lease term.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Incremental operating lease expense is estimated to be $3.0 million for the year ended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This adjustment reflects the effect of new compensation agreements for new and existing executives and includes an increase in salary, bonus, and stock-based compensation. Stock-based compensation include restricted stock unit and performance stock unit grants that generally vest over a three year period.</w:t>
      </w:r>
    </w:p>
    <w:p>
      <w:pPr>
        <w:pStyle w:val="TextBody"/>
        <w:bidi w:val="0"/>
        <w:spacing w:lineRule="auto" w:line="288" w:before="0" w:after="180"/>
        <w:jc w:val="both"/>
        <w:rPr/>
      </w:pPr>
      <w:r>
        <w:rPr>
          <w:rFonts w:ascii="Times New Roman;serif" w:hAnsi="Times New Roman;serif"/>
          <w:b w:val="false"/>
          <w:color w:val="000000"/>
          <w:sz w:val="20"/>
        </w:rPr>
        <w:t xml:space="preserve">Incremental operating expense related to salary and bonus is estimated to be $6.0 million for the year ended December 31, 2025. Incremental operating expense related to stock-based compensation is estimated to be </w:t>
      </w:r>
      <w:r>
        <w:rPr>
          <w:rFonts w:ascii="Times New Roman;serif" w:hAnsi="Times New Roman;serif"/>
          <w:b w:val="false"/>
          <w:color w:val="000000"/>
          <w:sz w:val="20"/>
          <w:shd w:fill="FFFFFF" w:val="clear"/>
        </w:rPr>
        <w:t>$9.6 million</w:t>
      </w:r>
      <w:r>
        <w:rPr>
          <w:color w:val="000000"/>
        </w:rPr>
        <w:t xml:space="preserve"> </w:t>
      </w:r>
      <w:r>
        <w:rPr>
          <w:rFonts w:ascii="Times New Roman;serif" w:hAnsi="Times New Roman;serif"/>
          <w:b w:val="false"/>
          <w:color w:val="000000"/>
          <w:sz w:val="20"/>
        </w:rPr>
        <w:t>for the year ended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(j) This adjustment reflects the effects of a Transition Service Agreement the Company intends to enter into with Hexagon in connection with the Distribution whereby Hexagon will continue to provide the Company, and the Company will continue to provide Hexagon, functional support (predominately information technology and other infrastructure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Incremental operating expense is estimated to be $1.0 million for the year ended December 31, 2025. Incremental other income is estimated to be $4.0 million for the year ended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 This adjustment reflects the current and deferred income tax impact of the autonomous entity adjustments noted above. This adjustment is primarily calculated by applying the statutory tax rates in the respective jurisdictions to each of the pre-tax autonomous entity adjustments.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Transaction Adjustments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 This adjustment reflects the removal of the historical operating activities, as well as the loss on divestitures, related to the Company’s sale of certain non-core businesses during the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Management Adjustments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elected to present management adjustments to the Unaudited Pro Forma Combined Financial Statements and have included all adjustments necessary for a fair statement of such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the Company expects to both (i) incur incremental costs (recurring and non-recurring) associated with the stand-up of functions to operate as a standalone public entity and (ii) realize cost savings associated with various headcount-focused restructuring plans and real-estate optimization plans implemented prior to the Distribution in an effort to better align its resources with its business strategy.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standalone public entity, certain incremental costs are expected in addition to those described in the transaction accounting adjustments and autonomous entity adjustments noted above. This includes costs from: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Recurring items required to operate new and expanded functions as a standalone public entity, such as third-party vendor spend in finance, information technology, legal, and marketing as well as internal costs incurred related to increased stock-based compensation;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Non-recurring items associated with the Distribution (including third-party vendor spend in finance, information technology, legal and marketing) and related stand-up of functions to operate as a standalone public entity.</w:t>
      </w:r>
    </w:p>
    <w:p>
      <w:pPr>
        <w:pStyle w:val="TextBody"/>
        <w:bidi w:val="0"/>
        <w:spacing w:before="0" w:after="180"/>
        <w:jc w:val="both"/>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46685"/>
                <wp:effectExtent l="0" t="0" r="0" b="0"/>
                <wp:wrapNone/>
                <wp:docPr id="353" name="Frame3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estimated incremental costs by assessing the resources and associated one-time costs required for each function to stand up and operate Octave as a standalone public entity. This assessment was performed consistently across all functions resulting in certain functions having incremental costs and others having lower costs than the relevant corporate allocations included in the Combined Financial Statements. Most one-time costs are expected to be incurred within a period of 12 months following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additional costs included in these management adjustments have been estimated based on assumptions management believes are reasonable. However, actual additional costs that will be incurred post Distribution could be different from the estimates and would depend on several factors, including the economic environment, results of contractual negotiations with third-party vendors, ability to execute on proposed separation plans, and strategic decisions made in areas such as information technology and infrastructure.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adverse effects and limitations including those discussed in the section of this information statement entitled “Risk Factors” may impact actual costs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in preparation for the spin-off, and in an effort to better align resources with business strategy, the Company initiated headcount-focused restructuring plans and real-estate optimization plans during the year ended December 31, 2025 (as referenced in Note 11 to the Combined Financial Statements). The headcount-focused restructuring plans, which focused on the services, research and development, and sales functions, and the real-estate optimization plans are expected to generate recurring cost savings following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decide to increase or decrease resources or invest more heavily in certain areas of the business in the future, which may result in a different cost structure than that which is estimated within these management adjustments.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Statements constitute forward-looking information and are subject to certain risks and uncertainties that could cause actual results to differ materially from those anticipated. See “Cautionary Statement Concerning Forward-Looking Statements” for additional details.</w:t>
      </w:r>
    </w:p>
    <w:tbl>
      <w:tblPr>
        <w:tblW w:w="6201" w:type="dxa"/>
        <w:jc w:val="left"/>
        <w:tblInd w:w="0" w:type="dxa"/>
        <w:tblLayout w:type="fixed"/>
        <w:tblCellMar>
          <w:top w:w="28" w:type="dxa"/>
          <w:left w:w="28" w:type="dxa"/>
          <w:bottom w:w="28" w:type="dxa"/>
          <w:right w:w="28" w:type="dxa"/>
        </w:tblCellMar>
      </w:tblPr>
      <w:tblGrid>
        <w:gridCol w:w="1810"/>
        <w:gridCol w:w="1590"/>
        <w:gridCol w:w="1595"/>
        <w:gridCol w:w="211"/>
        <w:gridCol w:w="84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 2025</w:t>
              <w:br/>
              <w:t>(in thousands, except per share amounts)</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income</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Pro forma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adjustments: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Synergies: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Non-personnel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Dis-synergies: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Non-personnel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management adjustments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Pro forma after management adjustments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225,597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Pro forma earnings per share:</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Pro forma weighted average common shares outstanding:</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354" name="Frame3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BUSINESS OF OCTAVE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Mission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2025 and 2024, GRR was 97% and GRR for Large Customers was 99%. Further, as of December 31, 2025 and 2024, NRR was 105%. These metrics demonstrate the mission-critical nature of our software and the high degree of loyalty within our customer base. For more information on GRR and NRR, see “Management's Discussion and Analysis of Financial Condition and Results of Operations—Key Business Metrics.” We serve diverse markets, including power generation and utilities, data centers, heavy construction, process industries, public safety, transportation networks, and other environments where reliability, safety, and coordinated operations are essential.</w:t>
      </w:r>
    </w:p>
    <w:p>
      <w:pPr>
        <w:pStyle w:val="TextBody"/>
        <w:bidi w:val="0"/>
        <w:spacing w:before="0" w:after="180"/>
        <w:jc w:val="both"/>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46685"/>
                <wp:effectExtent l="0" t="0" r="0" b="0"/>
                <wp:wrapNone/>
                <wp:docPr id="355" name="Frame3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 of Platform Environments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Octave’s software platform supports collaboration, improves continuity, and helps organizations reduce risk and strengthen the reliability of their systems across the following four core workflow environments: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Design</w:t>
      </w:r>
      <w:r>
        <w:rPr>
          <w:rFonts w:ascii="Times New Roman;serif" w:hAnsi="Times New Roman;serif"/>
          <w:b w:val="false"/>
          <w:color w:val="000000"/>
          <w:sz w:val="20"/>
        </w:rPr>
        <w:t>: Supports 3D modeling, engineering analysis, simulation, and geospatial intelligence. This helps teams create information-rich digital representations that serve as the basis for downstream activities. The Design workflow environment represents approximately 40% of the revenue of the Octave Business for the year ended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Build</w:t>
      </w:r>
      <w:r>
        <w:rPr>
          <w:rFonts w:ascii="Times New Roman;serif" w:hAnsi="Times New Roman;serif"/>
          <w:b w:val="false"/>
          <w:color w:val="000000"/>
          <w:sz w:val="20"/>
        </w:rPr>
        <w:t>: Connects engineering, procurement, fabrication, construction, and commissioning workflows. This helps teams coordinate materials, track progress, manage changes, and improve cost and schedule predictability. The Build workflow environment represents approximately 10% of the revenue of the Octave Business for the year ended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Operate</w:t>
      </w:r>
      <w:r>
        <w:rPr>
          <w:rFonts w:ascii="Times New Roman;serif" w:hAnsi="Times New Roman;serif"/>
          <w:b w:val="false"/>
          <w:color w:val="000000"/>
          <w:sz w:val="20"/>
        </w:rPr>
        <w:t>: Unifies operational data, historical information, maintenance activities, quality systems, and worker tools. This enables real-time insight, predictive intelligence, operational technology cyber security, and improved asset and system performance. The Operate workflow environment represents approximately 30% of the revenue of the Octave Business for the year ended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Protect</w:t>
      </w:r>
      <w:r>
        <w:rPr>
          <w:rFonts w:ascii="Times New Roman;serif" w:hAnsi="Times New Roman;serif"/>
          <w:b w:val="false"/>
          <w:color w:val="000000"/>
          <w:sz w:val="20"/>
        </w:rPr>
        <w:t>: Supports public safety and physical security workflows. This includes incident response, emergency management, situational awareness, digital security, and regulatory compliance. The Protect workflow environment represents approximately 20% of the revenue of the Octave Business for the year ended 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Key Trends Affecting Our Markets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1. AI Is Accelerating Data Proliferation and Infrastructure Modernization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 Rising Global Energy Demand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3. Pent-Up Demand for Infrastructure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pStyle w:val="TextBody"/>
        <w:bidi w:val="0"/>
        <w:spacing w:before="0" w:after="180"/>
        <w:jc w:val="both"/>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356" name="Frame3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4. Early-Stage Digital Transformation Across Industrial and Public Sectors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5. Growth in Data-Driven Decision-Making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6. Increasing Regulatory and Compliance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Market Opportunity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We estimate that this SAM is primarily attributable to our four core workflow environments as set forth below.</w:t>
      </w:r>
    </w:p>
    <w:tbl>
      <w:tblPr>
        <w:tblW w:w="4844" w:type="dxa"/>
        <w:jc w:val="center"/>
        <w:tblInd w:w="0" w:type="dxa"/>
        <w:tblLayout w:type="fixed"/>
        <w:tblCellMar>
          <w:top w:w="28" w:type="dxa"/>
          <w:left w:w="28" w:type="dxa"/>
          <w:bottom w:w="28" w:type="dxa"/>
          <w:right w:w="28" w:type="dxa"/>
        </w:tblCellMar>
      </w:tblPr>
      <w:tblGrid>
        <w:gridCol w:w="196"/>
        <w:gridCol w:w="172"/>
        <w:gridCol w:w="173"/>
        <w:gridCol w:w="354"/>
        <w:gridCol w:w="354"/>
        <w:gridCol w:w="356"/>
        <w:gridCol w:w="353"/>
        <w:gridCol w:w="353"/>
        <w:gridCol w:w="359"/>
        <w:gridCol w:w="354"/>
        <w:gridCol w:w="354"/>
        <w:gridCol w:w="356"/>
        <w:gridCol w:w="325"/>
        <w:gridCol w:w="325"/>
        <w:gridCol w:w="46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Design</w:t>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Operate</w:t>
            </w:r>
          </w:p>
        </w:tc>
        <w:tc>
          <w:tcPr>
            <w:tcW w:w="1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Protect</w:t>
            </w:r>
          </w:p>
        </w:tc>
      </w:tr>
      <w:tr>
        <w:trPr/>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w:t>
            </w:r>
          </w:p>
        </w:tc>
        <w:tc>
          <w:tcPr>
            <w:tcW w:w="1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 billion</w:t>
            </w:r>
          </w:p>
        </w:tc>
        <w:tc>
          <w:tcPr>
            <w:tcW w:w="10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 billion</w:t>
            </w:r>
          </w:p>
        </w:tc>
        <w:tc>
          <w:tcPr>
            <w:tcW w:w="1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 billion</w:t>
            </w:r>
          </w:p>
        </w:tc>
        <w:tc>
          <w:tcPr>
            <w:tcW w:w="11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 billion</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Market growth drivers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Operational complexity and stricter regulations in process and manufacturing industries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Adoption of digital twins, predictive maintenance, and quality systems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Increased productivity and sustainability requirements in construction and infrastructure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Modernization of emergency management and public safety systems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Growing adoption of geospatial intelligence and real-time operational analytics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Octave is positioned to capture this opportunity through our end-to-end coverage, AI-driven automation, data-centric digital twins, and flexible deployment options.</w:t>
      </w:r>
    </w:p>
    <w:p>
      <w:pPr>
        <w:pStyle w:val="TextBody"/>
        <w:bidi w:val="0"/>
        <w:spacing w:before="0" w:after="180"/>
        <w:jc w:val="both"/>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357" name="Frame3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Our Solutions and Software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Design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Key solutions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Intelligent, rule-based 3D modeling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Integrated stress, structural, and performance analysis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Geospatial visualization and spatial analytics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Metadata extraction and contextualization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management and version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establishing a trusted digital baseline, the design environment provides the continuity needed for safe, accurate construction and reliable operations throughout the asset lifecycle. It also establishes the basis for the digital twin.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Build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build environment also helps field teams capture accurate information about materials, inspections, and work completed, ensuring that changes made during construction are recorded and reflected in the digital representation of the system.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Key solutions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Digital field tools for real-time work data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Integrated supply chain coordination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Project performance management connecting planning and execution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and deviation tracking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build environment enables a more reliable handover to operations by capturing information generated during construction, ensuring that what is delivered reflects what was designed.</w:t>
      </w:r>
    </w:p>
    <w:p>
      <w:pPr>
        <w:pStyle w:val="TextBody"/>
        <w:bidi w:val="0"/>
        <w:spacing w:before="0" w:after="180"/>
        <w:jc w:val="both"/>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46685"/>
                <wp:effectExtent l="0" t="0" r="0" b="0"/>
                <wp:wrapNone/>
                <wp:docPr id="358" name="Frame3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Operate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Key solutions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Connected worker capabilities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Performance and quality monitoring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Asset and reliability management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Predictive analytics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Mobile access to asset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combining operational data with design and build context, the operate environment helps organizations reduce downtime, improve product quality, maintain compliance, and enhance safety.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Protect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Key solutions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Computer-aided dispatch and records management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Integrated physical and digital security insights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Threat detection and situational awareness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Compliance and governance for regulated environments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Multi-agency coordination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unifying information across detection, assessment, command, and response, the protect environment helps organizations manage risk and maintain operational continuity.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Industries and Environments We Serve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Organizations use Octave across: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Power generation and utilities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Data centers and information technology infrastructure operators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Heavy construction and public works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Industrial process industries (e.g. oil &amp; gas processing, chemicals &amp; petrochemicals)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Public safety and emergency response agencies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Transportation networks and logistics operations</w:t>
      </w:r>
    </w:p>
    <w:p>
      <w:pPr>
        <w:pStyle w:val="TextBody"/>
        <w:bidi w:val="0"/>
        <w:spacing w:before="0" w:after="180"/>
        <w:jc w:val="both"/>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46685"/>
                <wp:effectExtent l="0" t="0" r="0" b="0"/>
                <wp:wrapNone/>
                <wp:docPr id="359" name="Frame3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Light process industries (e.g. pharmaceuticals &amp; life sciences, pulp &amp; paper manufacturing, food &amp; beverage manufacturing)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Discrete manufacturing (e.g. automotive, aerospace &amp; defense, electronics)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Key Strengths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differentiates itself through: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1. End-to-End Coverage Across All Workflow Environments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 Real-Time Data and Dynamic Digital Models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3. AI-Driven Automation and Context-Aware Intelligence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pStyle w:val="TextBody"/>
        <w:bidi w:val="0"/>
        <w:spacing w:before="0" w:after="180"/>
        <w:jc w:val="both"/>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46685"/>
                <wp:effectExtent l="0" t="0" r="0" b="0"/>
                <wp:wrapNone/>
                <wp:docPr id="360" name="Frame3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4. Seamless Integration and Configurability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5. Deep Industry and Domain Expertise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6. Governance, Auditability, and Compliance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noBreakHyphen/>
        <w:t xml:space="preserve">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7. Flexible Deployment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8. Lower Total Cost of Ownership Through Unified Workflows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Organizations across the industries we serve use our software to support the environments in which they design, build, operate, and protect their assets. Our customers span industries including power generation and utilities, data centers, heavy construction, process industries, public safety, transportation networks, and other environments that depend on clear information, coordinated workflows, and reliable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served 4,464 customers in over 140 countries, including 421 customers with annual recurring revenue of $500,000 or more. In 2025, we served over 60% of Global Fortune 500 companies, and no single customer represented more than 2% of total revenue.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Go-to-Market Strategy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go-to-market strategy combines direct and indirect channels to serve a broad mix of enterprise, government, and mid-market customers. Our direct sales teams focus on large organizations with complex operational, regulatory, or security requirements. These teams work closely with customers to understand their environments, support multi-stakeholder buying processes, and expand platform usage over time.</w:t>
      </w:r>
    </w:p>
    <w:p>
      <w:pPr>
        <w:pStyle w:val="TextBody"/>
        <w:bidi w:val="0"/>
        <w:spacing w:before="0" w:after="180"/>
        <w:jc w:val="both"/>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361" name="Frame3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indirect channels of more than 1,500 resellers, referral partners, and technology alliances extend our reach to additional industries, geographies, and fragmented customer groups. These partners provide localized expertise, complementary services, and support for customers with regional or specialized needs.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customer success, professional services, and managed services teams help customers implement our software, integrate it with existing systems, and adopt new capabilities. These teams support the full customer lifecycle and help drive subscription growth by expanding usage across the workflow environments where customers design, build, operate, and protect their assets, people, and critical infrastructure.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Growth Strategy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growth strategy focuses on expanding adoption of our platform, increasing usage within existing customers, and continuing to advance the capabilities of our software across the environments where organizations design, build, operate, and protect their assets, people, and critical infrastructure.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1. Acquire New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see significant opportunity to reach new customers that are modernizing operational systems. These organizations increasingly seek software that provides clearer context, improves coordination, and mitigates risk across complex environments.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 Expand Within Existing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Octave customers begin by using our software in a single environment. As their workflows become more connected, customers often expand adoption into adjacent environments and increase usage. This creates opportunities for both up-sell and cross-sell as additional workflows and capabilities are added over time. Because the assets and infrastructure we support typically operate for decades, our software becomes embedded in daily operations, supporting long-term recurring relationships with opportunities for renewal and expansion. This land-and-expand model often leads to broader usage over time and contributes to durable, multi-year revenue streams.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3. Grow Subscription and SaaS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accelerating our transition to a recurring revenue model by expanding subscription and SaaS offerings, including cloud-native capabilities that enable faster deployment, continuous updates, and more predictable customer engagement. This shift not only increases the proportion of recurring revenue but also creates opportunities for pricing optimization and value-based packaging, which we believe will expand our overall revenue opportunity as customers adopt higher-value solutions.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4. Advance Platform Capabilities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continue to invest in AI-driven insights, predictive modeling, dynamic digital models, and enhanced integration across design, build, operate, and protect environments. These capabilities strengthen our platform, and also enable us to deliver higher-value solutions that support premium pricing, expand cross-sell opportunities, and increase customer lifetime value as organizations seek advanced tools to optimize performance and mitigate risk.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5. Strengthen Partnerships and Integrations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expanding our ecosystem of technology alliances, including public cloud marketplaces, systems integrators, resellers, VARs, and technology partners, as well as deepening integrations with complementary systems. These partnerships help customers connect Octave with existing enterprise tools and accelerate time-to-value, and create opportunities for incremental revenue through joint solutions, co-selling, and expanded distribution channels.</w:t>
      </w:r>
    </w:p>
    <w:p>
      <w:pPr>
        <w:pStyle w:val="TextBody"/>
        <w:bidi w:val="0"/>
        <w:spacing w:before="0" w:after="180"/>
        <w:jc w:val="both"/>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46685"/>
                <wp:effectExtent l="0" t="0" r="0" b="0"/>
                <wp:wrapNone/>
                <wp:docPr id="362" name="Frame3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6. Scale Global Reach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expanding our presence in regions with strong investment in infrastructure, manufacturing, and public safety, including Europe, the Middle East, India, Africa (EMIA), Asia-Pacific, and Latin America. Localized offerings and regional partners help us grow in markets with diverse operational and regulatory requirements.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7. Pursue Selective Acquisitions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pursue disciplined acquisitions that enhance our platform, add complementary capabilities, or expand our reach into new markets. These opportunities enable us to accelerate innovation and address additional customer needs.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markets in which we operate are competitive and include established public companies, privately held vendors, regional specialists, and internally developed systems created by customers. Competitors vary by work environment and typically offer solutions that overlap only with certain portions of our platform.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Competitors in the Design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design and engineering, we compete with providers of CAD, 3D modeling, engineering analysis, and geospatial tools,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Autodesk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Bentley Systems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AVEVA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Esri</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Competitors in the Build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construction, supply chain, project planning, and commissioning workflows, competitors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Autodesk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AVEVA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Bentley Systems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Procore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Competitors in the Operate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asset management, operations management, quality systems, and maintenance workflows, competitors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AVEVA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Bentley Systems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IBM Maximo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IFS</w:t>
      </w:r>
    </w:p>
    <w:p>
      <w:pPr>
        <w:pStyle w:val="TextBody"/>
        <w:bidi w:val="0"/>
        <w:spacing w:before="0" w:after="180"/>
        <w:jc w:val="both"/>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363" name="Frame3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Competitors in the Protect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public safety, computer-aided dispatch, records management, and physical security, competitors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CentralSquare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Motorola Solutions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Tyler Technologies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Key Competitive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Across our markets, customers evaluate software platforms based 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Breadth and depth of product functionality, including support for multi-domain and cross-functional workflows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Interoperability and integration with enterprise systems and third-party platforms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Scalability, performance, and reliability in mission-critical environments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Domain expertise and alignment with industry-specific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Deployment flexibility, including cloud, on-premises, and hybrid models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Pace of innovation and responsiveness to emerging technologies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Ease of use, implementation speed, and time-to-value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Reputation, trust, and demonstrated customer outcomes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Total cost of ownership and licensing flexibility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Effectiveness of go-to-market strategy, including channel partnerships and customer success capabilities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Competitive Positioning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our ability to deliver contextual intelligence across design, build, operate, and protect environments, combined with integration capabilities, deployment flexibility, and deep domain expertise, positions us competitively. However, our markets are dynamic and continue to evolve as technology advances and customer needs change.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in a single business segment developing enterprise software used in design, construction, operations, and security.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Commercial Models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offerings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Subscription licenses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SaaS-based subscriptions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Support subscriptions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Perpetual licenses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Professional services </w:t>
      </w:r>
    </w:p>
    <w:p>
      <w:pPr>
        <w:pStyle w:val="TextBody"/>
        <w:bidi w:val="0"/>
        <w:spacing w:before="0" w:after="180"/>
        <w:jc w:val="both"/>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364" name="Frame3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continue to increase the proportion of recurring revenue through expanded subscription and SaaS offerings.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was established as a shelf company on July 5, 2017 as a private company limited by shares and was recently de-shelved, re-named and re-registered as a public limited company to hold the assets and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in connection with the Distribution described in this information statement.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24, 2025, Hexagon acquired all outstanding ordinary shares of Octave from nominees of a corporate service provider. Octave has not engaged in any business operations to date and at December 31, 2025 it had no assets or liabilities other than those incidental to its 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contribution of the Octave Business by Hexagon to Octave is expected to occur over a period of time prior to the Distribution, and Octave will have limited operations prior to such contribution. At the time of the Distribution, the address of Octave’s principal executive offices will be 305 Intergraph Way, Madison, Alabama 35758, United States. Octave’s telephone number will be (256) 730-2000. Octave maintains a website at www.octave.com.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Information found on, or accessible through, Octave’s website is not incorporated into, and does not form a part of, this information statement.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7,200 employees in over 45 countries. We have approximately 2,200 employees in the United States and approximately 1,800 employees in India, our next largest geography.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human capital strategy prioritizes talent acquisition, retention, learning and development, and amplifying the voice of the employee to foster a positive and respectful workplace culture. We continuously track the success of our people strategy through well-defined key performance indicators, ensuring alignment with our organizational goals and employee needs.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Attracting &amp; Retaining Talent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attract, develop, and retain top talent through the following focus areas: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Encouraging Flexibility</w:t>
      </w:r>
      <w:r>
        <w:rPr>
          <w:rFonts w:ascii="Times New Roman;serif" w:hAnsi="Times New Roman;serif"/>
          <w:b w:val="false"/>
          <w:color w:val="000000"/>
          <w:sz w:val="20"/>
        </w:rPr>
        <w:t xml:space="preserve">: Our flexible policy enables hybrid and remote work tailored by geography and business needs. We support employee well-being through a comprehensive set of global and regional benefits, including parental leave, study support, and flexible working arrangements.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Promoting Inclusivity</w:t>
      </w:r>
      <w:r>
        <w:rPr>
          <w:rFonts w:ascii="Times New Roman;serif" w:hAnsi="Times New Roman;serif"/>
          <w:b w:val="false"/>
          <w:color w:val="000000"/>
          <w:sz w:val="20"/>
        </w:rPr>
        <w:t>: Our leaders are expected to foster psychological safety, encourage diverse perspectives, and model inclusive and respectful behaviors in daily decision-making.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Targeting competitive compensation</w:t>
      </w:r>
      <w:r>
        <w:rPr>
          <w:rFonts w:ascii="Times New Roman;serif" w:hAnsi="Times New Roman;serif"/>
          <w:b w:val="false"/>
          <w:color w:val="000000"/>
          <w:sz w:val="20"/>
        </w:rPr>
        <w:t>: To continue our talent-based competitive advantage, we aim to ensure that our employees are appropriately remunerated and rewarded. Employee salaries are reviewed annually. To support our policy of paying competitive market salaries, each employee is benchmarked according to their specific role, years of experience, as well as performance, market, and responsibilities.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Continuing learning and development</w:t>
      </w:r>
      <w:r>
        <w:rPr>
          <w:rFonts w:ascii="Times New Roman;serif" w:hAnsi="Times New Roman;serif"/>
          <w:b w:val="false"/>
          <w:color w:val="000000"/>
          <w:sz w:val="20"/>
        </w:rPr>
        <w:t>: We continue to invest in training and development opportunities and systems to enable our people to continue growing and progressing in their career aspirations.</w:t>
      </w:r>
    </w:p>
    <w:p>
      <w:pPr>
        <w:pStyle w:val="TextBody"/>
        <w:bidi w:val="0"/>
        <w:spacing w:before="0" w:after="180"/>
        <w:jc w:val="both"/>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365" name="Frame3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Research, Development, and Intellectual Property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support our research and development efforts, Octave maintains significant development engineering centers in the United States, India, Switzerland, the United Kingdom, Germany and Israel to develop our software platform and provide customers with localized support. Octave has intellectual property holdings in several jurisdictions, with major holdings being in the United States, Belgium, Switzerland, and Germany.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Distribution, Octave will be responsible for its own research and development efforts. Octave employees who have been engaged in research and development attributable to Octave will generally become employees of Octave. We anticipate employing approximately 2,300 research and development personnel around the world, including data scientists, developers and engineers. For the years ended December 31, 2025, 2024 and 2023, our total research and development expenses were approximately $182.9 million, $157.4 million, and $145.8 million, respectively. We intend to continue to invest in our portfolio of software solutions and allocate capital and resources to our growth opportunities.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as part of the Distribution, Octave will take possession of over 450 patents and patent applications currently held by Hexagon. More than 300 of these patents have been granted, while approximately 150 of these patent applications remain in the pending or published stages. The patent portfolio includes holdings in the US, Europe (as European patents), China, Japan, Korea, Australia, and Canada, with the majority of patents and patent filings in the United States and European Union. The portfolio is predominantly focused on technologies in software and computer-implemented arts, particularly within the fields of public safety and emergency dispatch systems, geospatial and mapping technologies, user interface, user experience and data visualization, and database and document management systems. The age of the portfolio is balanced with an estimated average remaining life of 12 years (expiring 2037) across the portfolio. While no individual patent or group of patents, taken alone, is considered material to our business, in the aggregate, these patents and rights provide meaningful protection for our products, technologies, and technical innovations.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Regulatory Matters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a number of foreign and domestic laws and regulations that affect companies providing software for asset-intensive industries and public sector clients. These regulations include, among others, laws and regulations governing privacy and data protection, data storage, retention and security, taxation, intellectual property, and, more recently, the use of AI. Given our international operations and the capabilities of certain software suites, we are also subject to certain U.S. and international laws and regulations related to anti-corruption, anti-money laundering, export control and sanctions.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as we are a U.S. government contractor, we are subject to a distinct and complex set of regulatory and compliance obligations, including laws related to administration of government contracts; procurement regulations; the security and control of information and information systems; cost accounting rules; labor requirements and employment eligibility verification; supply chain restrictions; export controls and the use and dissemination of information classified for national security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are not the only regulations that our business must comply with and we are subject to a continuously evolving regulatory landscape. For a description of the risks related to the regulations that our business is subject to, please refer to the section entitled “Risk Factors” in this information statement.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and financial results fluctuate from quarter to quarter, largely driven by general economic conditions in the markets in which we operate. Sales in the fourth quarter have traditionally been higher than in other quarters due to typical customer buying behavior driven by budgeting and sales cycle account planning, which normally coincides with calendar year planning.</w:t>
      </w:r>
    </w:p>
    <w:p>
      <w:pPr>
        <w:pStyle w:val="TextBody"/>
        <w:bidi w:val="0"/>
        <w:spacing w:before="0" w:after="180"/>
        <w:jc w:val="both"/>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46685"/>
                <wp:effectExtent l="0" t="0" r="0" b="0"/>
                <wp:wrapNone/>
                <wp:docPr id="366" name="Frame3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Properties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Octave’s office facility structure is predominantly leased facilities with our larger leased sites for our operations including properties located in: Hyderabad, India; Munich, Germany; Houston, United States; and Nesher, Israel. Octave also owns or holds long-term leases on additional facilities located in Huntsville, Alabama; Cobham, United Kingdom; Swindon, United Kingdom; and Runcorn, United Kingdom.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our existing facilities and equipment are in good operating condition and are suitable for the conduct of our business. We continuously assess and optimize our leasing footprint to optimize for business needs.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not a party to any material legal proceedings at this time. From time to time, we may be subject to various legal proceedings and claims, which may have a material adverse effect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46685"/>
                <wp:effectExtent l="0" t="0" r="0" b="0"/>
                <wp:wrapNone/>
                <wp:docPr id="367" name="Frame3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section should be read in conjunction with the audited Combined Financial Statements and accompanying Notes included elsewhere in this information statement, as well as the information contained in the sections of this information statement titled “Unaudited Pro Forma Combined Financial Information” and “Business of Octave.” This section contains forward-looking statements. See the sections of this information statement titled “Cautionary Statement Concerning Forward-Looking Statements” and “Risk Factors” for a discussion of the uncertainties, risks and assumptions associated with these forward-looking statements that could cause future results to differ materially from those reflected in this section. The financial information discussed below and included in this information statement may not necessarily reflect what our financial condition, results of operations or cash flows would have been had we been a standalone company during the periods presented or what our financial condition, results of operations and cash flows may be in the future.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Spin-off from Hexagon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The Distribution is expected to be completed through a tax-free, from both a U.S federal income and Swedish tax perspective, pro rata distribution of all the outstanding share capital of Octave to Hexagon shareholders via a Lex-ASEA distribution.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Relationship with Hexagon</w:t>
      </w:r>
    </w:p>
    <w:p>
      <w:pPr>
        <w:pStyle w:val="TextBody"/>
        <w:bidi w:val="0"/>
        <w:spacing w:lineRule="auto" w:line="288" w:before="0" w:after="180"/>
        <w:jc w:val="both"/>
        <w:rPr/>
      </w:pPr>
      <w:r>
        <w:rPr>
          <w:rFonts w:ascii="Times New Roman;serif" w:hAnsi="Times New Roman;serif"/>
          <w:b w:val="false"/>
          <w:color w:val="000000"/>
          <w:sz w:val="20"/>
        </w:rPr>
        <w:t xml:space="preserve">The Combined Financial Statements included in this information statement are derived from Hexagon’s historical accounting records and presented on a standalone basis as if the Octave operations had been conducted independently from Hexagon. The Combined Financial Statements are prepared in accordance with </w:t>
      </w:r>
      <w:r>
        <w:rPr>
          <w:rFonts w:ascii="Times New Roman;serif" w:hAnsi="Times New Roman;serif"/>
          <w:b w:val="false"/>
          <w:color w:val="000000"/>
          <w:sz w:val="20"/>
          <w:shd w:fill="FFFFFF" w:val="clear"/>
        </w:rPr>
        <w:t xml:space="preserve">U.S. </w:t>
      </w:r>
      <w:r>
        <w:rPr>
          <w:rFonts w:ascii="Times New Roman;serif" w:hAnsi="Times New Roman;serif"/>
          <w:b w:val="false"/>
          <w:color w:val="000000"/>
          <w:sz w:val="20"/>
        </w:rPr>
        <w:t xml:space="preserve">GAAP and Hexagon’s historical accounting policies, by aggregating financial information from the components of Octave’s and Hexagon’s accounting records directly attributable to Octave. The Combined Financial Statements include all revenues and costs directly attributable to the Octave Business. Historically, Hexagon provided certain corporate functions to Octave and costs associated with these functions were allocated to Octave.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Octave based on direct usage when identifiable, with the remainder allocated on a pro rata basis of revenue of Octave and Hexagon. Octave and Hexagon believe the basis on which these expenses have been allocated are a reasonable reflection of the utilization of services provided to, or the benefit received by, Octave during the periods presented; however, they may not be indicative of the actual expense that would have been incurred had Octave been operating as a standalone company for the periods presented. </w:t>
      </w:r>
    </w:p>
    <w:p>
      <w:pPr>
        <w:pStyle w:val="TextBody"/>
        <w:bidi w:val="0"/>
        <w:spacing w:before="0" w:after="180"/>
        <w:jc w:val="both"/>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368" name="Frame3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Actual costs that may have been incurred if Octave had been a standalone company would depend on a number of factors, including the organizational structure, pricing power, whether functions were outsourced or performed by employees, and strategic decisions made in areas such as information technology and corporate infrastructure.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we intend to enter into the Distribution Agreement and certain other agreements with Hexagon, including a Transition Services Agreement, a Tax Disaffiliation Agreement and an Employee Matters Agreement, as described in the section titled “Certain Relationships and Related Party Transactions—Relationship Between Hexagon and Octave After the Distribution.” We generally expect to be able to utilize Hexagon’s services for a transitional period following the Distribution before we replace these services over time with services supplied either internally or by third parties. The expenses for the services may vary from the historical costs directly billed and allocated to us for the same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incur certain costs in connection with our establishment as a standalone public entity (the “Separation-Related Costs”). The Separation-Related Costs include non-recurring expenses associated with the separation and stand-up of functions required to operate as a standalone public entity. These non-recurring costs relate primarily to applicable employee related costs, system separation and implementation costs, business and facilities separation, development of our brand and other matters. The Separation-Related Costs are expected to continue through at least fiscal year 2027. Additionally, we will incur increased costs as a result of becoming an independent, publicly-traded company, primarily from establishing or expanding the corporate support for our businesses, including information technology, human resources, treasury, tax, internal audit, risk management, equity-based compensation programs, accounting and financial reporting, investor relations, governance, legal, procurement and other services. See “Unaudited Pro Forma Combined Financial Information” for additional details.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about the Distribution, see “The Separation and the Distribution” and “Certain Relationships and Related Party Transactions—Relationship Between Hexagon and Octave After the Distribution.”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KEY DRIVERS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Impact of Foreign Currency Exchange on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operations are internationally diversified, and our results of operations have been, and we expect in the future will be, affected by changes in foreign currency exchange rates. For the years ended December 31, 2025, 2024, and 2023, approximately 52%, 49%, and 47%, respectively, of our total revenues and 37%, 37%, and 35%, respectively, of our total operating expenses were denominated in a currency other than the U.S. dollar. Our most significant currencies outside of the U.S. dollar are denominated in euro, Canadian dollar, Chinese renminbi, Indian rupee, British pound and Australian dollar. Other than the natural hedge attributable to matching revenue and expenses in the same currencies, we did not hedge foreign currency exposure in these historical periods.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identify the effects of foreign currency on our operations and present constant currency information because we believe exchange rates are an important factor in understanding period-over-period comparisons and enhance the understanding of our results and evaluations of our performance. Refer to the “Non-GAAP Financial Measures” section for additional information, including our definition and our use of constant currency.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generate revenue through subscriptions, perpetual licenses, professional services and other offerings. Our revenue base is well-diversified across account types, industries, and geographic regions. Excluding the impact of acquisitions, our primary sources of revenue growth come from increased subscriptions revenue within our long-standing client base, particularly through expanded usage of existing solutions, as well as adoption of new product offerings by those clients and subscriptions from new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anticipate subscriptions will continue to represent a significant majority of new arrangements, including customers migrating from existing license arrangements to subscription services, in future periods. Due to the ratable recognition of subscriptions revenue, growth in subscriptions revenue will lag behind the growth of subscription orders and will impact the comparative growth of our reported revenue on a year-over-year basis.</w:t>
      </w:r>
    </w:p>
    <w:p>
      <w:pPr>
        <w:pStyle w:val="TextBody"/>
        <w:bidi w:val="0"/>
        <w:spacing w:before="0" w:after="180"/>
        <w:jc w:val="both"/>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369" name="Frame3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years ended December 31, 2025, 2024, and 2023: </w:t>
      </w:r>
    </w:p>
    <w:tbl>
      <w:tblPr>
        <w:tblW w:w="7556" w:type="dxa"/>
        <w:jc w:val="left"/>
        <w:tblInd w:w="0" w:type="dxa"/>
        <w:tblLayout w:type="fixed"/>
        <w:tblCellMar>
          <w:top w:w="28" w:type="dxa"/>
          <w:left w:w="28" w:type="dxa"/>
          <w:bottom w:w="28" w:type="dxa"/>
          <w:right w:w="28" w:type="dxa"/>
        </w:tblCellMar>
      </w:tblPr>
      <w:tblGrid>
        <w:gridCol w:w="1172"/>
        <w:gridCol w:w="1027"/>
        <w:gridCol w:w="1040"/>
        <w:gridCol w:w="211"/>
        <w:gridCol w:w="976"/>
        <w:gridCol w:w="109"/>
        <w:gridCol w:w="109"/>
        <w:gridCol w:w="109"/>
        <w:gridCol w:w="109"/>
        <w:gridCol w:w="211"/>
        <w:gridCol w:w="841"/>
        <w:gridCol w:w="109"/>
        <w:gridCol w:w="109"/>
        <w:gridCol w:w="109"/>
        <w:gridCol w:w="109"/>
        <w:gridCol w:w="211"/>
        <w:gridCol w:w="84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Subscriptions</w:t>
            </w:r>
            <w:r>
              <w:rPr>
                <w:color w:val="000000"/>
              </w:rPr>
              <w:t xml:space="preserve"> </w:t>
            </w:r>
            <w:r>
              <w:rPr>
                <w:rFonts w:ascii="Times New Roman;serif" w:hAnsi="Times New Roman;serif"/>
                <w:b/>
                <w:color w:val="000000"/>
                <w:sz w:val="20"/>
              </w:rPr>
              <w:t>and</w:t>
            </w:r>
            <w:r>
              <w:rPr>
                <w:color w:val="000000"/>
              </w:rPr>
              <w:t xml:space="preserve"> </w:t>
            </w:r>
            <w:r>
              <w:rPr>
                <w:rFonts w:ascii="Times New Roman;serif" w:hAnsi="Times New Roman;serif"/>
                <w:b/>
                <w:color w:val="000000"/>
                <w:sz w:val="20"/>
              </w:rPr>
              <w:t>licenses</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1,208,669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Services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r>
              <w:rPr>
                <w:rFonts w:ascii="Times New Roman;serif" w:hAnsi="Times New Roman;serif"/>
                <w:b/>
                <w:color w:val="000000"/>
                <w:sz w:val="20"/>
              </w:rPr>
              <w:t>revenue</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subscriptions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services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r>
              <w:rPr>
                <w:rFonts w:ascii="Times New Roman;serif" w:hAnsi="Times New Roman;serif"/>
                <w:b/>
                <w:color w:val="000000"/>
                <w:sz w:val="20"/>
              </w:rPr>
              <w:t>cost</w:t>
            </w:r>
            <w:r>
              <w:rPr>
                <w:color w:val="000000"/>
              </w:rPr>
              <w:t xml:space="preserve"> </w:t>
            </w: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revenue</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450,990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w:t>
            </w:r>
            <w:r>
              <w:rPr>
                <w:color w:val="000000"/>
              </w:rPr>
              <w:t xml:space="preserve"> </w:t>
            </w:r>
            <w:r>
              <w:rPr>
                <w:rFonts w:ascii="Times New Roman;serif" w:hAnsi="Times New Roman;serif"/>
                <w:b/>
                <w:color w:val="000000"/>
                <w:sz w:val="20"/>
              </w:rPr>
              <w:t>profit</w:t>
            </w:r>
            <w:r>
              <w:rPr>
                <w:color w:val="000000"/>
              </w:rPr>
              <w:t xml:space="preserv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1,229,740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1,182,177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1,101,500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Research</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Sales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General</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Amortization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intangible</w:t>
            </w:r>
            <w:r>
              <w:rPr>
                <w:color w:val="000000"/>
              </w:rPr>
              <w:t xml:space="preserve"> </w:t>
            </w:r>
            <w:r>
              <w:rPr>
                <w:rFonts w:ascii="Times New Roman;serif" w:hAnsi="Times New Roman;serif"/>
                <w:b w:val="false"/>
                <w:color w:val="000000"/>
                <w:sz w:val="20"/>
              </w:rPr>
              <w:t>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operating (income)</w:t>
            </w:r>
            <w:r>
              <w:rPr>
                <w:color w:val="000000"/>
              </w:rPr>
              <w:t xml:space="preserve"> </w:t>
            </w:r>
            <w:r>
              <w:rPr>
                <w:rFonts w:ascii="Times New Roman;serif" w:hAnsi="Times New Roman;serif"/>
                <w:b w:val="false"/>
                <w:color w:val="000000"/>
                <w:sz w:val="20"/>
              </w:rPr>
              <w:t>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w:t>
            </w:r>
            <w:r>
              <w:rPr>
                <w:color w:val="000000"/>
              </w:rPr>
              <w:t xml:space="preserve"> </w:t>
            </w:r>
            <w:r>
              <w:rPr>
                <w:rFonts w:ascii="Times New Roman;serif" w:hAnsi="Times New Roman;serif"/>
                <w:b/>
                <w:color w:val="000000"/>
                <w:sz w:val="20"/>
              </w:rPr>
              <w:t>from</w:t>
            </w:r>
            <w:r>
              <w:rPr>
                <w:color w:val="000000"/>
              </w:rPr>
              <w:t xml:space="preserve"> </w:t>
            </w:r>
            <w:r>
              <w:rPr>
                <w:rFonts w:ascii="Times New Roman;serif" w:hAnsi="Times New Roman;serif"/>
                <w:b/>
                <w:color w:val="000000"/>
                <w:sz w:val="20"/>
              </w:rPr>
              <w:t>operations</w:t>
            </w:r>
            <w:r>
              <w:rPr>
                <w:color w:val="000000"/>
              </w:rPr>
              <w:t xml:space="preserv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324,035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(expense) income,</w:t>
            </w:r>
            <w:r>
              <w:rPr>
                <w:color w:val="000000"/>
              </w:rPr>
              <w:t xml:space="preserve"> </w:t>
            </w:r>
            <w:r>
              <w:rPr>
                <w:rFonts w:ascii="Times New Roman;serif" w:hAnsi="Times New Roman;serif"/>
                <w:b w:val="false"/>
                <w:color w:val="000000"/>
                <w:sz w:val="20"/>
              </w:rPr>
              <w:t>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w:t>
            </w:r>
            <w:r>
              <w:rPr>
                <w:color w:val="000000"/>
              </w:rPr>
              <w:t xml:space="preserve"> </w:t>
            </w:r>
            <w:r>
              <w:rPr>
                <w:rFonts w:ascii="Times New Roman;serif" w:hAnsi="Times New Roman;serif"/>
                <w:b/>
                <w:color w:val="000000"/>
                <w:sz w:val="20"/>
              </w:rPr>
              <w:t>before</w:t>
            </w:r>
            <w:r>
              <w:rPr>
                <w:color w:val="000000"/>
              </w:rPr>
              <w:t xml:space="preserve"> </w:t>
            </w:r>
            <w:r>
              <w:rPr>
                <w:rFonts w:ascii="Times New Roman;serif" w:hAnsi="Times New Roman;serif"/>
                <w:b/>
                <w:color w:val="000000"/>
                <w:sz w:val="20"/>
              </w:rPr>
              <w:t>income</w:t>
            </w:r>
            <w:r>
              <w:rPr>
                <w:color w:val="000000"/>
              </w:rPr>
              <w:t xml:space="preserve"> </w:t>
            </w:r>
            <w:r>
              <w:rPr>
                <w:rFonts w:ascii="Times New Roman;serif" w:hAnsi="Times New Roman;serif"/>
                <w:b/>
                <w:color w:val="000000"/>
                <w:sz w:val="20"/>
              </w:rPr>
              <w:t>tax</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324,256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Provision</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income</w:t>
            </w:r>
            <w:r>
              <w:rPr>
                <w:color w:val="000000"/>
              </w:rPr>
              <w:t xml:space="preserve"> </w:t>
            </w:r>
            <w:r>
              <w:rPr>
                <w:rFonts w:ascii="Times New Roman;serif" w:hAnsi="Times New Roman;serif"/>
                <w:b w:val="false"/>
                <w:color w:val="000000"/>
                <w:sz w:val="20"/>
              </w:rPr>
              <w:t>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w:t>
            </w:r>
            <w:r>
              <w:rPr>
                <w:color w:val="000000"/>
              </w:rPr>
              <w:t xml:space="preserve"> </w:t>
            </w:r>
            <w:r>
              <w:rPr>
                <w:rFonts w:ascii="Times New Roman;serif" w:hAnsi="Times New Roman;serif"/>
                <w:b/>
                <w:color w:val="000000"/>
                <w:sz w:val="20"/>
              </w:rPr>
              <w:t>income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311,207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245,653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 in revenue from prior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factors contributing to year-over-year changes in our revenue for the year ended December 31, 2025 compared with the year ended December 31, 2024, and for the year ended December 31, 2024 compared with the year ended December 31, 2023:</w:t>
      </w:r>
    </w:p>
    <w:tbl>
      <w:tblPr>
        <w:tblW w:w="5481" w:type="dxa"/>
        <w:jc w:val="left"/>
        <w:tblInd w:w="0" w:type="dxa"/>
        <w:tblLayout w:type="fixed"/>
        <w:tblCellMar>
          <w:top w:w="28" w:type="dxa"/>
          <w:left w:w="28" w:type="dxa"/>
          <w:bottom w:w="28" w:type="dxa"/>
          <w:right w:w="28" w:type="dxa"/>
        </w:tblCellMar>
      </w:tblPr>
      <w:tblGrid>
        <w:gridCol w:w="1026"/>
        <w:gridCol w:w="903"/>
        <w:gridCol w:w="906"/>
        <w:gridCol w:w="223"/>
        <w:gridCol w:w="223"/>
        <w:gridCol w:w="619"/>
        <w:gridCol w:w="157"/>
        <w:gridCol w:w="157"/>
        <w:gridCol w:w="157"/>
        <w:gridCol w:w="214"/>
        <w:gridCol w:w="214"/>
        <w:gridCol w:w="682"/>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to 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w:t>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change in revenue</w:t>
            </w:r>
            <w:r>
              <w:rPr>
                <w:color w:val="000000"/>
              </w:rPr>
              <w:t xml:space="preserve"> </w:t>
            </w:r>
          </w:p>
        </w:tc>
        <w:tc>
          <w:tcPr>
            <w:tcW w:w="4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370" name="Frame3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discussed below, the following is supplemental data of our revenue:</w:t>
      </w:r>
    </w:p>
    <w:tbl>
      <w:tblPr>
        <w:tblW w:w="5609" w:type="dxa"/>
        <w:jc w:val="left"/>
        <w:tblInd w:w="0" w:type="dxa"/>
        <w:tblLayout w:type="fixed"/>
        <w:tblCellMar>
          <w:top w:w="28" w:type="dxa"/>
          <w:left w:w="28" w:type="dxa"/>
          <w:bottom w:w="28" w:type="dxa"/>
          <w:right w:w="28" w:type="dxa"/>
        </w:tblCellMar>
      </w:tblPr>
      <w:tblGrid>
        <w:gridCol w:w="927"/>
        <w:gridCol w:w="815"/>
        <w:gridCol w:w="822"/>
        <w:gridCol w:w="239"/>
        <w:gridCol w:w="242"/>
        <w:gridCol w:w="301"/>
        <w:gridCol w:w="109"/>
        <w:gridCol w:w="109"/>
        <w:gridCol w:w="109"/>
        <w:gridCol w:w="239"/>
        <w:gridCol w:w="242"/>
        <w:gridCol w:w="301"/>
        <w:gridCol w:w="109"/>
        <w:gridCol w:w="109"/>
        <w:gridCol w:w="109"/>
        <w:gridCol w:w="239"/>
        <w:gridCol w:w="242"/>
        <w:gridCol w:w="346"/>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(as a percentage of total revenue)</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14" w:after="14"/>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14" w:after="14"/>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Subscription licenses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Maintenance subscription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Subscriptions</w:t>
            </w:r>
            <w:r>
              <w:rPr>
                <w:color w:val="000000"/>
              </w:rPr>
              <w:t xml:space="preserve"> </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volume, mix, and duration of contract types starting or renewing in any given period may have a material impact on revenue in the period, and as a result can impact the comparability of reported revenue period-over-period.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Combined Revenue</w:t>
      </w:r>
    </w:p>
    <w:tbl>
      <w:tblPr>
        <w:tblW w:w="7001" w:type="dxa"/>
        <w:jc w:val="left"/>
        <w:tblInd w:w="0" w:type="dxa"/>
        <w:tblLayout w:type="fixed"/>
        <w:tblCellMar>
          <w:top w:w="28" w:type="dxa"/>
          <w:left w:w="28" w:type="dxa"/>
          <w:bottom w:w="28" w:type="dxa"/>
          <w:right w:w="28" w:type="dxa"/>
        </w:tblCellMar>
      </w:tblPr>
      <w:tblGrid>
        <w:gridCol w:w="855"/>
        <w:gridCol w:w="754"/>
        <w:gridCol w:w="760"/>
        <w:gridCol w:w="211"/>
        <w:gridCol w:w="991"/>
        <w:gridCol w:w="109"/>
        <w:gridCol w:w="109"/>
        <w:gridCol w:w="109"/>
        <w:gridCol w:w="109"/>
        <w:gridCol w:w="211"/>
        <w:gridCol w:w="991"/>
        <w:gridCol w:w="109"/>
        <w:gridCol w:w="109"/>
        <w:gridCol w:w="109"/>
        <w:gridCol w:w="109"/>
        <w:gridCol w:w="211"/>
        <w:gridCol w:w="991"/>
        <w:gridCol w:w="154"/>
      </w:tblGrid>
      <w:tr>
        <w:trPr/>
        <w:tc>
          <w:tcPr>
            <w:tcW w:w="85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69"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licenses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subscription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Subscriptions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Subscriptions and licenses</w:t>
            </w:r>
            <w:r>
              <w:rPr>
                <w:color w:val="000000"/>
              </w:rPr>
              <w:t xml:space="preserve">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1,208,669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343,821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based upon the location of the end customer, is as follows:</w:t>
      </w:r>
    </w:p>
    <w:tbl>
      <w:tblPr>
        <w:tblW w:w="5997" w:type="dxa"/>
        <w:jc w:val="left"/>
        <w:tblInd w:w="0" w:type="dxa"/>
        <w:tblLayout w:type="fixed"/>
        <w:tblCellMar>
          <w:top w:w="28" w:type="dxa"/>
          <w:left w:w="28" w:type="dxa"/>
          <w:bottom w:w="28" w:type="dxa"/>
          <w:right w:w="28" w:type="dxa"/>
        </w:tblCellMar>
      </w:tblPr>
      <w:tblGrid>
        <w:gridCol w:w="495"/>
        <w:gridCol w:w="433"/>
        <w:gridCol w:w="437"/>
        <w:gridCol w:w="211"/>
        <w:gridCol w:w="991"/>
        <w:gridCol w:w="109"/>
        <w:gridCol w:w="109"/>
        <w:gridCol w:w="109"/>
        <w:gridCol w:w="109"/>
        <w:gridCol w:w="211"/>
        <w:gridCol w:w="991"/>
        <w:gridCol w:w="109"/>
        <w:gridCol w:w="109"/>
        <w:gridCol w:w="109"/>
        <w:gridCol w:w="109"/>
        <w:gridCol w:w="211"/>
        <w:gridCol w:w="991"/>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EMIA </w:t>
            </w:r>
            <w:r>
              <w:rPr>
                <w:rFonts w:ascii="Times New Roman;serif" w:hAnsi="Times New Roman;serif"/>
                <w:b w:val="false"/>
                <w:color w:val="000000"/>
                <w:sz w:val="13"/>
              </w:rPr>
              <w:t>(2)</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505,466</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APAC </w:t>
            </w:r>
            <w:r>
              <w:rPr>
                <w:rFonts w:ascii="Times New Roman;serif" w:hAnsi="Times New Roman;serif"/>
                <w:b w:val="false"/>
                <w:color w:val="000000"/>
                <w:sz w:val="13"/>
              </w:rPr>
              <w:t>(3)</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213,836</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(1)Americas includes the United States, Canada, and Latin America.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(2)EMIA includes Europe, Middle East, India, and Africa.</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(3)APAC includes the Asia-Pacific region, excluding India.</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Operations in Ireland, our country of domicile, are not material in all periods presented.</w:t>
      </w:r>
    </w:p>
    <w:p>
      <w:pPr>
        <w:pStyle w:val="TextBody"/>
        <w:bidi w:val="0"/>
        <w:spacing w:before="0" w:after="180"/>
        <w:jc w:val="both"/>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371" name="Frame3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pPr>
      <w:r>
        <w:rPr>
          <w:rFonts w:ascii="Times New Roman;serif" w:hAnsi="Times New Roman;serif"/>
          <w:b w:val="false"/>
          <w:color w:val="000000"/>
          <w:sz w:val="20"/>
        </w:rPr>
        <w:t xml:space="preserve">Revenue increased by $21.4 million or 1%, primarily </w:t>
      </w:r>
      <w:r>
        <w:rPr>
          <w:rFonts w:ascii="Times New Roman;serif" w:hAnsi="Times New Roman;serif"/>
          <w:b w:val="false"/>
          <w:color w:val="000000"/>
          <w:sz w:val="20"/>
          <w:shd w:fill="FFFFFF" w:val="clear"/>
        </w:rPr>
        <w:t xml:space="preserve">due to </w:t>
      </w:r>
      <w:r>
        <w:rPr>
          <w:rFonts w:ascii="Times New Roman;serif" w:hAnsi="Times New Roman;serif"/>
          <w:b w:val="false"/>
          <w:color w:val="000000"/>
          <w:sz w:val="20"/>
        </w:rPr>
        <w:t xml:space="preserve">general sales increases and from favorable currency impacts, partially offset by </w:t>
      </w:r>
      <w:r>
        <w:rPr>
          <w:rFonts w:ascii="Times New Roman;serif" w:hAnsi="Times New Roman;serif"/>
          <w:b w:val="false"/>
          <w:color w:val="000000"/>
          <w:sz w:val="20"/>
          <w:shd w:fill="FFFFFF" w:val="clear"/>
        </w:rPr>
        <w:t>impacts of the divestiture of non-core businesses</w:t>
      </w:r>
      <w:r>
        <w:rPr>
          <w:rFonts w:ascii="Times New Roman;serif" w:hAnsi="Times New Roman;serif"/>
          <w:b w:val="false"/>
          <w:color w:val="000000"/>
          <w:sz w:val="20"/>
        </w:rPr>
        <w:t>. Revenue in EMIA grew 8%, while revenue in Americas and APAC each declined 2%. Subscriptions revenue growth was the primary driver for the overall portfolio led by SaaS sales which grew 17% with solid market demand, followed by maintenance subscription growth of 7% from focus on annual increases to contract values, and subscription licenses growth of 4%. Licenses sales slowed with a 33% decline due to a customer shift to SaaS and subscription licenses. Services and other improved with a 10% growth due to a higher level of enterprise implementations in public safety solutions partially offset with the divestiture of non-core businesses. Additionally, in line with the Company's continued product evolution, certain of our revenue streams have transitioned from being predominantly highly customized license-based deliveries to services configurations based on a more standardized license offering.</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Revenue increased by $64.0 million or 4%, primarily due to </w:t>
      </w:r>
      <w:r>
        <w:rPr>
          <w:rFonts w:ascii="Times New Roman;serif" w:hAnsi="Times New Roman;serif"/>
          <w:b w:val="false"/>
          <w:color w:val="000000"/>
          <w:sz w:val="20"/>
        </w:rPr>
        <w:t>general volume increases and from an additional quarter of revenue related to Qognify, which was acquired in April 2023. Revenue in EMIA grew 9%, revenue in APAC grew 9%, while revenue in the Americas was relatively flat. The revenue increase was driven by increased demand across the portfolio. Subscriptions revenue growth was the primary driver for the overall portfolio due to continued focus on SaaS sales and solid market demand, which led to SaaS growth of 20%, followed by subscription licenses growth of 10% driven by customer project demand for flexible subscriptions and maintenance subscription growth of 3%. Licenses sales were stable with 1% overall growth and services and other declined 5% due to a reduction in demand by enterprise customers for customized implementations of SaaS sales.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Revenue and Operating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continuously assesses the Company’s cost structure to ensure an optimal balance of personnel necessary to support revenue levels, investment in innovation and the associated infrastructure necessary to support business operations and continuity.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6618" w:type="dxa"/>
        <w:jc w:val="left"/>
        <w:tblInd w:w="0" w:type="dxa"/>
        <w:tblLayout w:type="fixed"/>
        <w:tblCellMar>
          <w:top w:w="28" w:type="dxa"/>
          <w:left w:w="28" w:type="dxa"/>
          <w:bottom w:w="28" w:type="dxa"/>
          <w:right w:w="28" w:type="dxa"/>
        </w:tblCellMar>
      </w:tblPr>
      <w:tblGrid>
        <w:gridCol w:w="722"/>
        <w:gridCol w:w="633"/>
        <w:gridCol w:w="640"/>
        <w:gridCol w:w="211"/>
        <w:gridCol w:w="826"/>
        <w:gridCol w:w="271"/>
        <w:gridCol w:w="109"/>
        <w:gridCol w:w="109"/>
        <w:gridCol w:w="109"/>
        <w:gridCol w:w="211"/>
        <w:gridCol w:w="826"/>
        <w:gridCol w:w="271"/>
        <w:gridCol w:w="109"/>
        <w:gridCol w:w="109"/>
        <w:gridCol w:w="109"/>
        <w:gridCol w:w="211"/>
        <w:gridCol w:w="826"/>
        <w:gridCol w:w="316"/>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Gross profit percentage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decreased by $26.2 million or 6%, primarily due to the reduction in services and other labor and associated delivery costs that supported the divested non-core businesses. This was partially offset by an increase in cloud platform costs associated with public cloud infrastructure providers and general labor costs. As a result, gross profit margin improved from 73% to 75% and when coupled with the growth in revenue, gross profit increased by $47.6 million or 4%.</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Cost of revenue decreased by $16.7 million or 4%, primarily due to revenue mix whereby a 2023 increase in sales from our federal government solutions did not recur in 2024. This decrease in cost was partially offset by an increase in cloud platform costs associated with public cloud infrastructure providers, variable costs associated with revenue growth and inflationary pressure on salaries. </w:t>
      </w:r>
      <w:r>
        <w:rPr>
          <w:rFonts w:ascii="Times New Roman;serif" w:hAnsi="Times New Roman;serif"/>
          <w:b w:val="false"/>
          <w:color w:val="000000"/>
          <w:sz w:val="20"/>
        </w:rPr>
        <w:t>As a result, gross profit margin improved from 71% to 73% and when coupled with the growth in revenue, g</w:t>
      </w:r>
      <w:r>
        <w:rPr>
          <w:rFonts w:ascii="Times New Roman;serif" w:hAnsi="Times New Roman;serif"/>
          <w:b w:val="false"/>
          <w:color w:val="000000"/>
          <w:sz w:val="20"/>
          <w:shd w:fill="FFFFFF" w:val="clear"/>
        </w:rPr>
        <w:t>ross profit increased by $80.7 million or 7%</w:t>
      </w:r>
      <w:r>
        <w:rPr>
          <w:rFonts w:ascii="Times New Roman;serif" w:hAnsi="Times New Roman;serif"/>
          <w:b w:val="false"/>
          <w:color w:val="000000"/>
          <w:sz w:val="20"/>
        </w:rPr>
        <w:t>.</w:t>
      </w:r>
    </w:p>
    <w:p>
      <w:pPr>
        <w:pStyle w:val="TextBody"/>
        <w:bidi w:val="0"/>
        <w:spacing w:before="0" w:after="180"/>
        <w:jc w:val="both"/>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46685"/>
                <wp:effectExtent l="0" t="0" r="0" b="0"/>
                <wp:wrapNone/>
                <wp:docPr id="372" name="Frame3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948" w:type="dxa"/>
        <w:jc w:val="left"/>
        <w:tblInd w:w="0" w:type="dxa"/>
        <w:tblLayout w:type="fixed"/>
        <w:tblCellMar>
          <w:top w:w="28" w:type="dxa"/>
          <w:left w:w="28" w:type="dxa"/>
          <w:bottom w:w="28" w:type="dxa"/>
          <w:right w:w="28" w:type="dxa"/>
        </w:tblCellMar>
      </w:tblPr>
      <w:tblGrid>
        <w:gridCol w:w="841"/>
        <w:gridCol w:w="740"/>
        <w:gridCol w:w="744"/>
        <w:gridCol w:w="211"/>
        <w:gridCol w:w="826"/>
        <w:gridCol w:w="271"/>
        <w:gridCol w:w="109"/>
        <w:gridCol w:w="109"/>
        <w:gridCol w:w="109"/>
        <w:gridCol w:w="211"/>
        <w:gridCol w:w="826"/>
        <w:gridCol w:w="271"/>
        <w:gridCol w:w="109"/>
        <w:gridCol w:w="109"/>
        <w:gridCol w:w="109"/>
        <w:gridCol w:w="211"/>
        <w:gridCol w:w="82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to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$25.5 million or 16%, primarily due to an increase in salaries and wages associated with wage inflation, an increase in hiring for technical personnel, and an increase in investments in development tools to support development effort. Capitalization of software development costs declined as a proportion of overall expenditures.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to 2023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$11.6 million or 8%, primarily due to an increase in salaries and wages associated with wage inflation, an increase in hiring for technical personnel, and an increase in internal business application expenses associated with software development tools and infrastructure costs and general inflationary pressure.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 Expenses</w:t>
      </w:r>
    </w:p>
    <w:tbl>
      <w:tblPr>
        <w:tblW w:w="6947" w:type="dxa"/>
        <w:jc w:val="left"/>
        <w:tblInd w:w="0" w:type="dxa"/>
        <w:tblLayout w:type="fixed"/>
        <w:tblCellMar>
          <w:top w:w="28" w:type="dxa"/>
          <w:left w:w="28" w:type="dxa"/>
          <w:bottom w:w="28" w:type="dxa"/>
          <w:right w:w="28" w:type="dxa"/>
        </w:tblCellMar>
      </w:tblPr>
      <w:tblGrid>
        <w:gridCol w:w="841"/>
        <w:gridCol w:w="740"/>
        <w:gridCol w:w="743"/>
        <w:gridCol w:w="211"/>
        <w:gridCol w:w="826"/>
        <w:gridCol w:w="271"/>
        <w:gridCol w:w="109"/>
        <w:gridCol w:w="109"/>
        <w:gridCol w:w="109"/>
        <w:gridCol w:w="211"/>
        <w:gridCol w:w="826"/>
        <w:gridCol w:w="271"/>
        <w:gridCol w:w="109"/>
        <w:gridCol w:w="109"/>
        <w:gridCol w:w="109"/>
        <w:gridCol w:w="211"/>
        <w:gridCol w:w="82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$27.7 million or 8%, primarily due to an increase in salaries and wages associated with wage inflation and hiring for sales and sales support personnel and an increased investment in sales enablement technology, marketing events and increases in sales commissions in addition to incremental hiring in preparation for the proposed distribution.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2024 compared with 2023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$9.6 million or 3%, primarily due to an increase in salaries and wages associated with wage inflation and hiring for sales and sales support personnel, an increase in marketing events, and general inflationary pressure.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tbl>
      <w:tblPr>
        <w:tblW w:w="6948" w:type="dxa"/>
        <w:jc w:val="left"/>
        <w:tblInd w:w="0" w:type="dxa"/>
        <w:tblLayout w:type="fixed"/>
        <w:tblCellMar>
          <w:top w:w="28" w:type="dxa"/>
          <w:left w:w="28" w:type="dxa"/>
          <w:bottom w:w="28" w:type="dxa"/>
          <w:right w:w="28" w:type="dxa"/>
        </w:tblCellMar>
      </w:tblPr>
      <w:tblGrid>
        <w:gridCol w:w="843"/>
        <w:gridCol w:w="740"/>
        <w:gridCol w:w="742"/>
        <w:gridCol w:w="211"/>
        <w:gridCol w:w="826"/>
        <w:gridCol w:w="271"/>
        <w:gridCol w:w="109"/>
        <w:gridCol w:w="109"/>
        <w:gridCol w:w="109"/>
        <w:gridCol w:w="211"/>
        <w:gridCol w:w="826"/>
        <w:gridCol w:w="271"/>
        <w:gridCol w:w="109"/>
        <w:gridCol w:w="109"/>
        <w:gridCol w:w="109"/>
        <w:gridCol w:w="211"/>
        <w:gridCol w:w="826"/>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$30.0 million or 22%, primarily due to an increase in salaries and wages associated with wage inflation, increased hiring to support public company functions, an increase in general reserves for accounts receivable allowances, and an increase in general information technology costs in preparation for the proposed distribution.</w:t>
      </w:r>
    </w:p>
    <w:p>
      <w:pPr>
        <w:pStyle w:val="TextBody"/>
        <w:bidi w:val="0"/>
        <w:spacing w:before="0" w:after="180"/>
        <w:jc w:val="both"/>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46685"/>
                <wp:effectExtent l="0" t="0" r="0" b="0"/>
                <wp:wrapNone/>
                <wp:docPr id="373" name="Frame3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$5.3 million or 4%, primarily due to an increase in salaries and wages associated with wage inflation and hiring for administrative functions and general inflationary pressures.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tbl>
      <w:tblPr>
        <w:tblW w:w="7428" w:type="dxa"/>
        <w:jc w:val="left"/>
        <w:tblInd w:w="0" w:type="dxa"/>
        <w:tblLayout w:type="fixed"/>
        <w:tblCellMar>
          <w:top w:w="28" w:type="dxa"/>
          <w:left w:w="28" w:type="dxa"/>
          <w:bottom w:w="28" w:type="dxa"/>
          <w:right w:w="28" w:type="dxa"/>
        </w:tblCellMar>
      </w:tblPr>
      <w:tblGrid>
        <w:gridCol w:w="1016"/>
        <w:gridCol w:w="892"/>
        <w:gridCol w:w="897"/>
        <w:gridCol w:w="211"/>
        <w:gridCol w:w="826"/>
        <w:gridCol w:w="271"/>
        <w:gridCol w:w="109"/>
        <w:gridCol w:w="109"/>
        <w:gridCol w:w="109"/>
        <w:gridCol w:w="211"/>
        <w:gridCol w:w="826"/>
        <w:gridCol w:w="271"/>
        <w:gridCol w:w="109"/>
        <w:gridCol w:w="109"/>
        <w:gridCol w:w="109"/>
        <w:gridCol w:w="211"/>
        <w:gridCol w:w="826"/>
        <w:gridCol w:w="316"/>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increased by $28.1 million or 22%, primarily due to incremental new releases of developed product solutions for sale.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2024 compared with 2023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increased by $11.4 million or 10%, primarily due to incremental new releases of internally developed solutions for sale and the acquisition of Qognify in April 2023.</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Operating (Income) Expense, net</w:t>
      </w:r>
    </w:p>
    <w:tbl>
      <w:tblPr>
        <w:tblW w:w="7232" w:type="dxa"/>
        <w:jc w:val="left"/>
        <w:tblInd w:w="0" w:type="dxa"/>
        <w:tblLayout w:type="fixed"/>
        <w:tblCellMar>
          <w:top w:w="28" w:type="dxa"/>
          <w:left w:w="28" w:type="dxa"/>
          <w:bottom w:w="28" w:type="dxa"/>
          <w:right w:w="28" w:type="dxa"/>
        </w:tblCellMar>
      </w:tblPr>
      <w:tblGrid>
        <w:gridCol w:w="1161"/>
        <w:gridCol w:w="1022"/>
        <w:gridCol w:w="1026"/>
        <w:gridCol w:w="211"/>
        <w:gridCol w:w="691"/>
        <w:gridCol w:w="271"/>
        <w:gridCol w:w="109"/>
        <w:gridCol w:w="109"/>
        <w:gridCol w:w="109"/>
        <w:gridCol w:w="211"/>
        <w:gridCol w:w="466"/>
        <w:gridCol w:w="271"/>
        <w:gridCol w:w="109"/>
        <w:gridCol w:w="109"/>
        <w:gridCol w:w="109"/>
        <w:gridCol w:w="211"/>
        <w:gridCol w:w="721"/>
        <w:gridCol w:w="316"/>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operating (income) expense, net decreased by $5.1 million, to an income position, primarily due to reduced impairment of intangible assets and increased contingent consideration fair value remeasurement gains, partially offset by an increase in restructuring charges associated with certain cost reduction actions taken primarily in the third quarter of the current year as a measure to offset investments in public company functions.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2024 compared with 2023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operating (income) expense, net decreased by $28.7 million or 97%, primarily due to reduced restructuring and impairment of intangible assets charges associated with certain cost reduction actions in the prior year, partially offset by a decrease in contingent consideration fair value remeasurement gains.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(Expense) Income, Net</w:t>
      </w:r>
    </w:p>
    <w:tbl>
      <w:tblPr>
        <w:tblW w:w="5772" w:type="dxa"/>
        <w:jc w:val="left"/>
        <w:tblInd w:w="0" w:type="dxa"/>
        <w:tblLayout w:type="fixed"/>
        <w:tblCellMar>
          <w:top w:w="28" w:type="dxa"/>
          <w:left w:w="28" w:type="dxa"/>
          <w:bottom w:w="28" w:type="dxa"/>
          <w:right w:w="28" w:type="dxa"/>
        </w:tblCellMar>
      </w:tblPr>
      <w:tblGrid>
        <w:gridCol w:w="863"/>
        <w:gridCol w:w="760"/>
        <w:gridCol w:w="762"/>
        <w:gridCol w:w="211"/>
        <w:gridCol w:w="796"/>
        <w:gridCol w:w="109"/>
        <w:gridCol w:w="109"/>
        <w:gridCol w:w="109"/>
        <w:gridCol w:w="109"/>
        <w:gridCol w:w="211"/>
        <w:gridCol w:w="466"/>
        <w:gridCol w:w="109"/>
        <w:gridCol w:w="109"/>
        <w:gridCol w:w="109"/>
        <w:gridCol w:w="109"/>
        <w:gridCol w:w="211"/>
        <w:gridCol w:w="46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(expense) income, net decreased from $0.6 million to a $15.5 million loss primarily due to the loss on the divestiture of non-core businesses of $16.6 million that took place during the third quarter of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(expense) income, net has remained relatively flat during the years ended December 31, 2024, and 2023.</w:t>
      </w:r>
    </w:p>
    <w:p>
      <w:pPr>
        <w:pStyle w:val="TextBody"/>
        <w:bidi w:val="0"/>
        <w:spacing w:before="0" w:after="180"/>
        <w:jc w:val="both"/>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46685"/>
                <wp:effectExtent l="0" t="0" r="0" b="0"/>
                <wp:wrapNone/>
                <wp:docPr id="374" name="Frame3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097" w:type="dxa"/>
        <w:jc w:val="left"/>
        <w:tblInd w:w="0" w:type="dxa"/>
        <w:tblLayout w:type="fixed"/>
        <w:tblCellMar>
          <w:top w:w="28" w:type="dxa"/>
          <w:left w:w="28" w:type="dxa"/>
          <w:bottom w:w="28" w:type="dxa"/>
          <w:right w:w="28" w:type="dxa"/>
        </w:tblCellMar>
      </w:tblPr>
      <w:tblGrid>
        <w:gridCol w:w="863"/>
        <w:gridCol w:w="757"/>
        <w:gridCol w:w="764"/>
        <w:gridCol w:w="211"/>
        <w:gridCol w:w="826"/>
        <w:gridCol w:w="301"/>
        <w:gridCol w:w="109"/>
        <w:gridCol w:w="109"/>
        <w:gridCol w:w="109"/>
        <w:gridCol w:w="211"/>
        <w:gridCol w:w="826"/>
        <w:gridCol w:w="301"/>
        <w:gridCol w:w="109"/>
        <w:gridCol w:w="109"/>
        <w:gridCol w:w="109"/>
        <w:gridCol w:w="211"/>
        <w:gridCol w:w="826"/>
        <w:gridCol w:w="34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321,329 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396,106 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324,256 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Effective tax rate</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 ended December 31, 2025, the effective tax rate was higher as compared to the year ended December 31, 2024, primarily due to the jurisdictional mix of earnings, effects of cross-border transactions, and discrete tax effects of internal restructuring in the third quarter of 2025 in preparation for the spin-off.</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effective tax rate was lower as compared to the year ended December 31, 2023, primarily due to the effects of cross-border transactions, changes in state income tax and apportionment rates and deferred tax adjustments.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discussed above, we believe the following presentation of key business metrics provides incremental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 These metrics are based on management calculations derived from available operational data.</w:t>
      </w:r>
    </w:p>
    <w:tbl>
      <w:tblPr>
        <w:tblW w:w="6417" w:type="dxa"/>
        <w:jc w:val="left"/>
        <w:tblInd w:w="0" w:type="dxa"/>
        <w:tblLayout w:type="fixed"/>
        <w:tblCellMar>
          <w:top w:w="28" w:type="dxa"/>
          <w:left w:w="28" w:type="dxa"/>
          <w:bottom w:w="28" w:type="dxa"/>
          <w:right w:w="28" w:type="dxa"/>
        </w:tblCellMar>
      </w:tblPr>
      <w:tblGrid>
        <w:gridCol w:w="1106"/>
        <w:gridCol w:w="975"/>
        <w:gridCol w:w="979"/>
        <w:gridCol w:w="211"/>
        <w:gridCol w:w="616"/>
        <w:gridCol w:w="109"/>
        <w:gridCol w:w="109"/>
        <w:gridCol w:w="109"/>
        <w:gridCol w:w="109"/>
        <w:gridCol w:w="211"/>
        <w:gridCol w:w="616"/>
        <w:gridCol w:w="109"/>
        <w:gridCol w:w="109"/>
        <w:gridCol w:w="109"/>
        <w:gridCol w:w="109"/>
        <w:gridCol w:w="211"/>
        <w:gridCol w:w="466"/>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 except number of customers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large customers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Annualized Recurring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Annualized Recurring Revenue (“ARR”) is a key business metric we use to evaluate the scale and growth of our business as well as to assist in the evaluation of underlying trends in our business. ARR represents the annualized value of recurring revenue from our subscription licenses, SaaS-based subscriptions and maintenance subscriptions. It excludes revenue from perpetual software licenses, non-recurring services and other revenues. The Company calculates ARR as the sum of: (i) the annualized value of monthly recurring revenue recognized from SaaS-based subscriptions and maintenance subscriptions in the last month of the most recently completed quarter, plus (ii) the annualized value of recurring revenue recognized from subscription licenses in the most recently completed quarter.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Number of Customers and Number of Large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Number of Customers and Number of Large Customers are key business metrics we use to evaluate the scale and growth of our business as well as to assist in the evaluation of underlying trends in our customer base. A “Customer” is defined as a parent entity or government department that has ARR of $10,000 or more as of the end of the current period. A “Large Customer” is defined as a parent entity or government department that has ARR of $500,000 or more as of the end of the current period. Subsidiaries or multiple contracts under the same parent entity are consolidated and counted as one Customer.</w:t>
      </w:r>
    </w:p>
    <w:p>
      <w:pPr>
        <w:pStyle w:val="TextBody"/>
        <w:bidi w:val="0"/>
        <w:spacing w:before="0" w:after="180"/>
        <w:jc w:val="both"/>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46685"/>
                <wp:effectExtent l="0" t="0" r="0" b="0"/>
                <wp:wrapNone/>
                <wp:docPr id="375" name="Frame3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Gross Retention 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GRR is a key business metric that we use to evaluate the scale and growth of our business as well as to assist in the evaluation of underlying trends in customer retention. GRR represents the percentage of ARR retained from customers with ARR as of the end of the same period one year prior. GRR accounts for the loss of ARR resulting from complete customer churn and does not account for the impact of contraction or expansion from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GRR was 97% and GRR for Large Customers was 99%.</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Retention 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NRR is a key business metric that we use to evaluate the scale and growth of our business as well as to assist in the evaluation of underlying trends in customer retention. NRR represents the percentage of ARR attributable to customers with ARR as of the end of the same period one year prior. NRR accounts for the loss of ARR resulting from complete customer churn and accounts for the impact of contraction or expansion from existing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NRR was 105%.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Income from Operations—Income from Operations</w:t>
      </w:r>
    </w:p>
    <w:p>
      <w:pPr>
        <w:pStyle w:val="TextBody"/>
        <w:bidi w:val="0"/>
        <w:spacing w:lineRule="auto" w:line="288" w:before="0" w:after="180"/>
        <w:jc w:val="both"/>
        <w:rPr/>
      </w:pPr>
      <w:r>
        <w:rPr>
          <w:rFonts w:ascii="Times New Roman;serif" w:hAnsi="Times New Roman;serif"/>
          <w:b w:val="false"/>
          <w:color w:val="000000"/>
          <w:sz w:val="20"/>
        </w:rPr>
        <w:t>Adjusted income from operations is defined as Income from operations adjusted for amortization of acquired intangibles; amortization of developed technologies; stock-based compensation expense; impairment charges; acquisition costs and charges; restructuring charges; and stand-up costs</w:t>
      </w:r>
      <w:r>
        <w:rPr>
          <w:rFonts w:ascii="Times New Roman;serif" w:hAnsi="Times New Roman;serif"/>
          <w:b w:val="false"/>
          <w:color w:val="000000"/>
          <w:sz w:val="20"/>
          <w:shd w:fill="FFFFFF" w:val="clear"/>
        </w:rPr>
        <w:t>.</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Operating Margin—Operating Margin</w:t>
      </w:r>
    </w:p>
    <w:p>
      <w:pPr>
        <w:pStyle w:val="TextBody"/>
        <w:bidi w:val="0"/>
        <w:spacing w:lineRule="auto" w:line="288" w:before="0" w:after="180"/>
        <w:jc w:val="both"/>
        <w:rPr/>
      </w:pPr>
      <w:r>
        <w:rPr>
          <w:rFonts w:ascii="Times New Roman;serif" w:hAnsi="Times New Roman;serif"/>
          <w:b w:val="false"/>
          <w:color w:val="000000"/>
          <w:sz w:val="20"/>
          <w:shd w:fill="FFFFFF" w:val="clear"/>
        </w:rPr>
        <w:t>Adjusted operating margin is defined as Operating margin adjusted for</w:t>
      </w:r>
      <w:r>
        <w:rPr>
          <w:color w:val="000000"/>
        </w:rPr>
        <w:t xml:space="preserve"> </w:t>
      </w:r>
      <w:r>
        <w:rPr>
          <w:rFonts w:ascii="Times New Roman;serif" w:hAnsi="Times New Roman;serif"/>
          <w:b w:val="false"/>
          <w:color w:val="000000"/>
          <w:sz w:val="20"/>
        </w:rPr>
        <w:t>amortization of acquired intangibles; amortization of developed technologies; stock-based compensation expense; impairment charges; acquisition costs and charges; restructuring charges; and stand-up costs</w:t>
      </w:r>
      <w:r>
        <w:rPr>
          <w:rFonts w:ascii="Times New Roman;serif" w:hAnsi="Times New Roman;serif"/>
          <w:b w:val="false"/>
          <w:color w:val="000000"/>
          <w:sz w:val="20"/>
          <w:shd w:fill="FFFFFF" w:val="clear"/>
        </w:rPr>
        <w:t>.</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Net Income—Net Income</w:t>
      </w:r>
    </w:p>
    <w:p>
      <w:pPr>
        <w:pStyle w:val="TextBody"/>
        <w:bidi w:val="0"/>
        <w:spacing w:lineRule="auto" w:line="288" w:before="0" w:after="180"/>
        <w:jc w:val="both"/>
        <w:rPr/>
      </w:pPr>
      <w:r>
        <w:rPr>
          <w:rFonts w:ascii="Times New Roman;serif" w:hAnsi="Times New Roman;serif"/>
          <w:b w:val="false"/>
          <w:color w:val="000000"/>
          <w:sz w:val="20"/>
        </w:rPr>
        <w:t>Adjusted net income is defined as Net income adjusted for amortization of acquired intangibles; amortization of developed technologies; stock-based compensation expense; impairment charges; acquisition costs and charges; restructuring charges; stand-up costs; loss on divestitures; and a corresponding adjustment to income tax expense for the impact of these adjustments</w:t>
      </w:r>
      <w:r>
        <w:rPr>
          <w:rFonts w:ascii="Times New Roman;serif" w:hAnsi="Times New Roman;serif"/>
          <w:b w:val="false"/>
          <w:color w:val="000000"/>
          <w:sz w:val="20"/>
          <w:shd w:fill="FFFFFF" w:val="clear"/>
        </w:rPr>
        <w:t>.</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Free Cash Flow—Cash Flow from Operations</w:t>
      </w:r>
    </w:p>
    <w:p>
      <w:pPr>
        <w:pStyle w:val="TextBody"/>
        <w:bidi w:val="0"/>
        <w:spacing w:lineRule="auto" w:line="288" w:before="0" w:after="180"/>
        <w:jc w:val="both"/>
        <w:rPr/>
      </w:pPr>
      <w:r>
        <w:rPr>
          <w:rFonts w:ascii="Times New Roman;serif" w:hAnsi="Times New Roman;serif"/>
          <w:b w:val="false"/>
          <w:color w:val="000000"/>
          <w:sz w:val="20"/>
        </w:rPr>
        <w:t>Free cash flow is defined as Cash flow from operations net of capital expenditures, including purchases of property and equipment and capitalization of software development costs. These expenditures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r>
        <w:rPr>
          <w:rFonts w:ascii="Times New Roman;serif" w:hAnsi="Times New Roman;serif"/>
          <w:b w:val="false"/>
          <w:color w:val="000000"/>
          <w:sz w:val="20"/>
          <w:shd w:fill="FFFFFF" w:val="clear"/>
        </w:rPr>
        <w:t>.</w:t>
      </w:r>
    </w:p>
    <w:p>
      <w:pPr>
        <w:pStyle w:val="TextBody"/>
        <w:bidi w:val="0"/>
        <w:spacing w:before="0" w:after="180"/>
        <w:jc w:val="both"/>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46685"/>
                <wp:effectExtent l="0" t="0" r="0" b="0"/>
                <wp:wrapNone/>
                <wp:docPr id="376" name="Frame3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Description of Adjustments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Amortization of acquired intangibles and </w:t>
      </w:r>
      <w:r>
        <w:rPr>
          <w:rFonts w:ascii="Times New Roman;serif" w:hAnsi="Times New Roman;serif"/>
          <w:b w:val="false"/>
          <w:color w:val="000000"/>
          <w:sz w:val="20"/>
        </w:rPr>
        <w:t xml:space="preserve">amortization of developed technologies </w:t>
      </w:r>
      <w:r>
        <w:rPr>
          <w:rFonts w:ascii="Times New Roman;serif" w:hAnsi="Times New Roman;serif"/>
          <w:b w:val="false"/>
          <w:color w:val="000000"/>
          <w:sz w:val="20"/>
          <w:shd w:fill="FFFFFF" w:val="clear"/>
        </w:rPr>
        <w:t>are non-cash expenses that are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Stock-based compensation expense is a non-cash expense relating to equity-based awards issued to executive officers, employees and outside directors, consisting of performance share awards. We believe the assessment of our operations excluding these costs is relevant to our assessment of internal operations and comparisons to the performance of other companies in our industry.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Acquisition costs and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costs and charges. The occurrence and amount of these costs and charges varies depending on the timing and size of acquisitions and subsequent adjustments to our initial estimated amount of contingent consideration. We believe the assessment of our operations excluding these costs and charges is relevant to our assessment of internal operations and comparisons to the performance of other companies in our industry.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Restructuring charges include excess facility restructuring costs; impairment and accretion expenses related to the lease assets of exited facilities; sublease income from previously impaired facilities; severance charges resulting from employee reduction actions; and third-party professional consulting fees related to modifications of our business strategy. These charges vary in size based on restructuring plans and duration. We believe the assessment of our operations excluding these costs is relevant to our assessment of internal operations and comparisons to the performance of other companies in our industry.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Stand-up costs include expenses associated with the spin-off and stand up of functions required to operate as a stand-alone public entity, these costs primarily relate to system implementation expenses, legal and consulting costs, development of our brand and other matters.We believe the assessment of our operations excluding these costs is relevant to our assessment of internal operations and comparisons to the performance of other companies in our industry.</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Loss on divestitures include expenses associated with the sale of </w:t>
      </w:r>
      <w:r>
        <w:rPr>
          <w:rFonts w:ascii="Times New Roman;serif" w:hAnsi="Times New Roman;serif"/>
          <w:b w:val="false"/>
          <w:color w:val="000000"/>
          <w:sz w:val="20"/>
        </w:rPr>
        <w:t xml:space="preserve">non-core businesses during the period and primarily pertain to the excess of net assets divested over total cash proceeds from sale. </w:t>
      </w:r>
      <w:r>
        <w:rPr>
          <w:rFonts w:ascii="Times New Roman;serif" w:hAnsi="Times New Roman;serif"/>
          <w:b w:val="false"/>
          <w:color w:val="000000"/>
          <w:sz w:val="20"/>
          <w:shd w:fill="FFFFFF" w:val="clear"/>
        </w:rPr>
        <w:t>We believe the assessment of our operations excluding these costs is relevant to our assessment of internal operations and comparisons to the performance of other companies in our industry.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adjustments include the tax impact of the items excluded from Adjusted net income.</w:t>
      </w:r>
    </w:p>
    <w:p>
      <w:pPr>
        <w:pStyle w:val="TextBody"/>
        <w:bidi w:val="0"/>
        <w:spacing w:lineRule="auto" w:line="288" w:before="0" w:after="180"/>
        <w:jc w:val="both"/>
        <w:rPr/>
      </w:pPr>
      <w:r>
        <w:rPr>
          <w:rFonts w:ascii="Times New Roman;serif" w:hAnsi="Times New Roman;serif"/>
          <w:b w:val="false"/>
          <w:color w:val="000000"/>
          <w:sz w:val="20"/>
          <w:shd w:fill="FFFFFF" w:val="clear"/>
        </w:rPr>
        <w:t>We use these non-GAAP financial measures, and we believe that they assist our investors, to make period-to-period comparisons of our operational performance because they provide a view of our operating results and cash flows without items that are not, in our view, indicative of our core operating results. We believe that these non-GAAP financial measures</w:t>
      </w:r>
      <w:r>
        <w:rPr>
          <w:rFonts w:ascii="Times New Roman;serif" w:hAnsi="Times New Roman;serif"/>
          <w:b w:val="false"/>
          <w:color w:val="000000"/>
          <w:sz w:val="20"/>
        </w:rPr>
        <w:t xml:space="preserve">, when used in conjunction with the most comparable </w:t>
      </w:r>
      <w:r>
        <w:rPr>
          <w:rFonts w:ascii="Times New Roman;serif" w:hAnsi="Times New Roman;serif"/>
          <w:b w:val="false"/>
          <w:color w:val="000000"/>
          <w:sz w:val="20"/>
          <w:shd w:fill="FFFFFF" w:val="clear"/>
        </w:rPr>
        <w:t xml:space="preserve">U.S. </w:t>
      </w:r>
      <w:r>
        <w:rPr>
          <w:rFonts w:ascii="Times New Roman;serif" w:hAnsi="Times New Roman;serif"/>
          <w:b w:val="false"/>
          <w:color w:val="000000"/>
          <w:sz w:val="20"/>
        </w:rPr>
        <w:t>GAAP measure,</w:t>
      </w:r>
      <w:r>
        <w:rPr>
          <w:color w:val="000000"/>
          <w:shd w:fill="FFFFFF" w:val="clear"/>
        </w:rPr>
        <w:t xml:space="preserve"> </w:t>
      </w:r>
      <w:r>
        <w:rPr>
          <w:rFonts w:ascii="Times New Roman;serif" w:hAnsi="Times New Roman;serif"/>
          <w:b w:val="false"/>
          <w:color w:val="000000"/>
          <w:sz w:val="20"/>
          <w:shd w:fill="FFFFFF" w:val="clear"/>
        </w:rPr>
        <w:t xml:space="preserve">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w:t>
      </w:r>
      <w:r>
        <w:rPr>
          <w:rFonts w:ascii="Times New Roman;serif" w:hAnsi="Times New Roman;serif"/>
          <w:b w:val="false"/>
          <w:color w:val="000000"/>
          <w:sz w:val="20"/>
        </w:rPr>
        <w:t xml:space="preserve">and cash flows </w:t>
      </w:r>
      <w:r>
        <w:rPr>
          <w:rFonts w:ascii="Times New Roman;serif" w:hAnsi="Times New Roman;serif"/>
          <w:b w:val="false"/>
          <w:color w:val="000000"/>
          <w:sz w:val="20"/>
          <w:shd w:fill="FFFFFF" w:val="clear"/>
        </w:rPr>
        <w:t>that may be more easily compared to the results of other companies in our industry that use similar financial measures to supplement their U.S. GAAP results.</w:t>
      </w:r>
    </w:p>
    <w:p>
      <w:pPr>
        <w:pStyle w:val="TextBody"/>
        <w:bidi w:val="0"/>
        <w:spacing w:before="0" w:after="180"/>
        <w:jc w:val="both"/>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46685"/>
                <wp:effectExtent l="0" t="0" r="0" b="0"/>
                <wp:wrapNone/>
                <wp:docPr id="377" name="Frame3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items excluded from the non-GAAP financial measures often have a material impact on our financial results. Accordingly, the non-GAAP financial measures included in this information statement should be considered in addition to, and not as a substitute for or superior to, the comparable measures prepared in accordance with U.S. GAAP.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reconcile each of these non-GAAP financial measures to its most closely comparable U.S. GAAP measure on our financial statements:</w:t>
      </w:r>
    </w:p>
    <w:tbl>
      <w:tblPr>
        <w:tblW w:w="8537" w:type="dxa"/>
        <w:jc w:val="left"/>
        <w:tblInd w:w="0" w:type="dxa"/>
        <w:tblLayout w:type="fixed"/>
        <w:tblCellMar>
          <w:top w:w="28" w:type="dxa"/>
          <w:left w:w="28" w:type="dxa"/>
          <w:bottom w:w="28" w:type="dxa"/>
          <w:right w:w="28" w:type="dxa"/>
        </w:tblCellMar>
      </w:tblPr>
      <w:tblGrid>
        <w:gridCol w:w="1368"/>
        <w:gridCol w:w="1201"/>
        <w:gridCol w:w="1210"/>
        <w:gridCol w:w="211"/>
        <w:gridCol w:w="841"/>
        <w:gridCol w:w="301"/>
        <w:gridCol w:w="109"/>
        <w:gridCol w:w="109"/>
        <w:gridCol w:w="109"/>
        <w:gridCol w:w="211"/>
        <w:gridCol w:w="841"/>
        <w:gridCol w:w="301"/>
        <w:gridCol w:w="109"/>
        <w:gridCol w:w="109"/>
        <w:gridCol w:w="109"/>
        <w:gridCol w:w="211"/>
        <w:gridCol w:w="841"/>
        <w:gridCol w:w="346"/>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336,850 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395,492 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324,035 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Adjusted income from operations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506,306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536,788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488,817</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Adjusted operating margin</w:t>
            </w:r>
            <w:r>
              <w:rPr>
                <w:color w:val="000000"/>
              </w:rPr>
              <w:t xml:space="preserve">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Adjusted net income</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390,619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421,362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371,570</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436,436 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(136,673)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Free cash flow</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319,659</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360,167</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304,176</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46685"/>
                <wp:effectExtent l="0" t="0" r="0" b="0"/>
                <wp:wrapNone/>
                <wp:docPr id="378" name="Frame3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Constant Currency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Constant currency is a non-GAAP financial measure that presents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Reconciliation of revenue to revenue in constant currency for the year ended December 31, 2025:</w:t>
      </w:r>
    </w:p>
    <w:tbl>
      <w:tblPr>
        <w:tblW w:w="10205" w:type="dxa"/>
        <w:jc w:val="left"/>
        <w:tblInd w:w="0" w:type="dxa"/>
        <w:tblLayout w:type="fixed"/>
        <w:tblCellMar>
          <w:top w:w="28" w:type="dxa"/>
          <w:left w:w="28" w:type="dxa"/>
          <w:bottom w:w="28" w:type="dxa"/>
          <w:right w:w="28" w:type="dxa"/>
        </w:tblCellMar>
      </w:tblPr>
      <w:tblGrid>
        <w:gridCol w:w="459"/>
        <w:gridCol w:w="406"/>
        <w:gridCol w:w="411"/>
        <w:gridCol w:w="211"/>
        <w:gridCol w:w="991"/>
        <w:gridCol w:w="109"/>
        <w:gridCol w:w="109"/>
        <w:gridCol w:w="109"/>
        <w:gridCol w:w="109"/>
        <w:gridCol w:w="217"/>
        <w:gridCol w:w="759"/>
        <w:gridCol w:w="112"/>
        <w:gridCol w:w="109"/>
        <w:gridCol w:w="109"/>
        <w:gridCol w:w="109"/>
        <w:gridCol w:w="211"/>
        <w:gridCol w:w="993"/>
        <w:gridCol w:w="109"/>
        <w:gridCol w:w="109"/>
        <w:gridCol w:w="109"/>
        <w:gridCol w:w="109"/>
        <w:gridCol w:w="211"/>
        <w:gridCol w:w="991"/>
        <w:gridCol w:w="109"/>
        <w:gridCol w:w="109"/>
        <w:gridCol w:w="109"/>
        <w:gridCol w:w="109"/>
        <w:gridCol w:w="263"/>
        <w:gridCol w:w="507"/>
        <w:gridCol w:w="136"/>
        <w:gridCol w:w="109"/>
        <w:gridCol w:w="109"/>
        <w:gridCol w:w="109"/>
        <w:gridCol w:w="211"/>
        <w:gridCol w:w="993"/>
        <w:gridCol w:w="161"/>
      </w:tblGrid>
      <w:tr>
        <w:trPr/>
        <w:tc>
          <w:tcPr>
            <w:tcW w:w="45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Exchanges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Impact of Foreign Exchanges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Subscriptions and licenses </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1,268,696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1,290,371</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12,626</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1,625,272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Reconciliation of revenue to revenue in constant currency for the year ended December 31, 2024:</w:t>
      </w:r>
    </w:p>
    <w:tbl>
      <w:tblPr>
        <w:tblW w:w="10205" w:type="dxa"/>
        <w:jc w:val="left"/>
        <w:tblInd w:w="0" w:type="dxa"/>
        <w:tblLayout w:type="fixed"/>
        <w:tblCellMar>
          <w:top w:w="28" w:type="dxa"/>
          <w:left w:w="28" w:type="dxa"/>
          <w:bottom w:w="28" w:type="dxa"/>
          <w:right w:w="28" w:type="dxa"/>
        </w:tblCellMar>
      </w:tblPr>
      <w:tblGrid>
        <w:gridCol w:w="466"/>
        <w:gridCol w:w="412"/>
        <w:gridCol w:w="417"/>
        <w:gridCol w:w="211"/>
        <w:gridCol w:w="991"/>
        <w:gridCol w:w="109"/>
        <w:gridCol w:w="109"/>
        <w:gridCol w:w="109"/>
        <w:gridCol w:w="109"/>
        <w:gridCol w:w="227"/>
        <w:gridCol w:w="680"/>
        <w:gridCol w:w="117"/>
        <w:gridCol w:w="109"/>
        <w:gridCol w:w="109"/>
        <w:gridCol w:w="109"/>
        <w:gridCol w:w="211"/>
        <w:gridCol w:w="995"/>
        <w:gridCol w:w="109"/>
        <w:gridCol w:w="109"/>
        <w:gridCol w:w="109"/>
        <w:gridCol w:w="109"/>
        <w:gridCol w:w="211"/>
        <w:gridCol w:w="991"/>
        <w:gridCol w:w="109"/>
        <w:gridCol w:w="109"/>
        <w:gridCol w:w="109"/>
        <w:gridCol w:w="109"/>
        <w:gridCol w:w="275"/>
        <w:gridCol w:w="529"/>
        <w:gridCol w:w="142"/>
        <w:gridCol w:w="109"/>
        <w:gridCol w:w="109"/>
        <w:gridCol w:w="109"/>
        <w:gridCol w:w="211"/>
        <w:gridCol w:w="995"/>
        <w:gridCol w:w="162"/>
      </w:tblGrid>
      <w:tr>
        <w:trPr/>
        <w:tc>
          <w:tcPr>
            <w:tcW w:w="46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Exchanges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Exchanges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Subscriptions and licenses </w:t>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1,290,371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w:t>
            </w:r>
            <w:r>
              <w:rPr>
                <w:color w:val="000000"/>
              </w:rPr>
              <w:t>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1,289,045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1,208,669</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1,208,669</w:t>
            </w:r>
            <w:r>
              <w:rPr>
                <w:color w:val="000000"/>
              </w:rPr>
              <w:t>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p>
        </w:tc>
        <w:tc>
          <w:tcPr>
            <w:tcW w:w="21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0"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w:t>
            </w:r>
            <w:r>
              <w:rPr>
                <w:color w:val="000000"/>
              </w:rPr>
              <w:t> </w:t>
            </w:r>
          </w:p>
        </w:tc>
        <w:tc>
          <w:tcPr>
            <w:tcW w:w="11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1,614,844</w:t>
            </w:r>
            <w:r>
              <w:rPr>
                <w:color w:val="000000"/>
              </w:rPr>
              <w:t> </w:t>
            </w:r>
          </w:p>
        </w:tc>
        <w:tc>
          <w:tcPr>
            <w:tcW w:w="10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0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6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46685"/>
                <wp:effectExtent l="0" t="0" r="0" b="0"/>
                <wp:wrapNone/>
                <wp:docPr id="379" name="Frame3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Sources of Historical Liquidity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historically generated positive cash flow from operations; however, as part of Hexagon, Octave has been dependent upon Hexagon for all of its working capital and financing requirements. Hexagon uses a centralized approach to cash management and financing of its operations. Accordingly, a substantial portion of the Octave Business’ cash accounts are regularly cleared to Hexagon at Hexagon’s discretion, and Hexagon funds its operating and investing activities as needed. This arrangement is not reflective of the manner in which the Octave Business would have been able to finance its operations had it been a standalone business separate from Hexagon during the periods presented. Transfers of cash between Hexagon and the Octave Business are included within Net transfers (to) from Parent in the Combined Statements of Cash Flows and the Combined Statements of Equity included elsewhere in this information statement.</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continually evaluate our liquidity requirements in light of our operating needs, growth initiatives and capital resources. In conjunction with the planned Distribution, we expect to further evaluate our liquidity needs, capital structure and sources of capital on a standalone basis and expect to enter into future borrowings. For further information on the future sources of liquidity and capital resources for our business, see “Future Sources of Liquidity” below.</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Future Sources of Liquidity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Following the Distribution, our capital structure and sources of liquidity will change from our historical capital structure because we will no longer be part of Hexagon’s centralized treasury management and centralized funding programs. Our ability to fund our operating needs will depend on our ability to continue to generate positive cash flows from operations, and on our ability to obtain debt financing on acceptable terms or to issue additional equity or equity-linked securities not anticipated in this information statement. Management believes that our cash balances and funds provided by operating activities, along with expected borrowing capacity and access to capital markets, taken as a whole, will provide (i) adequate liquidity to meet all of our current and long-term obligations when due, including third-party debt that we expect to incur in connection with the Distribution, (ii) adequate liquidity to fund capital expenditures and (iii) flexibility to meet investment opportunities that may arise. However, we cannot assure that we will be able to obtain additional debt or equity financing on acceptable terms in the future.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connection with the Distribution, we expect to incur indebtedness of $525.0 million. A combination of proceeds from this debt issuance and Cash and cash equivalents on hand will be used to fund a cash payment from the Octave Business to Hexagon in connection with the Distribution. </w:t>
      </w:r>
      <w:r>
        <w:rPr>
          <w:rFonts w:ascii="Times New Roman;serif" w:hAnsi="Times New Roman;serif"/>
          <w:b w:val="false"/>
          <w:color w:val="000000"/>
          <w:sz w:val="20"/>
        </w:rPr>
        <w:t xml:space="preserve">The actual cash payment amount will be finalized immediately prior to Distribution based upon an assessment of the net debt to adjusted earnings ratio for both Octave and Hexagon whereby the two companies intend to have a similar ratio immediately following the Distribution.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to utilize our cash flows to continue to invest in our business, growth strategies, people and the communities we operate in as well as to repay our indebtedness over time. </w:t>
      </w:r>
    </w:p>
    <w:p>
      <w:pPr>
        <w:pStyle w:val="TextBody"/>
        <w:bidi w:val="0"/>
        <w:spacing w:before="0" w:after="180"/>
        <w:jc w:val="both"/>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46685"/>
                <wp:effectExtent l="0" t="0" r="0" b="0"/>
                <wp:wrapNone/>
                <wp:docPr id="380" name="Frame3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 Activity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Summarized cash flow information for the years ended December 31, 2025, 2024, and 2023 is as follows:</w:t>
      </w:r>
    </w:p>
    <w:tbl>
      <w:tblPr>
        <w:tblW w:w="8622" w:type="dxa"/>
        <w:jc w:val="left"/>
        <w:tblInd w:w="0" w:type="dxa"/>
        <w:tblLayout w:type="fixed"/>
        <w:tblCellMar>
          <w:top w:w="28" w:type="dxa"/>
          <w:left w:w="28" w:type="dxa"/>
          <w:bottom w:w="28" w:type="dxa"/>
          <w:right w:w="28" w:type="dxa"/>
        </w:tblCellMar>
      </w:tblPr>
      <w:tblGrid>
        <w:gridCol w:w="1542"/>
        <w:gridCol w:w="1357"/>
        <w:gridCol w:w="1361"/>
        <w:gridCol w:w="211"/>
        <w:gridCol w:w="901"/>
        <w:gridCol w:w="109"/>
        <w:gridCol w:w="109"/>
        <w:gridCol w:w="109"/>
        <w:gridCol w:w="109"/>
        <w:gridCol w:w="211"/>
        <w:gridCol w:w="901"/>
        <w:gridCol w:w="109"/>
        <w:gridCol w:w="109"/>
        <w:gridCol w:w="109"/>
        <w:gridCol w:w="109"/>
        <w:gridCol w:w="211"/>
        <w:gridCol w:w="90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financing activities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Activities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provided by operating activities decreased by $36.3 million, primarily due to a decrease in net income of $63.1 million and a decrease in net cash flows from the change in operating assets and liabilities of $24.0 million, offset by an increase in non-cash adjustments of $50.8 million. The decrease in net cash flows from the change in operating assets and liabilities was primarily due to </w:t>
      </w:r>
      <w:r>
        <w:rPr>
          <w:rFonts w:ascii="Times New Roman;serif" w:hAnsi="Times New Roman;serif"/>
          <w:b w:val="false"/>
          <w:color w:val="000000"/>
          <w:sz w:val="20"/>
        </w:rPr>
        <w:t>timing of collections on receivables, utilization of current assets, recognition of deferred revenue, and the timing of cash disbursements for operating assets and liabilities. The increase in n</w:t>
      </w:r>
      <w:r>
        <w:rPr>
          <w:rFonts w:ascii="Times New Roman;serif" w:hAnsi="Times New Roman;serif"/>
          <w:b w:val="false"/>
          <w:color w:val="000000"/>
          <w:sz w:val="20"/>
          <w:shd w:fill="FFFFFF" w:val="clear"/>
        </w:rPr>
        <w:t>on-cash adjustments was primarily driven by an increase in depreciation and amortization, timing of restructuring and other charges, increased deferred income tax expense, and the loss on divestitures, which were partially offset by the impact of the remeasurement of contingent consideration.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$65.7 million, primarily due to an increase in net income of $65.6 million, with offsetting impacts from an increase in net cash flows from the change in operating assets and liabilities of $61.6 million and a net decrease in non-cash adjustments of $61.5 million. The increase in net cash flows from the change in operating assets and liabilities was primarily due to the timing of collections on receivables, utilization of current assets, recognition of deferred revenue, and the timing of cash disbursements for operating assets and liabilities. The decrease in non-cash adjustments was primarily due to lower deferred income tax expense, timing of restructuring and other charges, and impairment of intangible assets, which were partially offset by the impact of the remeasurement of contingent consideration and increased depreciation and amortization. </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Investing Activities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decreased by $60.2 million, primarily due to the proceeds from divestitures of $57.0 million.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by $267.1 million, primarily due to a decrease in cash paid for acquisitions of $282.6 million, partially offset by a $12.6 million increase in capitalization of software development costs. The decrease in acquisition-related costs was due to the Qognify and Projectmates acquisitions in 2023.</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Activities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by $25.2 million due to a decrease in net transfers to Hexagon.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compared with 2023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by $357.6 million due to an increase in net transfers to Hexagon.</w:t>
      </w:r>
    </w:p>
    <w:p>
      <w:pPr>
        <w:pStyle w:val="TextBody"/>
        <w:bidi w:val="0"/>
        <w:spacing w:before="0" w:after="180"/>
        <w:jc w:val="both"/>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46685"/>
                <wp:effectExtent l="0" t="0" r="0" b="0"/>
                <wp:wrapNone/>
                <wp:docPr id="381" name="Frame3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and Cash Requirements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As of December 31, 2025, our cash and cash equivalents totaled </w:t>
      </w:r>
      <w:r>
        <w:rPr>
          <w:rFonts w:ascii="Times New Roman;serif" w:hAnsi="Times New Roman;serif"/>
          <w:b w:val="false"/>
          <w:color w:val="000000"/>
          <w:sz w:val="20"/>
        </w:rPr>
        <w:t>$156.1</w:t>
      </w:r>
      <w:r>
        <w:rPr>
          <w:color w:val="000000"/>
          <w:shd w:fill="FFFFFF" w:val="clear"/>
        </w:rPr>
        <w:t xml:space="preserve"> </w:t>
      </w:r>
      <w:r>
        <w:rPr>
          <w:rFonts w:ascii="Times New Roman;serif" w:hAnsi="Times New Roman;serif"/>
          <w:b w:val="false"/>
          <w:color w:val="000000"/>
          <w:sz w:val="20"/>
          <w:shd w:fill="FFFFFF" w:val="clear"/>
        </w:rPr>
        <w:t>million. Our ability to generate positive cash flows from operations is dependent on general economic conditions, and the competitive environment in our industry, and is subject to the business and other risk factors described in the section of this information statement titled “Risk Factors.” If we are unable to generate sufficient cash flows from operations or otherwise comply with the terms of any external borrowings, we may be required to seek additional financing alternatives.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we have sufficient liquidity based on our current cash position, cash flows from operations and expected future financing to meet our expected payments related to our material cash requirements for at least the next 12 months.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and Cash Equivalents Held by non-U.S. Subsidiaries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and cash equivalents held by our non-U.S. subsidiaries were $141.8 million and $87.2 million as of December 31, 2025 and 2024, respectively.</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Contractual Obligations and Other Commitments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enter into various contractual obligations that impact, or could impact, the liquidity of our operations. The following table summarizes our most significant contractual obligations as of December 31, 2025:</w:t>
      </w:r>
    </w:p>
    <w:tbl>
      <w:tblPr>
        <w:tblW w:w="6626" w:type="dxa"/>
        <w:jc w:val="left"/>
        <w:tblInd w:w="0" w:type="dxa"/>
        <w:tblLayout w:type="fixed"/>
        <w:tblCellMar>
          <w:top w:w="28" w:type="dxa"/>
          <w:left w:w="28" w:type="dxa"/>
          <w:bottom w:w="28" w:type="dxa"/>
          <w:right w:w="28" w:type="dxa"/>
        </w:tblCellMar>
      </w:tblPr>
      <w:tblGrid>
        <w:gridCol w:w="962"/>
        <w:gridCol w:w="843"/>
        <w:gridCol w:w="849"/>
        <w:gridCol w:w="211"/>
        <w:gridCol w:w="841"/>
        <w:gridCol w:w="109"/>
        <w:gridCol w:w="109"/>
        <w:gridCol w:w="109"/>
        <w:gridCol w:w="109"/>
        <w:gridCol w:w="211"/>
        <w:gridCol w:w="736"/>
        <w:gridCol w:w="109"/>
        <w:gridCol w:w="109"/>
        <w:gridCol w:w="109"/>
        <w:gridCol w:w="109"/>
        <w:gridCol w:w="211"/>
        <w:gridCol w:w="73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obligations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obligations </w:t>
            </w:r>
            <w:r>
              <w:rPr>
                <w:rFonts w:ascii="Times New Roman;serif" w:hAnsi="Times New Roman;serif"/>
                <w:b w:val="false"/>
                <w:color w:val="000000"/>
                <w:sz w:val="13"/>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contractual obligations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133,087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78,352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(1)Purchase obligations are entered into with various vendors in the normal course of business and are consistent with our expected requirements. Additionally, the long-term purchase obligations reflect the Company’s operational preparation for spin-off.</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(2)Commitments under operating leases primarily relate to leasehold properties and automobiles. See Note 8 “Leases” of the Notes to Combined Financial Statements for additional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above table excludes estimated principal amount of indebtedness of approximately $525.0 million and associated estimated interest payments of $24.5 million per year in connection with the Distribution. See “Description of Material Indebtedness” for additional discussion. The actual interest rates of indebtedness may change from those estimated above. It is estimated that for every incremental 0.125 percent change (increase or decrease) from those assumed, interest expense could change by approximately $0.7 million per year.</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Capital Expenditures</w:t>
      </w:r>
    </w:p>
    <w:p>
      <w:pPr>
        <w:pStyle w:val="TextBody"/>
        <w:bidi w:val="0"/>
        <w:spacing w:lineRule="auto" w:line="288" w:before="0" w:after="180"/>
        <w:jc w:val="both"/>
        <w:rPr/>
      </w:pPr>
      <w:r>
        <w:rPr>
          <w:rFonts w:ascii="Times New Roman;serif" w:hAnsi="Times New Roman;serif"/>
          <w:b w:val="false"/>
          <w:color w:val="000000"/>
          <w:sz w:val="20"/>
        </w:rPr>
        <w:t xml:space="preserve">Octave’s capital expenditures primarily consist of leasehold improvements, investment in our owned facilities and replacement and replenishment of personal computers for business use. For the years ended December 31, 2025, 2024, and 2023, capital expenditures were $9.5 million, </w:t>
      </w:r>
      <w:r>
        <w:rPr>
          <w:rFonts w:ascii="Times New Roman;serif" w:hAnsi="Times New Roman;serif"/>
          <w:b w:val="false"/>
          <w:color w:val="000000"/>
          <w:sz w:val="20"/>
          <w:shd w:fill="FFFFFF" w:val="clear"/>
        </w:rPr>
        <w:t>$7.1 million, $9.9 million, respectively</w:t>
      </w:r>
      <w:r>
        <w:rPr>
          <w:rFonts w:ascii="Times New Roman;serif" w:hAnsi="Times New Roman;serif"/>
          <w:b w:val="false"/>
          <w:color w:val="000000"/>
          <w:sz w:val="20"/>
        </w:rPr>
        <w:t xml:space="preserve">. </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Parent Company Credit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Hexagon provides Octave with parent credit support in certain jurisdictions. To support Octave in selling products and services globally, Hexagon entered into and may enter into contracts on behalf of Octave or issue parent company guarantees or letters of credit. Hexagon also provides similar credit support for some non-customer related activities of Octave. There are no known instances historically where payments or performance from Hexagon were required under parent company guarantees relating to Octave’s customer contracts. As such, no amounts related to parent company guarantees have been recorded by Octave in the Combined Financial Statements as of or for the years ended December 31, 2025, 2024, and 2023. See “Certain Relationships and Related Party Transactions—Relationship Between Hexagon and Octave After the Distribution—Distribution Agreement.”</w:t>
      </w:r>
    </w:p>
    <w:p>
      <w:pPr>
        <w:pStyle w:val="TextBody"/>
        <w:bidi w:val="0"/>
        <w:spacing w:before="0" w:after="180"/>
        <w:jc w:val="both"/>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46685"/>
                <wp:effectExtent l="0" t="0" r="0" b="0"/>
                <wp:wrapNone/>
                <wp:docPr id="382" name="Frame3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Off-Balance Sheet Arrangements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Octave does not engage in any off-balance sheet financial arrangements that have or are reasonably likely to have a material current or future effect on our financial condition, changes in financial condition, revenue or expenses, results of operations, liquidity, capital expenditures or capital resources.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our Combined Financial Statements in accordance with U.S. GAAP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Combined Financial Statements.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0" w:after="180"/>
        <w:jc w:val="both"/>
        <w:rPr/>
      </w:pPr>
      <w:r>
        <w:rPr>
          <w:rFonts w:ascii="Times New Roman;serif" w:hAnsi="Times New Roman;serif"/>
          <w:b w:val="false"/>
          <w:color w:val="000000"/>
          <w:sz w:val="20"/>
        </w:rPr>
        <w:t>The recognition of revenue requires judgment and estimation by management, particularly in arrangements that include multiple products and services. Our contracts with customers may include promises to transfer licenses,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and estimation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r>
        <w:rPr>
          <w:rFonts w:ascii="Times New Roman;serif" w:hAnsi="Times New Roman;serif"/>
          <w:b w:val="false"/>
          <w:color w:val="000000"/>
          <w:sz w:val="20"/>
          <w:shd w:fill="FFFFFF" w:val="clear"/>
        </w:rPr>
        <w:t>.</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consists of the excess of the purchase price over the fair value of net assets acquired in business combinations. Goodwill is not amortized but instead is assessed for impairment at the reporting unit level annually during the fourth quarter of each year, or if a triggering event occurs or changes in circumstances indicate that the carrying amount may not be fully recoverable. In performing our annual impairment test, we may first perform a qualitative assessment, which involves judgment in evaluating company-specific factors such as financial performance and long-range plans, industry conditions, and macroeconomic factors. If a quantitative assessment is required, we estimate the fair value utilizing a discounted cash flow analysis, including strategic and annual operating plans, adjusted for terminal value assumptions. These impairment tests use accounting estimates and assumptions, which require judgment in developing projections about future revenue growth, operating margins, capital expenditures, and the appropriate discount rate. The discount rate is based on a weighted average cost of capital, which incorporates market data from a group of comparable companies as well as a risk premium. To address this uncertainty, we perform sensitivity analysis on key accounting estimates and assumptions. Once the fair value is determined, if the carrying amount exceeds the fair value, it is impaired. Any impairment is measured as the difference between the carrying amount and its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was no goodwill impairment as a result of the Company’s annual impairment assessments conducted during the years ended December 31, 2025, 2024, or 2023.</w:t>
      </w:r>
    </w:p>
    <w:p>
      <w:pPr>
        <w:pStyle w:val="TextBody"/>
        <w:bidi w:val="0"/>
        <w:spacing w:before="0" w:after="180"/>
        <w:jc w:val="both"/>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46685"/>
                <wp:effectExtent l="0" t="0" r="0" b="0"/>
                <wp:wrapNone/>
                <wp:docPr id="383" name="Frame3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 xml:space="preserve">The Company’s quantitative impairment assessment conducted during the year ended December 31, 2025 was performed utilizing a discounted cash flow analysis which required judgment in developing projections about </w:t>
      </w:r>
      <w:r>
        <w:rPr>
          <w:rFonts w:ascii="Times New Roman;serif" w:hAnsi="Times New Roman;serif"/>
          <w:b w:val="false"/>
          <w:color w:val="000000"/>
          <w:sz w:val="20"/>
          <w:shd w:fill="FFFFFF" w:val="clear"/>
        </w:rPr>
        <w:t>future revenue growth, operating margins, capital expenditures, and the appropriate discount rate, all of which serve as key assumptions. While there was no goodwill impairment a</w:t>
      </w:r>
      <w:r>
        <w:rPr>
          <w:rFonts w:ascii="Times New Roman;serif" w:hAnsi="Times New Roman;serif"/>
          <w:b w:val="false"/>
          <w:color w:val="000000"/>
          <w:sz w:val="20"/>
        </w:rPr>
        <w:t>s a result of the Company’s annual impairment assessment, the estimated fair value of the Company’s single reporting unit only exceeded its carrying value by approximately 8% (headroom).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two primary assumptions utilized in determining the fair value of the reporting unit were the long-term revenue growth rate of 3.0% growth and the discount rate of 10.0%. Holding all other assumptions constant, a hypothetical 100 basis point decrease in the long-term revenue growth rate assumption would decrease the fair value of the reporting unit by approximately 8.3%, and a hypothetical 100 basis point increase in the discount rate assumption would decrease the fair value of the reporting unit by approximately 12.2%. Either change could result in a hypothetical impairment charge.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Accordingly, a relatively small change in the underlying assumptions could affect the estimated fair value of the Company’s single reporting unit, and as such, could result in impairment charges in future periods.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Intangible Assets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Intangible assets arise from acquisitions and principally consist of developed technology, customer relationships, capitalized software development expenses, other intangible assets, and trademarks. Intangible assets with a definite-life are amortized on a straight-line basis over their estimated useful lives. Intangible assets with an indefinite-life, such as trademarks, are not amortized. Intangible assets with a definite-life are evaluated for impairment whenever events or changes in circumstances indicate that their carrying amounts may not be recoverable. In such cases, we compare the carrying amount of the asset group that includes the intangible asset to the sum of the undiscounted future cash flows to be generated from the asset group. If the carrying amount of the asset group is not recoverable, we then determine the fair value of the asset group and record an impairment loss for the amount by which the carrying amount exceeds fair value. Intangible assets with an indefinite-life, such as trademarks, are tested for impairment at least annually during the fourth quarter, or more frequently if indicators of impairment exist. The impairment test compares the carrying value of the indefinite-life asset to its estimated fair value. If the carrying amount exceeds the estimated fair value, an impairment charge is recognized for the difference. The evaluation of intangible assets, both definite-life and indefinite-life, involves judgment. Key estimates include projected future revenue, operating margins, royalty rates, discount rates, and terminal values, as well as the determination of asset groupings for recoverability testing. These assumptions are inherently uncertain, and change in expectations about future results, industry conditions, or macroeconomic factors could have an impact on the timing or amount of impairment charges recognized. Our estimates of fair value are based upon assumptions believed to be reasonable at that time, but which are inherently uncertain and unpredictable. Assumptions may be incomplete or inaccurate, and unanticipated events and circumstances may occur, which may affect the accuracy or validity of such assumptions, estimates or actual results.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pStyle w:val="TextBody"/>
        <w:bidi w:val="0"/>
        <w:spacing w:before="0" w:after="180"/>
        <w:jc w:val="both"/>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46685"/>
                <wp:effectExtent l="0" t="0" r="0" b="0"/>
                <wp:wrapNone/>
                <wp:docPr id="384" name="Frame3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180"/>
        <w:jc w:val="both"/>
        <w:rPr/>
      </w:pPr>
      <w:r>
        <w:rPr>
          <w:rFonts w:ascii="Times New Roman;serif" w:hAnsi="Times New Roman;serif"/>
          <w:b w:val="false"/>
          <w:i/>
          <w:color w:val="000000"/>
          <w:sz w:val="20"/>
          <w:shd w:fill="FFFFFF" w:val="clear"/>
        </w:rPr>
        <w:t xml:space="preserve">Recent Accounting Pronouncements </w:t>
      </w:r>
      <w:r>
        <w:rPr>
          <w:rFonts w:ascii="Times New Roman;serif" w:hAnsi="Times New Roman;serif"/>
          <w:b w:val="false"/>
          <w:color w:val="000000"/>
          <w:sz w:val="20"/>
          <w:shd w:fill="FFFFFF" w:val="clear"/>
        </w:rPr>
        <w:t>See Note 2 “Summary of Significant Accounting Policies” of the Notes to Combined Financial Statements for a discussion of recent accounting pronouncements.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Risks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a global business in a wide variety of foreign currencies and are exposed to market risk for changes in foreign currency exchange rates arising from international financing activities between subsidiaries, foreign currency denominated monetary assets and liabilities, and transactions arising from international trade. Although Hexagon uses financial instruments to hedge certain foreign currency risks, we are not protected against foreign currency fluctuations and our reported results of operations could be affected by changes in foreign currency exchange rates. The primary currencies for which we have exchange rate exposure are the U.S. dollar versus the Euro. Following the Distribution, we intend to implement a foreign currency risk management program.</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Rate Risk</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Combined Balance Sheets and Combined Statements of Operations do not include an attribution of Hexagon’s third-party debt or interest expense from Hexagon because we are not the legal obligor of the debt and the borrowings were not directly attributable to our business. We expect to incur indebtedness in connection with the Distribution, at which time our exposure to interest rate risk is expected to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385" name="Frame3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CORPORATE GOVERNANCE AND MANAGEMENT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Directors and Executive Officers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individuals serving on the Board, each of whom is expected, as of the date of this information statement, to serve on the Board following the completion of the Distribution. It is followed by a biography of each such individual. We may name and present additional nominees for election prior to the Distribution.</w:t>
      </w:r>
    </w:p>
    <w:tbl>
      <w:tblPr>
        <w:tblW w:w="5497" w:type="dxa"/>
        <w:jc w:val="left"/>
        <w:tblInd w:w="0" w:type="dxa"/>
        <w:tblLayout w:type="fixed"/>
        <w:tblCellMar>
          <w:top w:w="28" w:type="dxa"/>
          <w:left w:w="28" w:type="dxa"/>
          <w:bottom w:w="28" w:type="dxa"/>
          <w:right w:w="28" w:type="dxa"/>
        </w:tblCellMar>
      </w:tblPr>
      <w:tblGrid>
        <w:gridCol w:w="553"/>
        <w:gridCol w:w="487"/>
        <w:gridCol w:w="490"/>
        <w:gridCol w:w="109"/>
        <w:gridCol w:w="109"/>
        <w:gridCol w:w="109"/>
        <w:gridCol w:w="159"/>
        <w:gridCol w:w="159"/>
        <w:gridCol w:w="161"/>
        <w:gridCol w:w="109"/>
        <w:gridCol w:w="109"/>
        <w:gridCol w:w="109"/>
        <w:gridCol w:w="829"/>
        <w:gridCol w:w="829"/>
        <w:gridCol w:w="1176"/>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Position </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 Director</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Jill D. Smith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J. Hollister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Magnus Ahlqvist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Meerah Rajavel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0" w:after="180"/>
        <w:jc w:val="both"/>
        <w:rPr/>
      </w:pPr>
      <w:r>
        <w:rPr>
          <w:rFonts w:ascii="Times New Roman;serif" w:hAnsi="Times New Roman;serif"/>
          <w:b/>
          <w:color w:val="000000"/>
          <w:sz w:val="20"/>
        </w:rPr>
        <w:t xml:space="preserve">Brett Watson. </w:t>
      </w:r>
      <w:r>
        <w:rPr>
          <w:rFonts w:ascii="Times New Roman;serif" w:hAnsi="Times New Roman;serif"/>
          <w:b w:val="false"/>
          <w:color w:val="000000"/>
          <w:sz w:val="20"/>
        </w:rPr>
        <w:t>Mr. Watson serves as an independent director and Chairman of the board of Octave. Since January 1, 2026, Mr. Watson has served as President of Koch Equity, overseeing Koch Equity Development, Koch Disruptive Technologies, and Koch Real Estate Investments. During the preceding five years, Mr. Watson served as President of Koch Equity Development. Mr. Watson is also an officer of Koch Inc., where he serves as Vice President, Equity Development. He has more than 20 years of financial and executive experience, as well as broad public and private board and committee experience. Mr. Watson currently serves as a director of the parent companies of Infor, Transaction Network Services, MITER Brands, Getty Images (NYSE: GETY) and Molex. He serves as Chairman of the Compensation Committee at Getty Images, as a member of the Compensation Committee of MITER Brands, and as a member of the Nomination Committee of Hexagon AB (Nasdaq Stockholm: HEXA-B). He formerly served on the boards of directors of Hexagon AB, ADT Inc. (NYSE: ADT), Solera Holdings Inc., Globus, and the Flint Group. Mr. Watson holds a Bachelor of Science and a Master of Business Administration from Binghamton University. We believe Mr. Watson is well-qualified to serve as Chairman of our Board due to his extensive financial and executive leadership experience, as well as his significant public and private company board experience.</w:t>
      </w:r>
    </w:p>
    <w:p>
      <w:pPr>
        <w:pStyle w:val="TextBody"/>
        <w:bidi w:val="0"/>
        <w:spacing w:lineRule="auto" w:line="288" w:before="0" w:after="180"/>
        <w:jc w:val="both"/>
        <w:rPr/>
      </w:pPr>
      <w:r>
        <w:rPr>
          <w:rFonts w:ascii="Times New Roman;serif" w:hAnsi="Times New Roman;serif"/>
          <w:b/>
          <w:color w:val="000000"/>
          <w:sz w:val="20"/>
        </w:rPr>
        <w:t xml:space="preserve">Mattias Stenberg. </w:t>
      </w:r>
      <w:r>
        <w:rPr>
          <w:rFonts w:ascii="Times New Roman;serif" w:hAnsi="Times New Roman;serif"/>
          <w:b w:val="false"/>
          <w:color w:val="000000"/>
          <w:sz w:val="20"/>
        </w:rPr>
        <w:t>The biography of Mattias Stenberg is set forth below under “—Executive Officers.”</w:t>
      </w:r>
    </w:p>
    <w:p>
      <w:pPr>
        <w:pStyle w:val="TextBody"/>
        <w:bidi w:val="0"/>
        <w:spacing w:lineRule="auto" w:line="288" w:before="0" w:after="180"/>
        <w:jc w:val="both"/>
        <w:rPr/>
      </w:pPr>
      <w:r>
        <w:rPr>
          <w:rFonts w:ascii="Times New Roman;serif" w:hAnsi="Times New Roman;serif"/>
          <w:b/>
          <w:color w:val="000000"/>
          <w:sz w:val="20"/>
        </w:rPr>
        <w:t>Jill D. Smith</w:t>
      </w:r>
      <w:r>
        <w:rPr>
          <w:rFonts w:ascii="Times New Roman;serif" w:hAnsi="Times New Roman;serif"/>
          <w:b w:val="false"/>
          <w:color w:val="000000"/>
          <w:sz w:val="20"/>
        </w:rPr>
        <w:t>. Ms. Smith serves as an independent director of Octave. Since 2020, Ms. Smith has served as a non-executive director of public and private companies, including as a director of Securitas AB (Nasdaq Stockholm: SECU-B) since May 2025, Evolent Health (NYSE: EVH) since November 2025, Check Point Software (Nasdaq-GS: CHKP) since November 2023, and MDA Space (TSX: MDA) since April 2021. She currently serves as Chair of the Nominating &amp; Governance Committee of Check Point Software and as Chair of the Nominating &amp; Governance Committee and a member of the Compensation Committee of MDA Space. From April 2021 to May 2024, Ms. Smith served as Board Chair of Aspen Technology. She previously served as a director of other international companies, including Hexagon AB (Nasdaq Stockholm: HEXA-B). Ms. Smith previously served as chief executive officer of DigitalGlobe and Allied Minds (LSE: ALM). Ms. Smith holds a Master of Science in Management from the MIT Sloan School of Management and a Bachelor of Arts in Business Studies. We believe Ms. Smith is well-qualified to serve on our Board because of her significant leadership experience in industries relevant to our business in addition to financial expertise.</w:t>
      </w:r>
    </w:p>
    <w:p>
      <w:pPr>
        <w:pStyle w:val="TextBody"/>
        <w:bidi w:val="0"/>
        <w:spacing w:before="0" w:after="180"/>
        <w:jc w:val="both"/>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386" name="Frame3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color w:val="000000"/>
          <w:sz w:val="20"/>
        </w:rPr>
        <w:t>David J. Hollister</w:t>
      </w:r>
      <w:r>
        <w:rPr>
          <w:rFonts w:ascii="Times New Roman;serif" w:hAnsi="Times New Roman;serif"/>
          <w:b w:val="false"/>
          <w:color w:val="000000"/>
          <w:sz w:val="20"/>
        </w:rPr>
        <w:t>. Mr. Hollister serves as an independent director of Octave. Mr. Hollister has served on the board of directors of iDEAL Semiconductor, Inc. since March 2023 and as an advisory board member of InEight Software since August 2024 and L.A.T. Sportswear since December 2024. Prior to his retirement in April 2023, Mr. Hollister held various positions at Bentley Systems, Inc. (Nasdaq-GS: BSY) from 2006 to 2023, including as chief financial officer, chief operations advancement officer, and chief investment officer. Mr. Hollister is a Certified Public Accountant and qualifies as a financial expert for audit committee purposes. Mr. Hollister holds a Master of Business Administration from the University of Michigan and a Bachelor of Science in Business Administration and Accounting from the University of Northern Colorado. We believe Mr. Hollister is well-suited to serve on our board of directors given his leadership experience, relevant software industry experience, and financial and accounting expertise.</w:t>
      </w:r>
    </w:p>
    <w:p>
      <w:pPr>
        <w:pStyle w:val="TextBody"/>
        <w:bidi w:val="0"/>
        <w:spacing w:lineRule="auto" w:line="288" w:before="0" w:after="180"/>
        <w:jc w:val="both"/>
        <w:rPr/>
      </w:pPr>
      <w:r>
        <w:rPr>
          <w:rFonts w:ascii="Times New Roman;serif" w:hAnsi="Times New Roman;serif"/>
          <w:b/>
          <w:color w:val="000000"/>
          <w:sz w:val="20"/>
        </w:rPr>
        <w:t xml:space="preserve">Magnus Ahlqvist. </w:t>
      </w:r>
      <w:r>
        <w:rPr>
          <w:rFonts w:ascii="Times New Roman;serif" w:hAnsi="Times New Roman;serif"/>
          <w:b w:val="false"/>
          <w:color w:val="000000"/>
          <w:sz w:val="20"/>
        </w:rPr>
        <w:t>Mr. Ahlqvist serves as an independent director of Octave. Mr. Ahlqvist has served as President and Chief Executive Officer of Securitas AB (Nasdaq Stockholm: SECU B) since March 2018. He joined Securitas in August 2015 as Divisional President, Securitas Services Europe, and continued to hold that position until March 2019. Prior to joining Securitas, Mr. Ahlqvist held various senior management positions in the telecommunications and technology industries. He served as Corporate Vice President, EMEA &amp; India at Google-owned Motorola Mobility. Before that, he spent 12 years with Sony and Sony Ericsson Mobile Communications, where he held several leadership roles, including President for Greater China, General Manager for Spain &amp; Portugal, and General Manager for Canada. Mr. Ahlqvist holds a Master of Science in Economics and Business Administration from the Stockholm School of Economics and has completed a leadership program at Harvard Business School. We believe Mr. Ahlqvist is well-suited to serve on our board of directors given his extensive international leadership experience, deep expertise in technology-enabled services, and proven track record of leading and transforming large, global organizations.</w:t>
      </w:r>
    </w:p>
    <w:p>
      <w:pPr>
        <w:pStyle w:val="TextBody"/>
        <w:bidi w:val="0"/>
        <w:spacing w:lineRule="auto" w:line="288" w:before="0" w:after="180"/>
        <w:jc w:val="both"/>
        <w:rPr/>
      </w:pPr>
      <w:r>
        <w:rPr>
          <w:rFonts w:ascii="Times New Roman;serif" w:hAnsi="Times New Roman;serif"/>
          <w:b/>
          <w:color w:val="000000"/>
          <w:sz w:val="20"/>
        </w:rPr>
        <w:t>Meerah Rajavel</w:t>
      </w:r>
      <w:r>
        <w:rPr>
          <w:rFonts w:ascii="Times New Roman;serif" w:hAnsi="Times New Roman;serif"/>
          <w:b w:val="false"/>
          <w:color w:val="000000"/>
          <w:sz w:val="20"/>
        </w:rPr>
        <w:t>. Ms. Rajavel serves as an independent director of Octave. Since Apr, 2022, Ms. Rajavel has served as the Chief Information Officer of Palo Alto Networks (Nasdaq: PANW). Ms. Rajavel has also served on the board of the nonprofit organization Neythiri since Aug 2025. Prior to joining Palo Alto Networks, Ms. Rajavel served as the Chief Information Officer of Citrix from 2019 to 2022. She served as a director and member of the Audit &amp; Risk Committee of Health Alliance Plan from December 2021 to December 2024, and as a director and member of the Compensation Committee of JFrog (Nasdaq: FROG) from November 2021 to June 2023. Previously, Ms. Rajavel also served as the Chief Information Officer and Product Cloud Operations leader for Forcepoint LLC from 2016 to 2019 and as Chief Information Officer and Enterprise Operational Excellence leader for Qlik from 2015 to 2016. Ms. Rajavel holds a Bachelor’s degree in Engineering from Thiagarajar College of Engineering and a Master of Business Administration from the Leavey School of Business at Santa Clara University. We believe Ms. Rajavel is well-qualified to serve on our Board because of her significant executive leadership experience in technology and cybersecurity, as well as her public-company board and committee experience.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concerning our executive officers, including their ages as of the date of this information statement: </w:t>
      </w:r>
    </w:p>
    <w:tbl>
      <w:tblPr>
        <w:tblW w:w="6187"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159"/>
        <w:gridCol w:w="159"/>
        <w:gridCol w:w="161"/>
        <w:gridCol w:w="109"/>
        <w:gridCol w:w="109"/>
        <w:gridCol w:w="109"/>
        <w:gridCol w:w="1007"/>
        <w:gridCol w:w="1007"/>
        <w:gridCol w:w="143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Position </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Maslen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Anthony Zana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Legal Officer, Corporate Secretary </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Cryer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Marketing Officer </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Kaplan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People Officer </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Mokashi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Technology Officer </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Moore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Operating Officer </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Allardyce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Product Officer </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Tamara Adams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Revenue Officer </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387" name="Frame3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color w:val="000000"/>
          <w:sz w:val="20"/>
        </w:rPr>
        <w:t>Mattias Stenberg</w:t>
      </w:r>
      <w:r>
        <w:rPr>
          <w:rFonts w:ascii="Times New Roman;serif" w:hAnsi="Times New Roman;serif"/>
          <w:b w:val="false"/>
          <w:color w:val="000000"/>
          <w:sz w:val="20"/>
        </w:rPr>
        <w:t>. Mr. Stenberg serves as our Chief Executive Officer and serves as a director. Prior to joining Octave, Mr. Stenberg served as president of Hexagon’s Asset Lifecycle Intelligence division (now a part of Octave) from 2017 until 2025, where he oversaw global strategy, product development, and operations across industrial software and digital engineering solutions. Prior to that, from 2009 to 2017, he held other senior leadership positions at Hexagon, including Chief Strategy Officer and Head of M&amp;A. Mr. Stenberg has also served as Director of Intergraph Corporation since 2022. In addition to his role at Octave, Mr. Stenberg has served on the board of directors of Sinch AB since 2024, a publicly traded cloud communications company. He holds a Bachelor of Science in Business Administration and Economics and a degree in Computer Sciences from Linköping University, Sweden.</w:t>
      </w:r>
    </w:p>
    <w:p>
      <w:pPr>
        <w:pStyle w:val="TextBody"/>
        <w:bidi w:val="0"/>
        <w:spacing w:lineRule="auto" w:line="288" w:before="0" w:after="180"/>
        <w:jc w:val="both"/>
        <w:rPr/>
      </w:pPr>
      <w:r>
        <w:rPr>
          <w:rFonts w:ascii="Times New Roman;serif" w:hAnsi="Times New Roman;serif"/>
          <w:b/>
          <w:color w:val="000000"/>
          <w:sz w:val="20"/>
        </w:rPr>
        <w:t>Benjamin Maslen.</w:t>
      </w:r>
      <w:r>
        <w:rPr>
          <w:color w:val="000000"/>
        </w:rPr>
        <w:t xml:space="preserve"> </w:t>
      </w:r>
      <w:r>
        <w:rPr>
          <w:rFonts w:ascii="Times New Roman;serif" w:hAnsi="Times New Roman;serif"/>
          <w:b w:val="false"/>
          <w:color w:val="000000"/>
          <w:sz w:val="20"/>
        </w:rPr>
        <w:t>Mr. Maslen serves as our Chief Financial Officer. Mr. Maslen previously served as the Chief Strategy Officer of Hexagon, from June 2017 until September 2025, and transitioned to the role of Executive Vice President of Octave from September 2025 until the date of separation. Prior to joining Hexagon, between 2000 and 2017, Mr. Maslen was a capital goods and machinery equity research analyst at Morgan Stanley, Bank of America and Lehman Brothers. Mr. Maslen has served on the board of Martlet Capital Limited, a private early-stage venture capital company, since 2022. Mr. Maslen holds a Bachelor of Science in Economics and Politics from Bristol University and is an ICAEW Chartered Accountant.</w:t>
      </w:r>
    </w:p>
    <w:p>
      <w:pPr>
        <w:pStyle w:val="TextBody"/>
        <w:bidi w:val="0"/>
        <w:spacing w:lineRule="auto" w:line="288" w:before="0" w:after="180"/>
        <w:jc w:val="both"/>
        <w:rPr/>
      </w:pPr>
      <w:r>
        <w:rPr>
          <w:rFonts w:ascii="Times New Roman;serif" w:hAnsi="Times New Roman;serif"/>
          <w:b/>
          <w:color w:val="000000"/>
          <w:sz w:val="20"/>
        </w:rPr>
        <w:t>Anthony Zana.</w:t>
      </w:r>
      <w:r>
        <w:rPr>
          <w:color w:val="000000"/>
        </w:rPr>
        <w:t xml:space="preserve"> </w:t>
      </w:r>
      <w:r>
        <w:rPr>
          <w:rFonts w:ascii="Times New Roman;serif" w:hAnsi="Times New Roman;serif"/>
          <w:b w:val="false"/>
          <w:color w:val="000000"/>
          <w:sz w:val="20"/>
        </w:rPr>
        <w:t>Mr. Zana serves as our Chief Legal Officer and Corporate Secretary. Since 2019, Mr. Zana has served as Group General Counsel and Chief Compliance Officer of Hexagon, guiding the global legal affairs of the Hexagon group of companies, and prior to that, was Deputy General Counsel of Hexagon from 2016 to 2019. He has served as Vice President, General Counsel, and Corporate Secretary of Intergraph Corporation since 2011. Prior to working as an in-house counsel, Mr. Zana was an attorney at the law firm Maynard Cooper &amp; Gale P.C. He was previously law clerk to a federal judge serving on the U.S. District Court for the Northern District of Alabama and Eleventh Circuit Court of Appeals, by designation. He holds a Bachelor of Science in Management Information Systems from the University of Alabama at Birmingham and a Juris Doctor from the University of Mississippi School of Law, in addition to holding professional certifications in ethics and compliance. He is admitted to the bar in several U.S. states.</w:t>
      </w:r>
    </w:p>
    <w:p>
      <w:pPr>
        <w:pStyle w:val="TextBody"/>
        <w:bidi w:val="0"/>
        <w:spacing w:lineRule="auto" w:line="288" w:before="0" w:after="180"/>
        <w:jc w:val="both"/>
        <w:rPr/>
      </w:pPr>
      <w:r>
        <w:rPr>
          <w:rFonts w:ascii="Times New Roman;serif" w:hAnsi="Times New Roman;serif"/>
          <w:b/>
          <w:color w:val="000000"/>
          <w:sz w:val="20"/>
        </w:rPr>
        <w:t xml:space="preserve">David Cryer. </w:t>
      </w:r>
      <w:r>
        <w:rPr>
          <w:rFonts w:ascii="Times New Roman;serif" w:hAnsi="Times New Roman;serif"/>
          <w:b w:val="false"/>
          <w:color w:val="000000"/>
          <w:sz w:val="20"/>
        </w:rPr>
        <w:t>Mr. Cryer serves as our Chief Marketing Officer. Mr. Cryer previously served as Senior Vice President &amp; Chief Marketing Officer of Hexagon’s Asset Lifecycle Intelligence division (now a part of Octave) 2017. From 2014 to 2017, he served as Director of Marketing, Asia Pacific at Intergraph PP&amp;M, a wholly-owned subsidiary of Octave. From 2012 to 2014, he was Director, Enterprise Solutions &amp; Scale Marketing at Microsoft North America, and from 2009 to 2012 he served as Director, Cloud Services – The Americas at Microsoft. Earlier in his career, Mr. Cryer held senior marketing leadership roles at Microsoft, Alcatel, Newbridge Networks, and Scitec Limited. He holds a Bachelor of Business Administration, with a major in Marketing, from the University of Technology Sydney.</w:t>
      </w:r>
    </w:p>
    <w:p>
      <w:pPr>
        <w:pStyle w:val="TextBody"/>
        <w:bidi w:val="0"/>
        <w:spacing w:lineRule="auto" w:line="288" w:before="0" w:after="180"/>
        <w:jc w:val="both"/>
        <w:rPr/>
      </w:pPr>
      <w:r>
        <w:rPr>
          <w:rFonts w:ascii="Times New Roman;serif" w:hAnsi="Times New Roman;serif"/>
          <w:b/>
          <w:color w:val="000000"/>
          <w:sz w:val="20"/>
        </w:rPr>
        <w:t xml:space="preserve">Jennifer Kaplan. </w:t>
      </w:r>
      <w:r>
        <w:rPr>
          <w:rFonts w:ascii="Times New Roman;serif" w:hAnsi="Times New Roman;serif"/>
          <w:b w:val="false"/>
          <w:color w:val="000000"/>
          <w:sz w:val="20"/>
        </w:rPr>
        <w:t>Ms. Kaplan serves as the Chief People Officer and is responsible for the strategic direction of the global human resources function for Octave. Prior to joining Octave, Ms. Kaplan served as Senior Vice President, Global Human Resources at Hexagon’s Asset Lifecycle Intelligence division (now a part of Octave) from 2017 to 2025. Ms. Kaplan’s career spans more than 25 years, during which she has held various leadership roles within global software, services and hardware companies. She holds a Bachelor of Arts in Psychology from the University of Arizona.</w:t>
      </w:r>
    </w:p>
    <w:p>
      <w:pPr>
        <w:pStyle w:val="TextBody"/>
        <w:bidi w:val="0"/>
        <w:spacing w:lineRule="auto" w:line="288" w:before="0" w:after="180"/>
        <w:jc w:val="both"/>
        <w:rPr/>
      </w:pPr>
      <w:r>
        <w:rPr>
          <w:rFonts w:ascii="Times New Roman;serif" w:hAnsi="Times New Roman;serif"/>
          <w:b/>
          <w:color w:val="000000"/>
          <w:sz w:val="20"/>
        </w:rPr>
        <w:t>Vivek Mokashi.</w:t>
      </w:r>
      <w:r>
        <w:rPr>
          <w:color w:val="000000"/>
        </w:rPr>
        <w:t xml:space="preserve"> </w:t>
      </w:r>
      <w:r>
        <w:rPr>
          <w:rFonts w:ascii="Times New Roman;serif" w:hAnsi="Times New Roman;serif"/>
          <w:b w:val="false"/>
          <w:color w:val="000000"/>
          <w:sz w:val="20"/>
        </w:rPr>
        <w:t>Mr. Mokashi serves as our Chief Technology Officer. Mr. Mokashi has more than three decades of experience, with roles in Pre-sales, Quality Assurance, Global Support, Product Design and Development. Prior to joining Octave, Mr. Mokashi held senior leadership positions at Hexagon’s Asset Lifecycle Intelligence division (now a part of Octave), including Senior Vice President of Industry Solutions in 2025, Senior Vice President of Solution Design from 2022 to 2024 and Senior Vice President of Development &amp; Quality Assurance beginning in 2019. His career path at Hexagon began as an Application Specialist with Intergraph Singapore in 1993. Mokashi holds a Master’s degree in Mechanical Engineering from the Indian Institute of Technology, Kharagpur. Prior to joining Intergraph, he worked as a design engineer and Intergraph customer within power generation industry.</w:t>
      </w:r>
    </w:p>
    <w:p>
      <w:pPr>
        <w:pStyle w:val="TextBody"/>
        <w:bidi w:val="0"/>
        <w:spacing w:before="0" w:after="180"/>
        <w:jc w:val="both"/>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46685"/>
                <wp:effectExtent l="0" t="0" r="0" b="0"/>
                <wp:wrapNone/>
                <wp:docPr id="388" name="Frame3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color w:val="000000"/>
          <w:sz w:val="20"/>
        </w:rPr>
        <w:t xml:space="preserve">Scott Moore. </w:t>
      </w:r>
      <w:r>
        <w:rPr>
          <w:rFonts w:ascii="Times New Roman;serif" w:hAnsi="Times New Roman;serif"/>
          <w:b w:val="false"/>
          <w:color w:val="000000"/>
          <w:sz w:val="20"/>
        </w:rPr>
        <w:t xml:space="preserve">Mr. Moore serves as our Chief Operating Officer. Prior to joining Octave and since 1993, he has served Hexagon in key business operations roles, including business operations manager for several software business units and specifically, as Chief Financial Officer and Chief Operating Officer of Hexagon’s Asset Lifecycle </w:t>
      </w:r>
      <w:r>
        <w:rPr>
          <w:rFonts w:ascii="Times New Roman;serif" w:hAnsi="Times New Roman;serif"/>
          <w:b w:val="false"/>
          <w:color w:val="000000"/>
          <w:sz w:val="16"/>
        </w:rPr>
        <w:t>Intelligence</w:t>
      </w:r>
      <w:r>
        <w:rPr>
          <w:color w:val="000000"/>
        </w:rPr>
        <w:t xml:space="preserve"> </w:t>
      </w:r>
      <w:r>
        <w:rPr>
          <w:rFonts w:ascii="Times New Roman;serif" w:hAnsi="Times New Roman;serif"/>
          <w:b w:val="false"/>
          <w:color w:val="000000"/>
          <w:sz w:val="20"/>
        </w:rPr>
        <w:t>Division (now a part of Octave). Prior to joining Intergraph, Mr. Moore was a financial analyst with EER Systems, a defense contractor in Huntsville, Alabama. He holds a Bachelor’s degree in Economics from Vanderbilt University and a Master’s degree in Management from the University of Alabama in Huntsville.</w:t>
      </w:r>
    </w:p>
    <w:p>
      <w:pPr>
        <w:pStyle w:val="TextBody"/>
        <w:bidi w:val="0"/>
        <w:spacing w:lineRule="auto" w:line="288" w:before="0" w:after="180"/>
        <w:jc w:val="both"/>
        <w:rPr/>
      </w:pPr>
      <w:r>
        <w:rPr>
          <w:rFonts w:ascii="Times New Roman;serif" w:hAnsi="Times New Roman;serif"/>
          <w:b/>
          <w:color w:val="000000"/>
          <w:sz w:val="20"/>
        </w:rPr>
        <w:t>Jay Allardyce.</w:t>
      </w:r>
      <w:r>
        <w:rPr>
          <w:color w:val="000000"/>
        </w:rPr>
        <w:t xml:space="preserve"> </w:t>
      </w:r>
      <w:r>
        <w:rPr>
          <w:rFonts w:ascii="Times New Roman;serif" w:hAnsi="Times New Roman;serif"/>
          <w:b w:val="false"/>
          <w:color w:val="000000"/>
          <w:sz w:val="20"/>
        </w:rPr>
        <w:t>Mr. Allardyce serves as our Chief Product Officer. Mr. Allardyce previously served as the General Manager for the Data &amp; Analytics business of insightsoftware, a private equity backed software company, from August 2023 until May 2025. From April 2020 to April 2023, Mr. Allardyce worked at Alphabet Inc., including serving as managing director for business development for Alphabet Inc.’s Cloud division and as managing director for worldwide solutions engineering for Data &amp; AI. Prior to that, Mr. Allardyce spent 19 years in leadership roles at Uptake, General Electric and Hewlett-Packard. Mr. Allardyce co-founded and serves as a director of GenAI.Works, an AI platform company, from May 2023 to present. Mr. Allardyce holds a Master's in Business Administration from Santa Clara University.</w:t>
      </w:r>
    </w:p>
    <w:p>
      <w:pPr>
        <w:pStyle w:val="TextBody"/>
        <w:bidi w:val="0"/>
        <w:spacing w:lineRule="auto" w:line="288" w:before="0" w:after="180"/>
        <w:jc w:val="both"/>
        <w:rPr/>
      </w:pPr>
      <w:r>
        <w:rPr>
          <w:rFonts w:ascii="Times New Roman;serif" w:hAnsi="Times New Roman;serif"/>
          <w:b/>
          <w:color w:val="000000"/>
          <w:sz w:val="20"/>
        </w:rPr>
        <w:t>Tamara Adams.</w:t>
      </w:r>
      <w:r>
        <w:rPr>
          <w:color w:val="000000"/>
        </w:rPr>
        <w:t xml:space="preserve"> </w:t>
      </w:r>
      <w:r>
        <w:rPr>
          <w:rFonts w:ascii="Times New Roman;serif" w:hAnsi="Times New Roman;serif"/>
          <w:b w:val="false"/>
          <w:color w:val="000000"/>
          <w:sz w:val="20"/>
        </w:rPr>
        <w:t xml:space="preserve">Ms. Adams serves as our Chief Revenue Officer. Prior to joining the Company, Ms. Adams served as Chief Revenue Officer of Dotmatics LLC beginning in 2022, where she led global go-to-market strategy, revenue operations, and demand generation. During her tenure, Dotmatics was acquired by Siemens. Prior to joining Dotmatics, Ms. Adams held senior leadership roles at Honeywell, Oracle, and PerkinElmer, where she led global revenue strategy and go-to-market execution across North America, EMEA, MENA, and APAC. Ms. Adams has more than 20 years of experience driving revenue growth, scaling global enterprise and SaaS organizations, and leading strategic initiatives, including mergers and acquisitions and IPO readiness.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Director Independence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Octave’s Director Independence Guidelines will set forth certain criteria to assess the independence of directors of Octave. Under the Director Independence Guidelines, which will conform to the corporate governance listing standards of Nasdaq New York, a director will not be considered “independent” unless the Board of Directors affirmatively determines that the director meets the independence criteria of Nasdaq New York and any other independence standards applicable to independent members of the Board of Directors as may be in effect from time to time under applicable laws, rules or regulations, and that the director has no other direct or indirect material relationship with Octave or its management. In assessing the materiality of any existing or proposed director’s relationship with Octave, the Board of Directors will consider all relevant facts and circumstances.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family relationships among any of our expected executive officers or director nominees.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Board of Directors’ Role in Risk Management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Octave’s management is responsible for the day-to-day management of the risks facing Octave while our Board of Directors, as a whole and through its committees, is responsible for the oversight of risk management. Our Board of Directors will regularly review information regarding our credit, liquidity, and operations, as well as the risks associated therewith. Effective upon the completion of the Distribution, our Compensation Committee will be responsible for overseeing the management of risks relating to our compensation programs and arrangements and our Audit Committee will oversee management of financial risks. While each committee will be responsible for evaluating certain risks and overseeing the management of such risks, our Board of Directors plans to keep itself regularly informed regarding such risks through committee reports and other appropriate communications.</w:t>
      </w:r>
    </w:p>
    <w:p>
      <w:pPr>
        <w:pStyle w:val="TextBody"/>
        <w:bidi w:val="0"/>
        <w:spacing w:before="0" w:after="180"/>
        <w:jc w:val="both"/>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46685"/>
                <wp:effectExtent l="0" t="0" r="0" b="0"/>
                <wp:wrapNone/>
                <wp:docPr id="389" name="Frame3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Committees of the Board of Directors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Octave’s Board has established the following committees, each of which will operate following the completion of the Distribution under a written charter that will satisfy the applicable Nasdaq New York listing standards and be posted to Octave’s website: the Audit Committee, the Compensation Committee and the Nominating and Governance Committee.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Audit Committee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Audit Committee will be established in accordance with Rule 10A-3 under the Exchange Act and the listing rules of Nasdaq New York. The responsibilities of the Audit Committee will be more fully described in the Audit Committee charter. We anticipate that the responsibilities of the Audit Committee will include,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assisting the Board of Directors in overseeing (i) the integrity of our financial statements, (ii) the independence, qualifications and performance of our independent auditor, and (iii) the performance of our internal audit function;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appointing an accounting firm to serve as the independent auditor and maintaining responsibility for compensation, retention and oversight of the independent auditor;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reviewing and discussing with management and the independent auditor our annual audited financial statements and quarterly financial statements;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discussing our earnings press releases, risk assessment and risk management policies.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David Hollister, Meerah Rajavel and Jill Smith are members of the Audit Committee.  Jill Smith is the Audit Committee Chair. Each member of the Audit Committee is expected to be financially literate, and our Board of Directors is expected to determine that at least one member of the Audit Committee is an “audit committee financial expert” for purposes of the rules of the SEC. In addition, we expect that our Board of Directors will determine that each of the members of the Audit Committee will be independent, as defined by the rules of Nasdaq New York and Section 10A(m)(3) of the Exchange Act.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Compensation Committee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will have the responsibilities set forth in the charter of such committee. We anticipate that the responsibilities of the Compensation Committee will include,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reviewing and approving on an annual basis the corporate goals and objectives relevant to our Chief Executive Officer’s compensation, and evaluating our Chief Executive Officer’s performance in light of such goals and objectives;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reviewing the compensation of our other executive officers, including incentive compensation and equity-based compensation plans, that are subject to approval by the Board of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David Hollister, Brett Watson and Jill Smith are members of the Compensation Committee. David Hollister is the Chair of such committee. Our Board of Directors is expected to determine that each member of the Compensation Committee will be independent, as defined by the rules of Nasdaq New York, Rule 10C-1 under the Exchange Act and in accordance with our Director Independence Guidelines. In addition, we expect that the members of the Compensation Committee will qualify as “non-employee directors” for purposes of Rule 16b-3 under the Exchange Act.</w:t>
      </w:r>
    </w:p>
    <w:p>
      <w:pPr>
        <w:pStyle w:val="TextBody"/>
        <w:bidi w:val="0"/>
        <w:spacing w:before="0" w:after="180"/>
        <w:jc w:val="both"/>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46685"/>
                <wp:effectExtent l="0" t="0" r="0" b="0"/>
                <wp:wrapNone/>
                <wp:docPr id="390" name="Frame3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Nominating and Governance Committee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Nominating and Governance Committee will have the responsibilities set forth in the charter of such committee. We anticipate that the responsibilities of the Nominating and Governance Committee will include,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identifying and selecting or recommending to our Board of Directors qualified individuals to be nominated for election as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developing and recommending to the Board of Directors our Corporate Governance Guidelines;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overseeing the evaluation of our Board of Directors and management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overseeing and approving transactions with related parties under our Related Party Transaction Policy;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evaluating annually the Nominating and Governance Committee’s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Magnus Ahlqvist and Brett Watson are members of the Nominating and Governance Committee. Magnus Ahlqvist is the chair of such committee. Our Board of Directors is expected to determine that each member of the Nominating and Governance Committee will be independent, as defined by the rules of Nasdaq New York and in accordance with our Director Independence Guidelines.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Compensation Committee Interlocks and Insider Participation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December 31, 2025, Octave did not exist in its current form and did not have a compensation committee or any other committee serving a similar function. Decisions as to the compensation of those individuals who currently serve as Octave’s executive officers were made by Hexagon, as described in the section of this information statement entitled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46685"/>
                <wp:effectExtent l="0" t="0" r="0" b="0"/>
                <wp:wrapNone/>
                <wp:docPr id="391" name="Frame3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is currently a part of Hexagon, and our Compensation Committee has not yet been formed. Our pay programs and policies following the Distribution remain subject to review and approval by our own Compensation Committee once formed.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Accordingly, this Compensation Discussion and Analysis discusses Octave’s historical compensation programs as applied to the individuals who are expected to be our “named executive officers” (“NEOs”). We expect that our Compensation Committee, once formed, will review our compensation and benefit programs on a periodic basis and determine the appropriate compensation and benefits for our executive officers. Therefore, our executive compensation and benefits programs following the completion of the transactions may not be the same as those discussed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still in the process of determining our leadership structure following the Distribution and which positions will be identified as executive officers. As of the date of this information statement, the following individuals are expected to serve as executive officers of Octave immediately following the Distribution, and, based on their roles and/or fiscal year 2025 compensation, such individuals would have constituted the NEOs of Octave had it been an independent public company during fiscal year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Mattias Stenberg, who is expected to serve as our Chief Executive Officer;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Ben Maslen, who is expected to serve as our Chief Financial Officer;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Scott Moore, who is expected to serve as our Chief Operating Officer;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Anthony Zana, who is expected to serve as our Chief Legal Officer and Corporate Secretary;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Vivek Mokashi, who is expected to serve as our Chief Technology Officer.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Hexagon’s Compensation Philosophy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Hexagon’s compensation program is designed and administered around the following core principles: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1.Provide market-competitive total remuneration to attract and retain key talent.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2.Reward achievement of strategic and financial objectives and encourage long-term value creation.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3.Align executives’ interests with shareholder returns.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Components of Hexagon’s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Executive remuneration at Hexagon is intended to be competitive with market practice and consists of a mix of fixed and variable elements, both short-term and long-term, as described below.</w:t>
      </w:r>
    </w:p>
    <w:tbl>
      <w:tblPr>
        <w:tblW w:w="10205" w:type="dxa"/>
        <w:jc w:val="left"/>
        <w:tblInd w:w="0" w:type="dxa"/>
        <w:tblLayout w:type="fixed"/>
        <w:tblCellMar>
          <w:top w:w="28" w:type="dxa"/>
          <w:left w:w="28" w:type="dxa"/>
          <w:bottom w:w="28" w:type="dxa"/>
          <w:right w:w="28" w:type="dxa"/>
        </w:tblCellMar>
      </w:tblPr>
      <w:tblGrid>
        <w:gridCol w:w="610"/>
        <w:gridCol w:w="538"/>
        <w:gridCol w:w="543"/>
        <w:gridCol w:w="109"/>
        <w:gridCol w:w="109"/>
        <w:gridCol w:w="109"/>
        <w:gridCol w:w="635"/>
        <w:gridCol w:w="470"/>
        <w:gridCol w:w="471"/>
        <w:gridCol w:w="109"/>
        <w:gridCol w:w="109"/>
        <w:gridCol w:w="109"/>
        <w:gridCol w:w="923"/>
        <w:gridCol w:w="727"/>
        <w:gridCol w:w="731"/>
        <w:gridCol w:w="109"/>
        <w:gridCol w:w="109"/>
        <w:gridCol w:w="109"/>
        <w:gridCol w:w="1046"/>
        <w:gridCol w:w="1046"/>
        <w:gridCol w:w="1484"/>
      </w:tblGrid>
      <w:tr>
        <w:trPr/>
        <w:tc>
          <w:tcPr>
            <w:tcW w:w="6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 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Objectives</w:t>
            </w:r>
          </w:p>
        </w:tc>
      </w:tr>
      <w:tr>
        <w:trPr/>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Attract and retain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Fixed amount paid periodically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Rate reflects role and individual performance</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Cash Remuneration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Reward for short-term performance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Annual variable amount paid in cash</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Maximum payment capped at 150% of base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Results and other financial targets, such as organic revenue growth, profitability growth and cash conversion</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Equity Remuneration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Reward for long-term performance</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Align with shareholder interests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Attract, motivate, and retain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Equity-settled awards subject to four-year measurement period</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Maximum payment capped at 35% to 100%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Earnings per share (“EPS”) growth</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46685"/>
                <wp:effectExtent l="0" t="0" r="0" b="0"/>
                <wp:wrapNone/>
                <wp:docPr id="392" name="Frame3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direct compensation elements noted above, the NEOs are eligible for certain pension and other benefits consistent with other senior leaders within Hexagon, although the NEOs are not all similarly situated within Hexagon and have varying terms and conditions of employment. Such benefits are described in more detail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How Executive Compensation is Determined at Hexagon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Remuneration Committee of Hexagon’s Board of Directors (the “Hexagon Board” and such committee, the “Hexagon Remuneration Committee”) typically prepares proposals regarding compensation for members of Hexagon’s executive management team, three of whom are designated to be our NEOs, with such compensation finally decided by the Hexagon Board. Compensation for two other individuals who are designated to be our NEOs was evaluated using standard compensation practices within the applicable business areas of Hexagon.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Oversight Responsibilities for Executive Compensation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in the table below are the oversight responsibilities for Hexagon’s executive compensation. </w:t>
      </w:r>
    </w:p>
    <w:tbl>
      <w:tblPr>
        <w:tblW w:w="10205" w:type="dxa"/>
        <w:jc w:val="left"/>
        <w:tblInd w:w="0" w:type="dxa"/>
        <w:tblLayout w:type="fixed"/>
        <w:tblCellMar>
          <w:top w:w="28" w:type="dxa"/>
          <w:left w:w="28" w:type="dxa"/>
          <w:bottom w:w="28" w:type="dxa"/>
          <w:right w:w="28" w:type="dxa"/>
        </w:tblCellMar>
      </w:tblPr>
      <w:tblGrid>
        <w:gridCol w:w="941"/>
        <w:gridCol w:w="774"/>
        <w:gridCol w:w="776"/>
        <w:gridCol w:w="109"/>
        <w:gridCol w:w="109"/>
        <w:gridCol w:w="109"/>
        <w:gridCol w:w="2160"/>
        <w:gridCol w:w="2160"/>
        <w:gridCol w:w="3067"/>
      </w:tblGrid>
      <w:tr>
        <w:trPr/>
        <w:tc>
          <w:tcPr>
            <w:tcW w:w="94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General Meeting of Shareholders (“AGM”)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Approve the guidelines for remuneration to senior executives prepared by the Hexagon Board at least every fourth year</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Approve the annual remuneration report prepared pursuant to Swedish law</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Approve performance-based long-term incentive programs upon proposal from the Hexagon Board</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Approve the remuneration of the Hexagon Board upon proposal from Hexagon’s Nomination Committee</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Approve any deviations from the adopted guidelines for remuneration to senior executives upon proposal from the Hexagon Board</w:t>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Remuneration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Recommend to the Hexagon Board remuneration of Hexagon’s President and CEO and other senior executives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Determine achievement of variable cash remuneration performance criteria for Hexagon’s President and CEO</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Monitor and evaluate programs for variable remuneration for executive management</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Evaluate the application of the adopted guidelines for remuneration to senior executives</w:t>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Approve remuneration of Hexagon’s President and CEO and other senior executives based upon proposal from the Hexagon Remuneration Committee</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Submit to the AGM a proposal for guidelines for remuneration to senior executives at least every fourth year</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Prepare the annual remuneration report for approval by the AGM</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Consider annually whether a share or share-based incentive program shall be proposed to the AGM</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Submit to the AGM any proposed deviations from the adopted guidelines for remuneration to senior executives when necessary to safeguard Hexagon’s long-term interests or financial viability</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Review the annual independent auditor’s opinion on whether Hexagon’s remuneration practices comply with the adopted guidelines for remuneration to senior executives</w:t>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of Hexagon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Determine achievement of variable cash remuneration performance criteria for other executives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Review and approve base compensation for direct reports of Hexagon executives</w:t>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Auditor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Review and report annually on Hexagon’s compliance with the adopted guidelines for remuneration to senior executives</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46685"/>
                <wp:effectExtent l="0" t="0" r="0" b="0"/>
                <wp:wrapNone/>
                <wp:docPr id="393" name="Frame3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2025 Compensation Program Details and Decisions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Base Salary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 salary represents the fixed portion of an NEO’s compensation and is intended to provide compensation for expected day-to-day performance. Salaries are reviewed periodically and may be increased based on a number of factors, including the assumption of additional responsibilities and other factors that demonstrate an NEO’s increased value to Hexagon and review of competitive market data. For fiscal year 2025, the annual base salary rates for the NEOs were: $1,025,326 for Mr. Stenberg; $715,454 for Mr. Maslen; $570,544 for Mr. Moore; $640,030 for Mr. Zana and $388,125 for Mr. Mokashi. Throughout this information statement, amounts for Mr. Maslen reflect a conversion from pounds sterling (GBP) to U.S. dollars using the foreign exchange rate as of December 30,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2025 Bonuses and Non-Equity Incentive Plan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motivate the NEOs to achieve short-term performance objectives, Hexagon awards bonuses based on achievement of predefined performance metrics established by the Hexagon Remuneration Committee. For fiscal year 2025, the annual bonus opportunity for each of Messrs. Stenberg, Maslen, Moore and Zana was equal to 150% of base salary, representing the aggregate cap on payouts, as follows: $1,537,989 for Mr. Stenberg; $1,073,181 for Mr. Maslen; $855,816 for Mr. Moore; $960,045 for Mr. Zana. Mr. Mokashi’s target bonus opportunity for fiscal year 2025 was equal to 40% of base salary, or $155,250, with the opportunity to earn up to 200% of target, or $310,500, based on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earned bonuses for fiscal year 2025 were determined based on the level of achievement of the following metrics:</w:t>
      </w:r>
    </w:p>
    <w:tbl>
      <w:tblPr>
        <w:tblW w:w="10205" w:type="dxa"/>
        <w:jc w:val="left"/>
        <w:tblInd w:w="0" w:type="dxa"/>
        <w:tblLayout w:type="fixed"/>
        <w:tblCellMar>
          <w:top w:w="28" w:type="dxa"/>
          <w:left w:w="28" w:type="dxa"/>
          <w:bottom w:w="28" w:type="dxa"/>
          <w:right w:w="28" w:type="dxa"/>
        </w:tblCellMar>
      </w:tblPr>
      <w:tblGrid>
        <w:gridCol w:w="363"/>
        <w:gridCol w:w="318"/>
        <w:gridCol w:w="322"/>
        <w:gridCol w:w="109"/>
        <w:gridCol w:w="109"/>
        <w:gridCol w:w="109"/>
        <w:gridCol w:w="747"/>
        <w:gridCol w:w="555"/>
        <w:gridCol w:w="564"/>
        <w:gridCol w:w="109"/>
        <w:gridCol w:w="109"/>
        <w:gridCol w:w="109"/>
        <w:gridCol w:w="297"/>
        <w:gridCol w:w="297"/>
        <w:gridCol w:w="298"/>
        <w:gridCol w:w="109"/>
        <w:gridCol w:w="109"/>
        <w:gridCol w:w="109"/>
        <w:gridCol w:w="249"/>
        <w:gridCol w:w="249"/>
        <w:gridCol w:w="251"/>
        <w:gridCol w:w="109"/>
        <w:gridCol w:w="109"/>
        <w:gridCol w:w="109"/>
        <w:gridCol w:w="309"/>
        <w:gridCol w:w="309"/>
        <w:gridCol w:w="310"/>
        <w:gridCol w:w="711"/>
        <w:gridCol w:w="450"/>
        <w:gridCol w:w="414"/>
        <w:gridCol w:w="109"/>
        <w:gridCol w:w="109"/>
        <w:gridCol w:w="109"/>
        <w:gridCol w:w="538"/>
        <w:gridCol w:w="414"/>
        <w:gridCol w:w="605"/>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Performance Range</w:t>
            </w:r>
            <w:r>
              <w:rPr>
                <w:rFonts w:ascii="Times New Roman;serif" w:hAnsi="Times New Roman;serif"/>
                <w:b/>
                <w:color w:val="000000"/>
                <w:sz w:val="10"/>
              </w:rPr>
              <w:t>(2)</w:t>
            </w:r>
          </w:p>
        </w:tc>
        <w:tc>
          <w:tcPr>
            <w:tcW w:w="15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Payout Range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Payout Percentage</w:t>
            </w:r>
          </w:p>
        </w:tc>
      </w:tr>
      <w:tr>
        <w:trPr/>
        <w:tc>
          <w:tcPr>
            <w:tcW w:w="1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Metric</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c>
          <w:tcPr>
            <w:tcW w:w="15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5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organic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 of base salary</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Earnings Before Interest, Tax (“EBIT”)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0–50%</w:t>
            </w:r>
          </w:p>
          <w:p>
            <w:pPr>
              <w:pStyle w:val="TableContents"/>
              <w:bidi w:val="0"/>
              <w:spacing w:lineRule="auto" w:line="240" w:before="0" w:after="0"/>
              <w:jc w:val="center"/>
              <w:rPr/>
            </w:pPr>
            <w:r>
              <w:rPr>
                <w:rFonts w:ascii="Times New Roman;serif" w:hAnsi="Times New Roman;serif"/>
                <w:b w:val="false"/>
                <w:color w:val="000000"/>
                <w:sz w:val="20"/>
              </w:rPr>
              <w:t>of base salary</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 of base salary</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cash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42.6% of base salary</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Maslen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Hexagon organic revenue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 of base salary</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Hexagon EBIT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of base salary</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Hexagon cash conversion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 of base salary</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Moore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organic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 of base salary</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EBIT growth</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 of base salary</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cash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42.6% of base salary</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Zana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Hexagon organic revenue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 of base salary</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Hexagon EBIT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of base salary</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Hexagon cash conversion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 of base salary</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Mokashi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of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of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of plan</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0–200% of target bonus opportunity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 of target bonus opportunity</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46685"/>
                <wp:effectExtent l="0" t="0" r="0" b="0"/>
                <wp:wrapNone/>
                <wp:docPr id="394" name="Frame3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493"/>
        <w:gridCol w:w="442"/>
        <w:gridCol w:w="400"/>
        <w:gridCol w:w="109"/>
        <w:gridCol w:w="109"/>
        <w:gridCol w:w="109"/>
        <w:gridCol w:w="299"/>
        <w:gridCol w:w="299"/>
        <w:gridCol w:w="300"/>
        <w:gridCol w:w="110"/>
        <w:gridCol w:w="110"/>
        <w:gridCol w:w="110"/>
        <w:gridCol w:w="289"/>
        <w:gridCol w:w="289"/>
        <w:gridCol w:w="290"/>
        <w:gridCol w:w="110"/>
        <w:gridCol w:w="110"/>
        <w:gridCol w:w="110"/>
        <w:gridCol w:w="333"/>
        <w:gridCol w:w="333"/>
        <w:gridCol w:w="334"/>
        <w:gridCol w:w="690"/>
        <w:gridCol w:w="690"/>
        <w:gridCol w:w="596"/>
        <w:gridCol w:w="109"/>
        <w:gridCol w:w="109"/>
        <w:gridCol w:w="109"/>
        <w:gridCol w:w="647"/>
        <w:gridCol w:w="556"/>
        <w:gridCol w:w="80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Performance Range</w:t>
            </w:r>
            <w:r>
              <w:rPr>
                <w:rFonts w:ascii="Times New Roman;serif" w:hAnsi="Times New Roman;serif"/>
                <w:b/>
                <w:color w:val="000000"/>
                <w:sz w:val="10"/>
              </w:rPr>
              <w:t>(2)</w:t>
            </w:r>
          </w:p>
        </w:tc>
        <w:tc>
          <w:tcPr>
            <w:tcW w:w="1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Payout Range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Payout Percentage</w:t>
            </w:r>
          </w:p>
        </w:tc>
      </w:tr>
      <w:tr>
        <w:trPr/>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Metric</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c>
          <w:tcPr>
            <w:tcW w:w="1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Payout Range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Payout Percentage</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br/>
              <w:t>of plan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of plan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 of plan</w:t>
            </w:r>
          </w:p>
        </w:tc>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0–200% of target bonus opportunity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37.1% of target bonus opportunity</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SaaS 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 of plan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of plan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of plan</w:t>
            </w:r>
          </w:p>
        </w:tc>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0–200% of target bonus opportunity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110.7% of target bonus opportunity</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metrics are equally weighted, except that for Mr. Mokashi, Global revenue is weighted 60% and Global EBIT and Global SaaS bookings are each weighted 20%.</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(3)Generally, payouts are determined using a linear earning scale between the applicable performance levels. For Mr. Mokashi, the Global SaaS bookings metric uses a linear payout up to target performance and an accelerated slope equal to two times the linear rate for results exceeding target. Payout percentages for Mr. Mokashi are applied to the weighted components of his target bonus opportunity, and the maximum aggregate payout under the annual incentive plan is 200% of target bonus opportunity.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(4)Due to the impact of the separation and related transition activities during 2025, solely with respect to Mr. Stenberg, a minimum payout of 25% of base salary payable for the Octave EBIT growth performance metric was applied under the 2025 annual incentive plan.</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(5)Represents an EBIT growth metric comparing Octave EBIT for 2025 with EBIT for the Asset Lifecycle Intelligence division for 2024 (as historically reported by Hexagon), reflecting the separation and related transition activities during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the performance results described above, the annual bonuses paid in respect of 2025 were $762,843 for Mr. Stenberg, $479,712 for Mr. Maslen, $567,121 for Mr. Moore, $429,140 for Mr. Zana and $71,978 for Mr. Mokashi.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2025, Mr. Zana also received a discretionary bonus outside the annual incentive plan in recognition of contributions during the year.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Hexagon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Hexagon’s annual compensation program, Hexagon generally grants performance share awards in June of each year through its long-term share programme. The purpose of the share programme is to strengthen Hexagon’s ability to retain and recruit competent employees, to provide competitive remuneration and to align the interest of the shareholders with the interest of the employees concerned. Hexagon’s equity-based incentive program is proposed by the Hexagon Board to the AGM each year and implemented following shareholder approval.</w:t>
      </w:r>
    </w:p>
    <w:p>
      <w:pPr>
        <w:pStyle w:val="TextBody"/>
        <w:bidi w:val="0"/>
        <w:spacing w:lineRule="auto" w:line="288" w:before="0" w:after="180"/>
        <w:jc w:val="both"/>
        <w:rPr/>
      </w:pPr>
      <w:r>
        <w:rPr>
          <w:rFonts w:ascii="Times New Roman;serif" w:hAnsi="Times New Roman;serif"/>
          <w:b w:val="false"/>
          <w:color w:val="000000"/>
          <w:sz w:val="20"/>
        </w:rPr>
        <w:t>At the AGM held on May 5, 2025, Hexagon’s shareholders decided to implement a performance based long-term share programme for 2025 (the “Hexagon</w:t>
      </w:r>
      <w:r>
        <w:rPr>
          <w:color w:val="000000"/>
        </w:rPr>
        <w:t xml:space="preserve"> </w:t>
      </w:r>
      <w:r>
        <w:rPr>
          <w:rFonts w:ascii="Times New Roman;serif" w:hAnsi="Times New Roman;serif"/>
          <w:b w:val="false"/>
          <w:color w:val="000000"/>
          <w:sz w:val="20"/>
        </w:rPr>
        <w:t xml:space="preserve">Share Programme 2025/2028”), which entitles participants to Series B shares in Hexagon or cash in lieu thereof if certain metrics related to Hexagon’s earnings per share are satisfied, subject to continued employment. Five groups of participants (the Chief Executive Officer, group management, division managers, senior executives and key employees of Hexagon, its subsidiaries and affiliates) who, with the exception of the Chief Executive Officer, have been employed for at least 12 months were entitled to participate in the Hexagon Share Programme 2025/2028. Participants were granted performance share awards determined using a maximum value for each participant category, expressed as a percentage of the participant’s annual base salary for 2025. The share price used to calculate the grant date fair value of performance share awards was the volume-weighted average of the market price of Hexagon’s Series B shares on Nasdaq Stockholm from June 19, 2025 through June 26, 2025, representing five trading days preceding the date on which participants were offered the opportunity to participate in the Hexagon Share Programme 2025/2028. </w:t>
      </w:r>
    </w:p>
    <w:p>
      <w:pPr>
        <w:pStyle w:val="TextBody"/>
        <w:bidi w:val="0"/>
        <w:spacing w:before="0" w:after="180"/>
        <w:jc w:val="both"/>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395" name="Frame3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number and value of performance share awards granted to the NEOs pursuant to the Hexagon Share Programme 2025/2028:</w:t>
      </w:r>
    </w:p>
    <w:tbl>
      <w:tblPr>
        <w:tblW w:w="8062" w:type="dxa"/>
        <w:jc w:val="left"/>
        <w:tblInd w:w="0" w:type="dxa"/>
        <w:tblLayout w:type="fixed"/>
        <w:tblCellMar>
          <w:top w:w="28" w:type="dxa"/>
          <w:left w:w="28" w:type="dxa"/>
          <w:bottom w:w="28" w:type="dxa"/>
          <w:right w:w="28" w:type="dxa"/>
        </w:tblCellMar>
      </w:tblPr>
      <w:tblGrid>
        <w:gridCol w:w="542"/>
        <w:gridCol w:w="476"/>
        <w:gridCol w:w="481"/>
        <w:gridCol w:w="109"/>
        <w:gridCol w:w="109"/>
        <w:gridCol w:w="109"/>
        <w:gridCol w:w="789"/>
        <w:gridCol w:w="789"/>
        <w:gridCol w:w="791"/>
        <w:gridCol w:w="109"/>
        <w:gridCol w:w="109"/>
        <w:gridCol w:w="109"/>
        <w:gridCol w:w="1037"/>
        <w:gridCol w:w="1037"/>
        <w:gridCol w:w="1466"/>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Share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Performance Share Awards Target Value ($)</w:t>
            </w:r>
            <w:r>
              <w:rPr>
                <w:rFonts w:ascii="Times New Roman;serif" w:hAnsi="Times New Roman;serif"/>
                <w:b/>
                <w:color w:val="000000"/>
                <w:sz w:val="10"/>
              </w:rPr>
              <w:t>(1)</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542,506</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Maslen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364,717</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Moore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301,795</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Zana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338,649</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Mokashi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205,302</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values reflect a conversion from Swedish kronor to U.S. dollars using Hexagon’s June 2025 foreign exchange rate applied for financial reporting purposes (9.58947), resulting in a share price of $9.63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share awards were granted free of charge and are subject to a four-year vesting period and continued employment, subject to certain exceptions. Vesting of performance share awards is also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Series B shares in Hexagon in accordance with the terms of Hexagon Share Programme 2025/2028.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Employee Matters Agreement will govern the treatment of outstanding Hexagon Equity Awards held by the Octave Employees (each, as defined below), including each of our NEOs, as of the Closing. See “—Treatment of Outstanding Hexagon Equity Awards.”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Compensation Components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annual and long-term direct compensation programs designed to align pay with performance, Hexagon provides the NEOs with the benefits and retirement plans summarized below.</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Benefits and Perquisites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NEOs receive health coverage, life insurance, disability benefits and, generally, other similar benefits in the same manner as our employees in the applicable NEO’s respective country. Certain NEOs are also eligible for limited perquisites, such as employer-paid club memberships, consistent with market practice.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Retirement Plans</w:t>
      </w:r>
    </w:p>
    <w:p>
      <w:pPr>
        <w:pStyle w:val="TextBody"/>
        <w:bidi w:val="0"/>
        <w:spacing w:lineRule="auto" w:line="288" w:before="0" w:after="180"/>
        <w:jc w:val="both"/>
        <w:rPr/>
      </w:pPr>
      <w:r>
        <w:rPr>
          <w:rFonts w:ascii="Times New Roman;serif" w:hAnsi="Times New Roman;serif"/>
          <w:b w:val="false"/>
          <w:i/>
          <w:color w:val="000000"/>
          <w:sz w:val="20"/>
        </w:rPr>
        <w:t>401(k) Plan.</w:t>
      </w:r>
      <w:r>
        <w:rPr>
          <w:color w:val="000000"/>
        </w:rPr>
        <w:t xml:space="preserve"> </w:t>
      </w:r>
      <w:r>
        <w:rPr>
          <w:rFonts w:ascii="Times New Roman;serif" w:hAnsi="Times New Roman;serif"/>
          <w:b w:val="false"/>
          <w:color w:val="000000"/>
          <w:sz w:val="20"/>
        </w:rPr>
        <w:t>Hexagon maintains a 401(k) retirement savings plan (the “401(k) Plan”) for its employees who satisfy certain eligibility requirements. In 2025, Messrs. Stenberg, Moore, Zana and Mokashi were eligible to participate in the 401(k) Plan on the same terms as other eligible employees. Hexagon provides employer contributions under the 401(k) Plan, which are fully vested when made.</w:t>
      </w:r>
    </w:p>
    <w:p>
      <w:pPr>
        <w:pStyle w:val="TextBody"/>
        <w:bidi w:val="0"/>
        <w:spacing w:lineRule="auto" w:line="288" w:before="0" w:after="180"/>
        <w:jc w:val="both"/>
        <w:rPr/>
      </w:pPr>
      <w:r>
        <w:rPr>
          <w:rFonts w:ascii="Times New Roman;serif" w:hAnsi="Times New Roman;serif"/>
          <w:b w:val="false"/>
          <w:i/>
          <w:color w:val="000000"/>
          <w:sz w:val="20"/>
        </w:rPr>
        <w:t>UK Plan.</w:t>
      </w:r>
      <w:r>
        <w:rPr>
          <w:color w:val="000000"/>
        </w:rPr>
        <w:t xml:space="preserve"> </w:t>
      </w:r>
      <w:r>
        <w:rPr>
          <w:rFonts w:ascii="Times New Roman;serif" w:hAnsi="Times New Roman;serif"/>
          <w:b w:val="false"/>
          <w:color w:val="000000"/>
          <w:sz w:val="20"/>
        </w:rPr>
        <w:t>Hexagon sponsors the Hexagon Intergraph Pension Scheme (the “UK Plan”), a broad-based defined contribution pension plan for its UK employees. In 2025, Mr. Maslen was eligible to participate in the UK Plan on the same terms as other eligible employees. Hexagon provides employer contributions under the UK Plan, which are fully vested when made. Benefits under the UK Plan are based solely on contributions and investment performance, and no defined benefit or guaranteed return is provided.</w:t>
      </w:r>
    </w:p>
    <w:p>
      <w:pPr>
        <w:pStyle w:val="TextBody"/>
        <w:bidi w:val="0"/>
        <w:spacing w:before="0" w:after="180"/>
        <w:jc w:val="both"/>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46685"/>
                <wp:effectExtent l="0" t="0" r="0" b="0"/>
                <wp:wrapNone/>
                <wp:docPr id="396" name="Frame3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Existing Agreements with NEOs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terms and conditions of employment for our NEOs are subject to employment agreements or offer letters of employment with Hexagon or its subsidiaries. In connection with the Distribution, Octave and/or certain of its controlled affiliates intend to enter into new employment agreements with our NEOs, to be effective upon the completion of the Distribution. See “Executive Compensation—Compensation Arrangements to be Adopted in Connection with this Distribution—Employment Agreements” for more detailed description of such agreements.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Mattias Stenberg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16, 2017, Intergraph PPM, then a business division operating under Intergraph Corporation and now part of Hexagon’s Asset Lifecycle Intelligence division, and Mr. Stenberg entered into an offer letter (as amended, the “Stenberg Offer Letter”). The Stenberg Offer Letter provides that Mr. Stenberg’s employment is for an unspecified duration, “at-will” and may be terminated by Mr. Stenberg or the employer subject to six- and twelve-month notice requirements,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Stenberg Offer Letter, Mr. Stenberg is entitled to receive an initial base salary of $57,500 per month, or approximately $690,000 on an annualized basis, subject to adjustments from time to time per management’s discretion. Mr. Stenberg also received a one-time cash bonus in the amount of $32,876.67.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Stenberg Offer Letter, Mr. Stenberg is eligible to receive an annual bonus of up to 150% of his base salary under the employer’s non-equity incentive bonus plan. The Stenberg Offer Letter also provides for a one-year post-termination non-competition covenant and a one-year post-termination non-solicitation covenant of customers and employees or independent contractors of the employer. In connection with his employment, Mr. Stenberg was required to sign a proprietary information and invention agreement, a privacy policy agreement and an export compliance agreement.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Ben Maslen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his commencement of employment with Hexagon Corporate Services UK Ltd in August 2017, Mr. Maslen entered into an offer letter and a Service Agreement (together, the “Maslen Employment Agreement”) that collectively describe certain terms of Mr. Maslen’s initial compensation arrangements. The Maslen Employment Agreement provides that Mr. Maslen’s employment will be continuous until terminated and may be terminated by Mr. Maslen or the employer, generally subject to six- or twelve-month notice requirements, respectively. See “Executive Compensation—Potential Payments Upon Termination or Change-in-Control” below for additional information regarding payments or benefits payable upon termination of employment or a change in control.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Maslen Employment Agreement, Mr. Maslen is entitled to receive an initial base salary of £400,000 per year, subject to review by the employer’s Chief Executive Officer or his or her designee not less than once in each calendar year. Under the Maslen Employment Agreement, Mr. Maslen is also eligible to participate in Hexagon’s group management bonus scheme, pension scheme and other employee benefit programs.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written notice is given by Mr. Maslen or by the employer to terminate Mr. Maslen’s employment or if Mr. Maslen has purported to resign without giving due notice to the employer, the employer may: (i) require Mr. Maslen to perform such duties as the board of directors of the employer may direct; (ii) require Mr. Maslen to perform no duties; (iii) require Mr. Maslen not to have any communication with any counterparty or potential counterparty of the employer or any Hexagon group member in relation to the business of the employer or any Hexagon group member; (iv) require Mr. Maslen not to have any communication with any employee, officer, director, agent or consultant of the employer or any Hexagon group member in relation to the business of the employer or any Hexagon group member; (v) require Mr. Maslen not to become involved with the business of the employer or any Hexagon group member; or (vi) require that Mr. Maslen not access, seek to use or retain copies of any of the employer’s materials, records and other information. </w:t>
      </w:r>
    </w:p>
    <w:p>
      <w:pPr>
        <w:pStyle w:val="TextBody"/>
        <w:bidi w:val="0"/>
        <w:spacing w:before="0" w:after="180"/>
        <w:jc w:val="both"/>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397" name="Frame3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Maslen Employment Agreement provides for: (i) a perpetual confidentiality covenant; (ii) a perpetual covenant not to harm the reputation of the employer or any Hexagon group member; (iii) a one-year post-termination non-competition covenant; (iv) a one-year post-termination non-solicitation covenant of the employer’s counterparties or prospective counterparties and of service-providers to the employer; and (v) a one-year post termination covenant not to interfere with or damage the relationship between the employer and any of its counterparty or prospective counterparty.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Scott Moore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30, 2010, Intergraph Corporation (“Intergraph”) provided Mr. Moore with a letter confirming certain terms of his compensation (the “Moore Compensation Letter”). The Moore Compensation Letter provides for a base salary of $320,000 per year, a target annual incentive bonus opportunity equal to 60% of base salary, and severance equal to 12 months of base salary upon a qualifying termination of employment.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Anthony Zana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as of January 1, 2020, Intergraph and Mr. Zana entered into an employment contract (the “Zana Employment Agreement”). The Zana Employment Agreement provides that Mr. Zana’s employment will be continuous until terminated, “at-will” and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in control. See “Executive Compensation—Potential Payments Upon Termination or Change-in-Control” below for additional information regarding payments or benefits payable upon termination of employment or a change in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Zana Employment Agreement, Mr. Zana is entitled to receive an initial base salary of $444,000 per year, subject to adjustment by mutual agreement between Mr. Zana and Hexagon’s Chief Executive Officer as documented in the normal course of annual performance reviews. Under the Zana Employment Agreement, Mr. Zana is eligible to receive an annual incentive bonus as aligned with Hexagon’s annual bonus scheme for members of Hexagon’s management. Mr. Zana is also eligible to participate in Hexagon’s annual long-term incentive equity grant program and all employee benefits generally available to similarly situated employees.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his initial commencement of employment with Intergraph in June 2008, Mr. Zana was required to sign a proprietary agreement, a privacy policy agreement and an export compliance agreement.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Vivek Mokashi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Mr. Mokashi was initially hired as an employee of Intergraph in Singapore and subsequently relocated to the U.S. In connection with his relocation to the U.S. in September 1998, Mr. Mokashi received an offer letter (the “Mokashi Offer Letter”) that provides for temporary employment with Intergraph for a period not to exceed three years. Under the Mokashi Offer Letter, Mr. Mokashi was entitled to receive an initial base salary of $1,012 per week, or approximately $52,624 on an annualized basis, and was eligible to participate in his employer’s employee stock ownership plan. Under the Mokashi Offer Letter, Mr. Mokashi was also eligible to receive certain relocation benefits up to $15,000, subject to repayment by Mr. Mokashi if he voluntarily terminates employment within 12 months from the time the relocation expenses were incurred. Under the Mokashi Offer Letter, Mr. Mokashi was also eligible to participate in certain of Intergraph’s retirement and other employee benefit programs. In connection with his employment, Mr. Mokashi was required to sign a proprietary agreement.</w:t>
      </w:r>
    </w:p>
    <w:p>
      <w:pPr>
        <w:pStyle w:val="TextBody"/>
        <w:bidi w:val="0"/>
        <w:spacing w:before="0" w:after="180"/>
        <w:jc w:val="both"/>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46685"/>
                <wp:effectExtent l="0" t="0" r="0" b="0"/>
                <wp:wrapNone/>
                <wp:docPr id="398" name="Frame3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Compensation Risk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Swedish company that has historically been governed by non-U.S. corporate governance and regulatory frameworks, the Hexagon Remuneration Committee is not required to conduct a formal compensation program risk assessment in the manner typically undertaken by U.S. listed companies. Following the Distribution, we anticipate completing a formal assessment of risks relating to our compensation programs. While such formal assessment has not yet been completed, we believe that several factors within the current and anticipated pay programs and policies support a conclusion that the compensation programs do not encourage behaviors that would result in undue risk for Hexagon or Octave going forward. For example, incentive opportunities are based on a variety of performance metrics and are subject to pay limitations or “caps”, a material portion of pay for the NEOs is subject to long-term performance and vesting periods that are designed to encourage sustained shareholder value, pay levels and program designs are generally consistent with typical market practices, and the Hexagon Board (and, following the Distribution, our Board of Directors and/or Compensation Committee) reviews and approves all compensation programs. In addition, the Hexagon Board submits the guidelines for remuneration to senior executives to Hexagon’s shareholders for approval at least every four years, and Hexagon’s independent auditor annually reviews and reports on Hexagon’s compliance with such guidelines.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Hexagon Board also publishes an annual remuneration report describing how the executive remuneration guidelines adopted by the AGM were implemented, including information on remuneration paid to certain executives and a summary of outstanding incentive plans and incentive plans that ended during the year. Such report is prepared in accordance with the Swedish Companies Act and the Rules on Remuneration of the Board and Executive Management and on Incentive Programmes issued by the Stock Market Self-Regulation Committee of the Swedish Stock Exchange. Additional information regarding executive remuneration and the work of the Hexagon Remuneration Committee is included in the notes to Hexagon’s annual report and its corporate governance report for each financial year.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Treatment of Outstanding Hexagon Equity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Hexagon and Octave will enter into the Employee Matters Agreement. The Employee Matters Agreement will provide for the treatment of awards of performance share units granted by Hexagon pursuant to an equity compensation plan or program of Hexagon (collectively, the “Hexagon Equity Awards”) that are outstanding as of the Closing. For each holder of Hexagon Equity Awards, the intent is to maintain the economic value of that holder’s Hexagon Equity Awards before and after the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individuals employed by Hexagon or any of its subsidiaries or affiliates as of the date on which Hexagon determines to transfer the employment of applicable individuals to Octave and who Hexagon determines, as of such date, are either (i) exclusively or primarily engaged in the Octave Business or (ii) necessary for the ongoing operation of the Octave Business following the Distribution (the “Octave Employees”), the Hexagon Equity Awards will be cancelled and reissued into equity awards denominated in Octave Shares that are issued under Octave’s long-term incentive plan (the “Octave Equity Awards”). It is expected that each Octave Equity Award will generally be subject to similar terms and conditions as the terms and conditions applicable to the corresponding Hexagon Equity Award immediately prior to the Closing, provided, however, that (i) the number of Octave Shares to which such Octave Equity Award relates will be equal to the product, rounded up to the nearest whole number of shares, obtained by multiplying (x) the number of shares of Hexagon common stock to which the corresponding Hexagon Equity Award related immediately prior to the Distribution by (y) the applicable equity award adjustment ratio and (ii) the performance metrics applicable to such Hexagon Equity Award will be adjusted from Hexagon’s earnings per share to Octave’s Adjusted income from operations growth. See “Executive Compensation—Compensation Arrangements to be Adopted in Connection with the Distribution—Equity Incentive Plan—Long-Term Incentive Plan” for more detailed description of Octave’s long-term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individuals employed by Hexagon or any of its subsidiaries or affiliates who do not qualify as Octave Employees, subject to applicable approvals, it is anticipated that the Hexagon Equity Awards will remain Hexagon Equity Awards and will be equitably adjusted as determined by the Hexagon Board, who may be instructed by Hexagon’s shareholders, to reflect the Distribution (each adjusted award, an “Adjusted Hexagon Equity Award”). Such equitable adjustments may include, among other things, adjustments to the number of shares of Hexagon </w:t>
      </w:r>
    </w:p>
    <w:p>
      <w:pPr>
        <w:pStyle w:val="TextBody"/>
        <w:bidi w:val="0"/>
        <w:spacing w:before="0" w:after="180"/>
        <w:jc w:val="both"/>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46685"/>
                <wp:effectExtent l="0" t="0" r="0" b="0"/>
                <wp:wrapNone/>
                <wp:docPr id="399" name="Frame3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to which the Adjusted Hexagon Equity Award relates and the performance objectives applicable to the original Hexagon Equity Award. Except as so adjusted, it is expected that the Adjusted Hexagon Equity Award will generally be subject to similar terms and conditions as the terms and conditions applicable to the corresponding Hexagon Equity Award immediately prior to the Closing. All determinations relating to any Adjusted Hexagon Equity Awards remain subject to the discretion of the Hexagon Board and, where applicable, its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46685"/>
                <wp:effectExtent l="0" t="0" r="0" b="0"/>
                <wp:wrapNone/>
                <wp:docPr id="400" name="Frame3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reflect historical information regarding the compensation of our NEOs for the year ended December 31, 2025. All of the compensation shown relates to the compensation paid by Hexagon to the NEO for 2025.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Summary Compensation Table</w:t>
      </w:r>
    </w:p>
    <w:tbl>
      <w:tblPr>
        <w:tblW w:w="10365"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55"/>
        <w:gridCol w:w="155"/>
        <w:gridCol w:w="156"/>
        <w:gridCol w:w="109"/>
        <w:gridCol w:w="109"/>
        <w:gridCol w:w="109"/>
        <w:gridCol w:w="279"/>
        <w:gridCol w:w="279"/>
        <w:gridCol w:w="268"/>
        <w:gridCol w:w="109"/>
        <w:gridCol w:w="109"/>
        <w:gridCol w:w="109"/>
        <w:gridCol w:w="304"/>
        <w:gridCol w:w="206"/>
        <w:gridCol w:w="181"/>
        <w:gridCol w:w="109"/>
        <w:gridCol w:w="109"/>
        <w:gridCol w:w="109"/>
        <w:gridCol w:w="250"/>
        <w:gridCol w:w="220"/>
        <w:gridCol w:w="22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254"/>
        <w:gridCol w:w="254"/>
        <w:gridCol w:w="363"/>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Bonus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Stock Awards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Non-Equity Incentive Plan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Pension Value and Non-Qualified Deferred Compensation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 Compensation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Mattias Stenberg</w:t>
            </w:r>
          </w:p>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1,025,326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256,332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506,511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2,373,184</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 Maslen</w:t>
            </w:r>
          </w:p>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715,454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364,717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479,712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1,573,348</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Scott Moore</w:t>
            </w:r>
          </w:p>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570,544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301,795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567,121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1,481,969</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Anthony Zana</w:t>
            </w:r>
          </w:p>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Chief Legal Officer, Corporate Secretary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640,030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338,649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429,140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1,448,819</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Vivek Mokashi</w:t>
            </w:r>
          </w:p>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Chief Technology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388,125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205,302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686,405</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(1)Due to the impact of the separation and related transition activities during 2025, solely with respect to Mr. Stenberg, a minimum payout of 25% of base salary payable for the Octave EBIT growth performance metric was applied under the 2025 annual incentive plan. In addition, Mr. Zana received a discretionary bonus of $20,000 in 2025. See “Compensation Discussion and Analysis—2025 Compensation Program Details and Decisions—2025 Bonuses and Non-Equity Incentive Plan Compensation.”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(2)The amounts reported represent the aggregate grant date fair value of the equity awards granted in 2025 to the NEOs, which have been calculated in accordance with Financial Accounting Standard Board (the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 </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(3)For Messrs. Stenberg and Moore, amounts in this column represent (i) employer contributions under the 401(k) Plan and (ii) employer-paid club membership dues of $14,520, together with related tax gross-ups of $6,989, for total club-related compensation of $21,509 for each executive. For Messrs. Zana and Mokashi, amounts in this column represent employer contributions under the 401(k) Plan. For Mr. Maslen, amount in this column represents employer contributions under the UK Plan.</w:t>
      </w:r>
    </w:p>
    <w:p>
      <w:pPr>
        <w:pStyle w:val="TextBody"/>
        <w:bidi w:val="0"/>
        <w:spacing w:before="0" w:after="180"/>
        <w:jc w:val="both"/>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401" name="Frame3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2025 Grants of Plan-Based Awards</w:t>
      </w:r>
    </w:p>
    <w:tbl>
      <w:tblPr>
        <w:tblW w:w="10907"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185"/>
        <w:gridCol w:w="185"/>
        <w:gridCol w:w="186"/>
        <w:gridCol w:w="109"/>
        <w:gridCol w:w="109"/>
        <w:gridCol w:w="109"/>
        <w:gridCol w:w="345"/>
        <w:gridCol w:w="345"/>
        <w:gridCol w:w="136"/>
        <w:gridCol w:w="109"/>
        <w:gridCol w:w="109"/>
        <w:gridCol w:w="109"/>
        <w:gridCol w:w="345"/>
        <w:gridCol w:w="345"/>
        <w:gridCol w:w="241"/>
        <w:gridCol w:w="109"/>
        <w:gridCol w:w="109"/>
        <w:gridCol w:w="109"/>
        <w:gridCol w:w="345"/>
        <w:gridCol w:w="345"/>
        <w:gridCol w:w="151"/>
        <w:gridCol w:w="109"/>
        <w:gridCol w:w="109"/>
        <w:gridCol w:w="109"/>
        <w:gridCol w:w="368"/>
        <w:gridCol w:w="349"/>
        <w:gridCol w:w="109"/>
        <w:gridCol w:w="109"/>
        <w:gridCol w:w="109"/>
        <w:gridCol w:w="109"/>
        <w:gridCol w:w="368"/>
        <w:gridCol w:w="304"/>
        <w:gridCol w:w="109"/>
        <w:gridCol w:w="109"/>
        <w:gridCol w:w="109"/>
        <w:gridCol w:w="109"/>
        <w:gridCol w:w="368"/>
        <w:gridCol w:w="364"/>
        <w:gridCol w:w="109"/>
        <w:gridCol w:w="109"/>
        <w:gridCol w:w="109"/>
        <w:gridCol w:w="109"/>
        <w:gridCol w:w="255"/>
        <w:gridCol w:w="255"/>
        <w:gridCol w:w="256"/>
        <w:gridCol w:w="109"/>
        <w:gridCol w:w="109"/>
        <w:gridCol w:w="109"/>
        <w:gridCol w:w="320"/>
        <w:gridCol w:w="230"/>
        <w:gridCol w:w="231"/>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Estimated Future Payouts Under Non-Equity Incentive Plan Awards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Estimated Future Payouts Under Hexagon Equity Incentive Plan Awards</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 Other Stock Awards: Number of Hexagon Shares of Stock or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Grant Date Fair Value of Stock Awards</w:t>
            </w:r>
            <w:r>
              <w:rPr>
                <w:rFonts w:ascii="Times New Roman;serif" w:hAnsi="Times New Roman;serif"/>
                <w:b/>
                <w:color w:val="000000"/>
                <w:sz w:val="10"/>
              </w:rPr>
              <w:t>(5)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256,332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1,537,989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542,506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Ben Maslen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1,073,181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364,717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Scott Moore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855,816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301,795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Anthony Zana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960,045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338,649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338,649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Vivek Mokashi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0</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205,302</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 See “Compensation Discussion and Analysis—2025 Compensation Program Details and Decisions—2025 Bonuses and Non-Equity Incentive Plan Compensation.”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(2)Due to the impact of the separation and related transition activities during 2025, solely with respect to Mr. Stenberg, a minimum payout of 25% of base salary payable for the Octave EBIT growth performance metric was applied under the 2025 annual incentive plan. See “Compensation Discussion and Analysis—2025 Compensation Program Details and Decisions—2025 Bonuses and Non-Equity Incentive Plan Compensation.”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(3)Mr. Mokashi’s annual incentive opportunity for fiscal year 2025 was established at a target level equal to 40% of base salary, with a maximum payout opportunity of 200% of target.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performance share awards granted in 2025 vest upon achievement of the applicable performance condition at the target level and do not provide for incremental vesting below or above the target level. See “Compensation Discussion and Analysis—2025 Compensation Program Details and Decisions—Hexagon Equity Incentive Plan.”</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(5)The amounts reported represent the aggregate grant date fair value of the equity awards granted in 2025 to the NEOs, which have been calculated in accordance with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Outstanding Hexagon Equity Awards at December 31, 2025</w:t>
      </w:r>
    </w:p>
    <w:tbl>
      <w:tblPr>
        <w:tblW w:w="10205" w:type="dxa"/>
        <w:jc w:val="left"/>
        <w:tblInd w:w="0" w:type="dxa"/>
        <w:tblLayout w:type="fixed"/>
        <w:tblCellMar>
          <w:top w:w="28" w:type="dxa"/>
          <w:left w:w="28" w:type="dxa"/>
          <w:bottom w:w="28" w:type="dxa"/>
          <w:right w:w="28" w:type="dxa"/>
        </w:tblCellMar>
      </w:tblPr>
      <w:tblGrid>
        <w:gridCol w:w="392"/>
        <w:gridCol w:w="344"/>
        <w:gridCol w:w="348"/>
        <w:gridCol w:w="109"/>
        <w:gridCol w:w="109"/>
        <w:gridCol w:w="109"/>
        <w:gridCol w:w="234"/>
        <w:gridCol w:w="234"/>
        <w:gridCol w:w="236"/>
        <w:gridCol w:w="109"/>
        <w:gridCol w:w="109"/>
        <w:gridCol w:w="109"/>
        <w:gridCol w:w="1090"/>
        <w:gridCol w:w="1090"/>
        <w:gridCol w:w="1094"/>
        <w:gridCol w:w="113"/>
        <w:gridCol w:w="113"/>
        <w:gridCol w:w="113"/>
        <w:gridCol w:w="1210"/>
        <w:gridCol w:w="1210"/>
        <w:gridCol w:w="1730"/>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Hexagon Equity Awards: Unearned Hexagon Shares, Units or Other Rights That Have Not Vested (#)</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Hexagon Equity Awards: Market or Payout Value of Unearned Hexagon Shares, Units or Other Rights That Have Not Vested ($)</w:t>
            </w:r>
            <w:r>
              <w:rPr>
                <w:rFonts w:ascii="Times New Roman;serif" w:hAnsi="Times New Roman;serif"/>
                <w:b/>
                <w:color w:val="000000"/>
                <w:sz w:val="10"/>
              </w:rPr>
              <w:t>(1)</w:t>
            </w:r>
          </w:p>
        </w:tc>
      </w:tr>
      <w:tr>
        <w:trPr/>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41,393 </w:t>
            </w:r>
            <w:r>
              <w:rPr>
                <w:rFonts w:ascii="Times New Roman;serif" w:hAnsi="Times New Roman;serif"/>
                <w:b w:val="false"/>
                <w:color w:val="000000"/>
                <w:sz w:val="13"/>
              </w:rPr>
              <w:t>(2)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492,163</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43,243 </w:t>
            </w:r>
            <w:r>
              <w:rPr>
                <w:rFonts w:ascii="Times New Roman;serif" w:hAnsi="Times New Roman;serif"/>
                <w:b w:val="false"/>
                <w:color w:val="000000"/>
                <w:sz w:val="13"/>
              </w:rPr>
              <w:t>(3)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514,159</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49,751 </w:t>
            </w:r>
            <w:r>
              <w:rPr>
                <w:rFonts w:ascii="Times New Roman;serif" w:hAnsi="Times New Roman;serif"/>
                <w:b w:val="false"/>
                <w:color w:val="000000"/>
                <w:sz w:val="13"/>
              </w:rPr>
              <w:t>(4)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591,539</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56,335 </w:t>
            </w:r>
            <w:r>
              <w:rPr>
                <w:rFonts w:ascii="Times New Roman;serif" w:hAnsi="Times New Roman;serif"/>
                <w:b w:val="false"/>
                <w:color w:val="000000"/>
                <w:sz w:val="13"/>
              </w:rPr>
              <w:t>(5)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669,823</w:t>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Maslen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27,969 </w:t>
            </w:r>
            <w:r>
              <w:rPr>
                <w:rFonts w:ascii="Times New Roman;serif" w:hAnsi="Times New Roman;serif"/>
                <w:b w:val="false"/>
                <w:color w:val="000000"/>
                <w:sz w:val="13"/>
              </w:rPr>
              <w:t>(2)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332,551</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27,381 </w:t>
            </w:r>
            <w:r>
              <w:rPr>
                <w:rFonts w:ascii="Times New Roman;serif" w:hAnsi="Times New Roman;serif"/>
                <w:b w:val="false"/>
                <w:color w:val="000000"/>
                <w:sz w:val="13"/>
              </w:rPr>
              <w:t>(3)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325,560</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32,617 </w:t>
            </w:r>
            <w:r>
              <w:rPr>
                <w:rFonts w:ascii="Times New Roman;serif" w:hAnsi="Times New Roman;serif"/>
                <w:b w:val="false"/>
                <w:color w:val="000000"/>
                <w:sz w:val="13"/>
              </w:rPr>
              <w:t>(4)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387,816</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37,873 </w:t>
            </w:r>
            <w:r>
              <w:rPr>
                <w:rFonts w:ascii="Times New Roman;serif" w:hAnsi="Times New Roman;serif"/>
                <w:b w:val="false"/>
                <w:color w:val="000000"/>
                <w:sz w:val="13"/>
              </w:rPr>
              <w:t>(5)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450,310</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Moore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20,191 </w:t>
            </w:r>
            <w:r>
              <w:rPr>
                <w:rFonts w:ascii="Times New Roman;serif" w:hAnsi="Times New Roman;serif"/>
                <w:b w:val="false"/>
                <w:color w:val="000000"/>
                <w:sz w:val="13"/>
              </w:rPr>
              <w:t>(2)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240,071</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23,434 </w:t>
            </w:r>
            <w:r>
              <w:rPr>
                <w:rFonts w:ascii="Times New Roman;serif" w:hAnsi="Times New Roman;serif"/>
                <w:b w:val="false"/>
                <w:color w:val="000000"/>
                <w:sz w:val="13"/>
              </w:rPr>
              <w:t>(3)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278,630</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46685"/>
                <wp:effectExtent l="0" t="0" r="0" b="0"/>
                <wp:wrapNone/>
                <wp:docPr id="402" name="Frame3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6"/>
        <w:gridCol w:w="331"/>
        <w:gridCol w:w="334"/>
        <w:gridCol w:w="109"/>
        <w:gridCol w:w="109"/>
        <w:gridCol w:w="109"/>
        <w:gridCol w:w="235"/>
        <w:gridCol w:w="235"/>
        <w:gridCol w:w="236"/>
        <w:gridCol w:w="109"/>
        <w:gridCol w:w="109"/>
        <w:gridCol w:w="109"/>
        <w:gridCol w:w="1096"/>
        <w:gridCol w:w="1096"/>
        <w:gridCol w:w="1100"/>
        <w:gridCol w:w="113"/>
        <w:gridCol w:w="113"/>
        <w:gridCol w:w="113"/>
        <w:gridCol w:w="1217"/>
        <w:gridCol w:w="1217"/>
        <w:gridCol w:w="1739"/>
      </w:tblGrid>
      <w:tr>
        <w:trPr/>
        <w:tc>
          <w:tcPr>
            <w:tcW w:w="3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Hexagon Equity Awards: Unearned Hexagon Shares, Units or Other Rights That Have Not Vested (#)</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Hexagon Equity Awards: Market or Payout Value of Unearned Hexagon Shares, Units or Other Rights That Have Not Vested ($)</w:t>
            </w:r>
            <w:r>
              <w:rPr>
                <w:rFonts w:ascii="Times New Roman;serif" w:hAnsi="Times New Roman;serif"/>
                <w:b/>
                <w:color w:val="000000"/>
                <w:sz w:val="10"/>
              </w:rPr>
              <w:t>(1)</w:t>
            </w:r>
          </w:p>
        </w:tc>
      </w:tr>
      <w:tr>
        <w:trPr/>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27,962 </w:t>
            </w:r>
            <w:r>
              <w:rPr>
                <w:rFonts w:ascii="Times New Roman;serif" w:hAnsi="Times New Roman;serif"/>
                <w:b w:val="false"/>
                <w:color w:val="000000"/>
                <w:sz w:val="13"/>
              </w:rPr>
              <w:t>(4)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332,468</w:t>
            </w:r>
          </w:p>
        </w:tc>
      </w:tr>
      <w:tr>
        <w:trPr/>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31,339 </w:t>
            </w:r>
            <w:r>
              <w:rPr>
                <w:rFonts w:ascii="Times New Roman;serif" w:hAnsi="Times New Roman;serif"/>
                <w:b w:val="false"/>
                <w:color w:val="000000"/>
                <w:sz w:val="13"/>
              </w:rPr>
              <w:t>(5)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372,621</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Zana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23,835 </w:t>
            </w:r>
            <w:r>
              <w:rPr>
                <w:rFonts w:ascii="Times New Roman;serif" w:hAnsi="Times New Roman;serif"/>
                <w:b w:val="false"/>
                <w:color w:val="000000"/>
                <w:sz w:val="13"/>
              </w:rPr>
              <w:t>(2)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283,398</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25,396 </w:t>
            </w:r>
            <w:r>
              <w:rPr>
                <w:rFonts w:ascii="Times New Roman;serif" w:hAnsi="Times New Roman;serif"/>
                <w:b w:val="false"/>
                <w:color w:val="000000"/>
                <w:sz w:val="13"/>
              </w:rPr>
              <w:t>(3)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301,958</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31,204 </w:t>
            </w:r>
            <w:r>
              <w:rPr>
                <w:rFonts w:ascii="Times New Roman;serif" w:hAnsi="Times New Roman;serif"/>
                <w:b w:val="false"/>
                <w:color w:val="000000"/>
                <w:sz w:val="13"/>
              </w:rPr>
              <w:t>(4)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371,016</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35,166 </w:t>
            </w:r>
            <w:r>
              <w:rPr>
                <w:rFonts w:ascii="Times New Roman;serif" w:hAnsi="Times New Roman;serif"/>
                <w:b w:val="false"/>
                <w:color w:val="000000"/>
                <w:sz w:val="13"/>
              </w:rPr>
              <w:t>(5)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418,124</w:t>
            </w:r>
          </w:p>
        </w:tc>
      </w:tr>
      <w:tr>
        <w:trPr/>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Mokashi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9,503 </w:t>
            </w:r>
            <w:r>
              <w:rPr>
                <w:rFonts w:ascii="Times New Roman;serif" w:hAnsi="Times New Roman;serif"/>
                <w:b w:val="false"/>
                <w:color w:val="000000"/>
                <w:sz w:val="13"/>
              </w:rPr>
              <w:t>(2)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112,991</w:t>
            </w:r>
          </w:p>
        </w:tc>
      </w:tr>
      <w:tr>
        <w:trPr/>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11,000 </w:t>
            </w:r>
            <w:r>
              <w:rPr>
                <w:rFonts w:ascii="Times New Roman;serif" w:hAnsi="Times New Roman;serif"/>
                <w:b w:val="false"/>
                <w:color w:val="000000"/>
                <w:sz w:val="13"/>
              </w:rPr>
              <w:t>(3)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130,790</w:t>
            </w:r>
          </w:p>
        </w:tc>
      </w:tr>
      <w:tr>
        <w:trPr/>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15,217 </w:t>
            </w:r>
            <w:r>
              <w:rPr>
                <w:rFonts w:ascii="Times New Roman;serif" w:hAnsi="Times New Roman;serif"/>
                <w:b w:val="false"/>
                <w:color w:val="000000"/>
                <w:sz w:val="13"/>
              </w:rPr>
              <w:t>(4)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180,930</w:t>
            </w:r>
          </w:p>
        </w:tc>
      </w:tr>
      <w:tr>
        <w:trPr/>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21,319 </w:t>
            </w:r>
            <w:r>
              <w:rPr>
                <w:rFonts w:ascii="Times New Roman;serif" w:hAnsi="Times New Roman;serif"/>
                <w:b w:val="false"/>
                <w:color w:val="000000"/>
                <w:sz w:val="13"/>
              </w:rPr>
              <w:t>(5)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253,483</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market value of performance shares is calculated by multiplying the closing price of Hexagon’s Series B shares on Nasdaq Stockholm as of December 30, 2025 (SEK 109.5) (the last trading day of the year) by the number of shares underlying each award. The values reflect a conversion from Swedish kronor to U.S. dollars using the foreign exchange rate in effect on December 30, 2025 (9.20979), resulting in a share price of $11.89 per share.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performance shares granted pursuant to the Hexagon Share Programme 2022/2025, which are expected to vest in full in May 2026. Vesting of these performance shares was subject to the satisfaction of a performance condition related to an increase in Hexagon’s earnings per share (excluding non-recurring items) over the measurement period from January 1, 2022 to December 31, 2025, as determined by comparing the financial year 2025 results to those for the financial year 2021. Subject to confirmation that the performance condition has been satisfied, the participants will be entitled to receive the allocated number of Series B shares in Hexagon in accordance with the terms of Hexagon Share Programme 2022/2025.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(3)Represents performance shares granted pursuant to the Hexagon Share Programme 2023/2026. Vesting of these performance shares is subject to the satisfaction of a performance condition related to an increase in Hexagon’s earnings per share (excluding non-recurring items) over the measurement period from January 1, 2023 to December 31, 2026, as determined by comparing the financial year 2026 results to those for the financial year 2022. If the performance condition is satisfied, the participants will be entitled to receive the allocated number of Series B shares in Hexagon in accordance with the terms of Hexagon Share Programme 2023/2026.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performance shares granted pursuant to the Hexagon Share Programme 2024/2027. Vesting of these performance shares is subject to the satisfaction of a performance condition related to an increase in Hexagon’s earnings per share (excluding adjustments) over the measurement period from January 1, 2024 to December 31, 2027, as determined by comparing the financial year 2027 results to those for the financial year 2023. If the performance condition is satisfied, the participants will be entitled to receive the allocated number of Series B shares in Hexagon in accordance with the terms of Hexagon Share Programme 2024/2027.</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(5)Represents performance shares granted pursuant to the Hexagon Share Programme 2025/2028. Vesting of these performance shares is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the allocated number of Series B shares in Hexagon in accordance with the terms of Hexagon Share Programme 2025/2028.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2025 Hexagon Stock Vested</w:t>
      </w:r>
    </w:p>
    <w:tbl>
      <w:tblPr>
        <w:tblW w:w="8715" w:type="dxa"/>
        <w:jc w:val="left"/>
        <w:tblInd w:w="0" w:type="dxa"/>
        <w:tblLayout w:type="fixed"/>
        <w:tblCellMar>
          <w:top w:w="28" w:type="dxa"/>
          <w:left w:w="28" w:type="dxa"/>
          <w:bottom w:w="28" w:type="dxa"/>
          <w:right w:w="28" w:type="dxa"/>
        </w:tblCellMar>
      </w:tblPr>
      <w:tblGrid>
        <w:gridCol w:w="542"/>
        <w:gridCol w:w="476"/>
        <w:gridCol w:w="481"/>
        <w:gridCol w:w="109"/>
        <w:gridCol w:w="109"/>
        <w:gridCol w:w="109"/>
        <w:gridCol w:w="1293"/>
        <w:gridCol w:w="1293"/>
        <w:gridCol w:w="1298"/>
        <w:gridCol w:w="197"/>
        <w:gridCol w:w="197"/>
        <w:gridCol w:w="197"/>
        <w:gridCol w:w="706"/>
        <w:gridCol w:w="706"/>
        <w:gridCol w:w="1002"/>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Hexagon Stock Awards</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Hexagon Shares Acquired on Vesting (#)</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Value Realized on Vesting ($)</w:t>
            </w:r>
            <w:r>
              <w:rPr>
                <w:rFonts w:ascii="Times New Roman;serif" w:hAnsi="Times New Roman;serif"/>
                <w:b/>
                <w:color w:val="000000"/>
                <w:sz w:val="10"/>
              </w:rPr>
              <w:t>(1)</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32,744</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333,334</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Maslen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22,968</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233,814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Moore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17,589</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179,056</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Zana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16,905</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172,093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Mokashi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7,457</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75,912</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value realized on vesting of performance shares is calculated by multiplying the closing price of Hexagon’s Series B shares on Nasdaq Stockholm as of May 28, 2025 (SEK 97.62) (the last trading day prior to the vesting date) by the number of shares underlying each award. The values reflect a conversion from Swedish kronor to U.S. dollars using Hexagon’s May 2025 foreign exchange rate applied for financial reporting purposes (9.5985), resulting in a share price of $10.18 per share.</w:t>
      </w:r>
    </w:p>
    <w:p>
      <w:pPr>
        <w:pStyle w:val="TextBody"/>
        <w:bidi w:val="0"/>
        <w:spacing w:before="0" w:after="180"/>
        <w:jc w:val="both"/>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46685"/>
                <wp:effectExtent l="0" t="0" r="0" b="0"/>
                <wp:wrapNone/>
                <wp:docPr id="403" name="Frame4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Potential Payments Upon Termination or Change-in-Control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section describes the payments or benefits payable to our NEOs upon certain terminations of employment or in connection with a change in control. Mr. Mokashi participates only in severance and benefit arrangements that are generally available to all salaried employees, and descriptions of such arrangements are not included in this section.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Hexagon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plans governing outstanding Hexagon long-term equity incentive awards, the Hexagon Board has discretion to make adjustments to such awards in the event of extraordinary circumstances and, in certain circumstances, to waive the applicable employment condition in the event of a holder’s involuntary termination of employment prior to vesting. Except as noted below pursuant to the spin-off-related transition agreements with Messrs. Maslen and Zana, which will cease to apply upon completion of the Distribution, none of the NEOs has an existing right to accelerated or continued vesting of outstanding Hexagon equity awards in the event of a termination of employment for any reason.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Hexagon Group Management Severance Practices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Notwithstanding the applicable contractual arrangements described below that set forth specific severance-related entitlements, Hexagon’s shareholder-approved executive remuneration guidelines permit severance payments of up to 24 months of base salary to members of group management, including Messrs. Stenberg, Maslen and Zana, in connection with an involuntary termination without cause.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Under Distribution-Related Transition Agreements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Ben Maslen and Anthony Zana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Messrs. Maslen and Zana each entered into a transition agreement, dated August 22, 2025, with Hexagon setting forth certain role transition and severance arrangements in connection with the Distribution. These arrangements were provided to facilitate an orderly transition of their roles at Hexagon, including the recruitment, retention and training of successors who would continue to serve in those roles at Hexagon even if the Distribution were not consummated.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that the Distribution is not consummated, resulting in the termination of Messrs. Maslen’s and Zana’s employment with Hexagon (including constructively), the applicable executive is entitled to receive: (i) a separation payment consisting of 24 months of base salary; (ii) any bonus due for fiscal year 2025 and any prorated bonus for fiscal year 2026; (iii) 24 months of company-paid premiums for health and benefit plans equivalent to their current coverage; (iv) “good leaver” status for purposes of retaining all unvested performance shares granted under Hexagon’s long-term share programmes; and (v) paid outplacement services.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Under Existing Employment Agreements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Mattias Stenberg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Stenberg Offer Letter, Mr. Stenberg’s employment may be terminated by Hexagon with a 12-month notice and by Mr. Stenberg with a six-month notice. In the event of a termination by Hexagon, unless for cause, Mr. Stenberg is entitled to receive continued base salary and continued participation in employee welfare and benefit plans during the applicable notice period. In the event of a termination of employment initiated by Mr. Stenberg, he will receive continued base salary and employment benefits during the applicable notice period.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Ben Maslen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Maslen Employment Agreement may be terminated by Mr. Maslen or Hexagon, generally subject to six- or twelve-month notice requirements, respectively. Mr. Maslen is entitled to receive continued salary and all other benefits arising under the Maslen Employment Agreement during the applicable notice period.</w:t>
      </w:r>
    </w:p>
    <w:p>
      <w:pPr>
        <w:pStyle w:val="TextBody"/>
        <w:bidi w:val="0"/>
        <w:spacing w:before="0" w:after="180"/>
        <w:jc w:val="both"/>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46685"/>
                <wp:effectExtent l="0" t="0" r="0" b="0"/>
                <wp:wrapNone/>
                <wp:docPr id="404" name="Frame4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Maslen Employment Agreement, Hexagon may terminate Mr. Maslen’s employment (i) at any time (whether or not notice to terminate has already been given) by paying a lump sum equal to his base salary only (as at the date of termination) in lieu of any required notice or balance of such notice; or (ii) if in the opinion of the Hexagon Board, Mr. Maslen is or has been or may be unable to perform duties properly by reason of sickness or injury for a period exceeding an aggregate of three months in any 12-month period, subject to a three-month notice requirement, less the aggregate of any periods during which Mr. Maslen has been paid salary under paid sick leave during the 12 months prior to the giving of such notice. Following termination of Mr. Maslen’s employment by Hexagon without cause (as described in the Maslen Employment Agreement) or by Mr. Maslen in response to Hexagon’s fundamental breach of the Maslen Employment Agreement, Mr. Maslen is entitled to receive pro-rated bonus for the year of termination.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Anthony Zana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Zana Employment Agreement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of control. Intergraph may, in its discretion, provide Mr. Zana with termination-related payments described below in lieu of the applicable notice period and may waive all or any portion of the 30-day notice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that Mr. Zana’s employment is terminated by Intergraph for any reason other than for cause (including, without limitation, death, disability, constructively or via direct or indirect change of control of Intergraph), Mr. Zana (or his estate and/or beneficiaries, as the case may be) is entitled to receive: (i) a lump sum payment equal to 12 months of base salary, payable within 30 days of the date of termination; (ii) pro-rated portion of annual bonus as of the date of termination (on target); and (iii) COBRA continuation coverage for up to 12 months following the date of termination.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Scott Moore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Moore Compensation Letter, Mr. Moore is entitled to a severance payment consisting of 12 months of base salary in the event of a termination without cause.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Potential Payments Upon Termination or Change-in-Control Table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potential payments to which each of our NEOs would have been entitled upon each termination scenario listed assuming that each event occurred on December 31, 2025. The amounts shown do not include payments or benefits provided under plans that are generally available to all salaried employees.</w:t>
      </w:r>
    </w:p>
    <w:tbl>
      <w:tblPr>
        <w:tblW w:w="10205" w:type="dxa"/>
        <w:jc w:val="left"/>
        <w:tblInd w:w="0" w:type="dxa"/>
        <w:tblLayout w:type="fixed"/>
        <w:tblCellMar>
          <w:top w:w="28" w:type="dxa"/>
          <w:left w:w="28" w:type="dxa"/>
          <w:bottom w:w="28" w:type="dxa"/>
          <w:right w:w="28" w:type="dxa"/>
        </w:tblCellMar>
      </w:tblPr>
      <w:tblGrid>
        <w:gridCol w:w="382"/>
        <w:gridCol w:w="335"/>
        <w:gridCol w:w="339"/>
        <w:gridCol w:w="109"/>
        <w:gridCol w:w="109"/>
        <w:gridCol w:w="109"/>
        <w:gridCol w:w="504"/>
        <w:gridCol w:w="353"/>
        <w:gridCol w:w="354"/>
        <w:gridCol w:w="109"/>
        <w:gridCol w:w="109"/>
        <w:gridCol w:w="109"/>
        <w:gridCol w:w="795"/>
        <w:gridCol w:w="589"/>
        <w:gridCol w:w="591"/>
        <w:gridCol w:w="109"/>
        <w:gridCol w:w="109"/>
        <w:gridCol w:w="109"/>
        <w:gridCol w:w="695"/>
        <w:gridCol w:w="695"/>
        <w:gridCol w:w="697"/>
        <w:gridCol w:w="109"/>
        <w:gridCol w:w="109"/>
        <w:gridCol w:w="109"/>
        <w:gridCol w:w="766"/>
        <w:gridCol w:w="742"/>
        <w:gridCol w:w="1060"/>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Involuntary Termination (without cause)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Death / Disability / Change-in-Control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Termination Due to Non-Consummation of Distribution ($)</w:t>
            </w:r>
          </w:p>
        </w:tc>
      </w:tr>
      <w:tr>
        <w:trPr/>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2,050,652</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Maslen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1,430,908</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1,430,908</w:t>
            </w:r>
            <w:r>
              <w:rPr>
                <w:color w:val="000000"/>
              </w:rPr>
              <w:t xml:space="preserve"> </w:t>
            </w:r>
            <w:r>
              <w:rPr>
                <w:rFonts w:ascii="Times New Roman;serif" w:hAnsi="Times New Roman;serif"/>
                <w:b w:val="false"/>
                <w:color w:val="000000"/>
                <w:sz w:val="13"/>
              </w:rPr>
              <w:t>(1)</w:t>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Pro-Rated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1,073,181</w:t>
            </w:r>
            <w:r>
              <w:rPr>
                <w:color w:val="000000"/>
              </w:rPr>
              <w:t xml:space="preserve">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1,073,181</w:t>
            </w:r>
            <w:r>
              <w:rPr>
                <w:color w:val="000000"/>
              </w:rPr>
              <w:t xml:space="preserve"> </w:t>
            </w:r>
            <w:r>
              <w:rPr>
                <w:rFonts w:ascii="Times New Roman;serif" w:hAnsi="Times New Roman;serif"/>
                <w:b w:val="false"/>
                <w:color w:val="000000"/>
                <w:sz w:val="13"/>
              </w:rPr>
              <w:t>(2)</w:t>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1,496,237</w:t>
            </w:r>
            <w:r>
              <w:rPr>
                <w:color w:val="000000"/>
              </w:rPr>
              <w:t xml:space="preserve">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1,496,237</w:t>
            </w:r>
            <w:r>
              <w:rPr>
                <w:color w:val="000000"/>
              </w:rPr>
              <w:t xml:space="preserve"> </w:t>
            </w:r>
            <w:r>
              <w:rPr>
                <w:rFonts w:ascii="Times New Roman;serif" w:hAnsi="Times New Roman;serif"/>
                <w:b w:val="false"/>
                <w:color w:val="000000"/>
                <w:sz w:val="13"/>
              </w:rPr>
              <w:t>(3)</w:t>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Continued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19,434</w:t>
            </w:r>
            <w:r>
              <w:rPr>
                <w:color w:val="000000"/>
              </w:rPr>
              <w:t xml:space="preserve"> </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19,434</w:t>
            </w:r>
            <w:r>
              <w:rPr>
                <w:color w:val="000000"/>
              </w:rPr>
              <w:t xml:space="preserve"> </w:t>
            </w:r>
            <w:r>
              <w:rPr>
                <w:rFonts w:ascii="Times New Roman;serif" w:hAnsi="Times New Roman;serif"/>
                <w:b w:val="false"/>
                <w:color w:val="000000"/>
                <w:sz w:val="13"/>
              </w:rPr>
              <w:t>(4)</w:t>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4,019,760 </w:t>
            </w:r>
          </w:p>
        </w:tc>
        <w:tc>
          <w:tcPr>
            <w:tcW w:w="5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4,019,760 </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Zana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1,280,060</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640,030</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1,280,060</w:t>
            </w:r>
            <w:r>
              <w:rPr>
                <w:color w:val="000000"/>
              </w:rPr>
              <w:t xml:space="preserve"> </w:t>
            </w:r>
            <w:r>
              <w:rPr>
                <w:rFonts w:ascii="Times New Roman;serif" w:hAnsi="Times New Roman;serif"/>
                <w:b w:val="false"/>
                <w:color w:val="000000"/>
                <w:sz w:val="13"/>
              </w:rPr>
              <w:t>(1)</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Pro-Rated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960,045</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960,045</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960,045</w:t>
            </w:r>
            <w:r>
              <w:rPr>
                <w:color w:val="000000"/>
              </w:rPr>
              <w:t xml:space="preserve"> </w:t>
            </w:r>
            <w:r>
              <w:rPr>
                <w:rFonts w:ascii="Times New Roman;serif" w:hAnsi="Times New Roman;serif"/>
                <w:b w:val="false"/>
                <w:color w:val="000000"/>
                <w:sz w:val="13"/>
              </w:rPr>
              <w:t>(2)</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1,374,496</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1,374,496</w:t>
            </w:r>
            <w:r>
              <w:rPr>
                <w:color w:val="000000"/>
              </w:rPr>
              <w:t xml:space="preserve"> </w:t>
            </w:r>
            <w:r>
              <w:rPr>
                <w:rFonts w:ascii="Times New Roman;serif" w:hAnsi="Times New Roman;serif"/>
                <w:b w:val="false"/>
                <w:color w:val="000000"/>
                <w:sz w:val="13"/>
              </w:rPr>
              <w:t>(3)</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Continued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66,819</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33,410</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66,819</w:t>
            </w:r>
            <w:r>
              <w:rPr>
                <w:color w:val="000000"/>
              </w:rPr>
              <w:t xml:space="preserve"> </w:t>
            </w:r>
            <w:r>
              <w:rPr>
                <w:rFonts w:ascii="Times New Roman;serif" w:hAnsi="Times New Roman;serif"/>
                <w:b w:val="false"/>
                <w:color w:val="000000"/>
                <w:sz w:val="13"/>
              </w:rPr>
              <w:t>(4)</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3,681,420 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1,633,485 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3,681,420 </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Moore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570,544</w:t>
            </w:r>
            <w:r>
              <w:rPr>
                <w:color w:val="000000"/>
              </w:rPr>
              <w:t xml:space="preserve"> </w:t>
            </w:r>
            <w:r>
              <w:rPr>
                <w:rFonts w:ascii="Times New Roman;serif" w:hAnsi="Times New Roman;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405" name="Frame4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cash severance in an amount equal to (i) up to 24 months of base salary for Messrs. Stenberg, Maslen and Zana, upon a termination by Hexagon without cause; (ii) 24 months of base salary for Messrs. Maslen and Zana, upon a termination due to non-consummation of Distribution; and (iii) 12 months for Mr. Zana, upon a termination due to death, disability or a change of control.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the executive’s pro-rated target annual bonus for the year of termination; however, because this table assumes termination of employment occurred on December 31, 2025, the amount shown reflects the full target bonus.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(3)Represents the value of outstanding performance shares based on the applicable price per share as of December 31, 2025. Upon such a termination of employment, awards will remain outstanding and eligible to vest in accordance with their terms.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the value of continued participation in health and welfare benefit plans during the same severance period as the applicable cash severance payment. Messrs. Maslen and Zana are also entitled to paid outplacement services upon a termination by Hexagon without cause or a termination due to non-consummation of Distribution.</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(5)Represents cash severance in an amount equal to 12 months of base salary.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Compensation Arrangements to be Adopted in Connection with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develop executive compensation programs to incentivize our NEOs in the long-term and short-term, following the completion of the Distribution. In connection with the completion of the Distribution, we will establish a Compensation Committee, which will establish our go-forward compensation program. By offering compensation to our key employees that is directly linked to the performance of our business following the Distribution, we expect to enhance our ability to attract, retain and motivate qualified personnel and serve the interests of our shareholders.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Incentive Plan and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that equity-based compensation will be an important component of our executive compensation program because we believe it is important to align the interests of our officers, employees, directors and other service providers with those of our shareholders. Accordingly, prior to the Distribution, we expect to adopt the Octave Intelligence plc Long-Term Incentive Plan, which we refer to as the “LTIP,” and the Octave Intelligence plc Employee Share Purchase Plan, which we refer to as the “ESPP.”</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Long-Term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is expected to adopt, and we anticipate our shareholder will approve, the LTIP prior to the Distribution. The LTIP is expected to become effective immediately prior to and contingent upon the date on which the Distribution occurs. The LTIP is expected to provide for a share reserve equal to the sum of (x) 6% of the Octave Shares outstanding immediately following the Distribution, plus (y) the number of Octave Class B Ordinary Shares subject to Octave Equity Awards to be issued in respect of outstanding Hexagon Equity Awards held by Octave Employees as of the Distribution Time pursuant to the Employee Matters Agreement (the “replacement awards”), in each case as adjusted in connection with the Distribution. In connection with the Distribution, we intend to grant our NEOs equity-based incentive awards in respect of 2026 under the LTIP. The form and terms of the LTIP and such awards are still under evaluation, and we expect to provide details in an amendment to this information statement. Other than equity awards granted by Octave in respect of 2026 and the replacement awards, our NEOs are not expected to receive equity-based incentive awards from Hexagon in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expected to adopt, and we anticipate our shareholder will approve, the ESPP prior to the Distribution. The ESPP will become effective on the date it is adopted by our Board of Directors, subject to shareholder approval within 12 months following such adoption. The purpose of the ESPP is to provide an opportunity for eligible employees of Octave and its designated affiliates to purchase our ordinary shares at a discount through voluntary contributions, thereby attracting, retaining and rewarding such persons and strengthening the alignment of interest between such persons and our shareholders. The ESPP is expected to provide for a share reserve equal to 1% of the Octave Shares outstanding immediately following the Distribution. The form and terms of the ESPP are still under evaluation, and we expect to provide details in an amendment to this information statement. The ESPP is intended to qualify as an “employee stock purchase plan” within the meaning of Section 423 of the Code. </w:t>
      </w:r>
    </w:p>
    <w:p>
      <w:pPr>
        <w:pStyle w:val="TextBody"/>
        <w:bidi w:val="0"/>
        <w:spacing w:before="0" w:after="180"/>
        <w:jc w:val="both"/>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406" name="Frame4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Incentive Awards Following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we intend to grant each of our NEOs equity-based incentive awards in respect of 2026 in the form of restricted share units, or RSUs, and performance share units, or PSUs, designed to align our NEOs’ interests with those of our shareholders. Approximately 40% of the total award value for each NEO is expected to be delivered in the form of RSUs and approximately 60% in the form of PSUs. Except as otherwise provided in the applicable award agreement or the NEO’s employment agreement, an initial tranche of RSUs is expected to vest on December 31, 2026 and the remaining RSUs will vest in substantially equal quarterly installments over a two year period thereafter. While the vesting terms of PSU awards remain under evaluation, the applicable performance metrics are expected to include Octave’s relative total shareholder return, annual recurring revenue growth and EBIT margin improvement. We expect to provide additional detail regarding PSU vesting terms in an amendment to this information statement. The target grant date value of these awards for our NEOs is expected to range from approximately $8,750,000 (in the case of our CEO) to $850,000.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Executive Employment Agreements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and/or certain of its controlled affiliates have entered or intend to enter into new employment agreements with our NEOs, to be effective upon the completion of the Distribution. The employment agreements with the NEOs will provide for (i) an annual base salary (ranging from $850,000, in the case of our CEO, to $400,000) (ii) eligibility to participate in our annual cash incentive program, with each NEO’s initial target annual cash incentive opportunity equal to 100% of base salary, and (iii) participation in our long-term stock incentive bonus plans. Each NEO will also be entitled to participate in employee benefit plans and programs made available to senior executives. The NEOs’ employment will be at-will. The new employment agreements with our NEOs will provide that, upon a termination by the Company without “Cause” or by the NEO with “Good Reason” (each as defined in the employment agreements) occurring outside the CIC Protection Period (as defined below), then the NEO will be entitled to (i) an amount in cash equal to any earned annual cash incentive for the prior year, based on actual performance, to the extent unpaid, (ii) a pro-rated annual cash incentive for the year of termination, based on actual performance for the full performance period, (iii) a lump sum cash payment equal to a multiple (ranging from 0.5x to 1.5x) of the sum of base salary plus the target annual cash incentive for the then-applicable fiscal year, (iv) a lump sum cash payment equal to the value of 12 to 24 months of continued health, dental and/or vision coverage, (v) accelerated vesting of all time-vesting stock options and stock-based awards, including any replacement awards, and continued eligibility for all performance-vesting stock options and stock-based awards to vest, without regard to continued service, in a pro rata portion of such awards based on actual performance in accordance with the applicable award terms and (vi) extension of the period of time during which the NEO may exercise vested stock options to the longer of six months following termination or seven days after the commencement of the first trading window thereafter, but in no event later than the original expiration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Upon a termination by the Company without “Cause” or by the NEO with “Good Reason” occurring during the period beginning 180 days prior to the effective date of a definitive agreement that results in a Change in Control (and is in connection with such Change in Control) and ending 24 months after the consummation of such Change in Control (the “CIC Protection Period”), then the NEO will be entitled to (i) an amount in cash equal to any earned annual cash incentive for the prior year, based on actual performance, to the extent unpaid, (ii) a pro-rated annual cash incentive for the year of termination, based on target performance for the full performance period, (iii) a lump sum cash payment equal to a multiple (ranging from 1x to 2x) of the sum of the NEO’s then-effective base salary (or, if higher, the base salary in effect immediately prior to the Change in Control) plus the target annual cash incentive for the then-applicable fiscal year, (iv) a lump sum cash payment equal to the value of 12 to 24 months of continued health, dental and/or vision coverage and (v) accelerated vesting of any outstanding options or stock-based awards, including any replacement awards, with performance-based awards vesting based on the methodology set forth in our LTIP and applicable award agreements. In the event of a qualifying termination during the 180-day period preceding a Change in Control, the enhanced severance benefits will be paid only to the extent they exceed the amounts payable upon a qualifying termination outside the CIC Protection Period. For purposes of the employment agreements, “Change in Control” has the meaning set forth in our LTIP. Payment of severance benefits, whether during or outside the CIC Protection Period, will be conditioned on the NEO’s execution and non-revocation of a release of claims. </w:t>
      </w:r>
    </w:p>
    <w:p>
      <w:pPr>
        <w:pStyle w:val="TextBody"/>
        <w:bidi w:val="0"/>
        <w:spacing w:before="0" w:after="180"/>
        <w:jc w:val="both"/>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407" name="Frame4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condition to the new employment agreements, the NEOs will be required to enter into customary non-disclosure, non-compete and/or non-solicitation agreements. The employment agreements also provide for reimbursement of certain legal fees incurred by the NEO in successfully enforcing the employment agreement. In addition, if any payments or benefits constitute “parachute payments” under Section 280G of the Code, such payments will either be delivered in full or reduced to the extent necessary to avoid the excise tax under Section 4999 of the Code, whichever results in the NEO receiving the greatest after-tax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408" name="Frame4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appointment of the Board of Directors of the Company while Hexagon was the Company’s sole shareholder, Hexagon determined the director compensation, which was subsequently ratified and adopted by our Board of Directors. Such compensation consists of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cash retainer in the amount of $60,000 per year;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 annual equity award of RSUs with a grant date fair value of approximately $200,000, to vest in full on the first anniversary of the grant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Chair of our Board of Directors will receive an additional cash retainer in the amount of $40,000 per year and the chairs of each of our Audit Committee, Compensation Committee, Nominating and Governance Committee and any other committee of our Board of Directors will receive an additional cash retainer in the amount of $30,000, $20,000, $15,000, and $15,000 per year, respectively. Members of each of our Audit Committee, Compensation Committee, Nominating and Governance Committee and any other committee of our Board of Directors will receive an additional cash retainer in the amount of $15,000, $12,000, $10,000, and $10,000 per year, respectively. In addition to the compensation described above, each director will be reimbursed for business-related travel and covered by Octave’s directors’ and officers’ liability insurance policy. We will not provide directors who are also our employees any additional compensation for serving as a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409" name="Frame4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CERTAIN RELATIONSHIPS AND RELATED PARTY TRANSACTIONS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we will be a public company and Hexagon will have no continuing ownership interest in us. For purposes of governing the ongoing relationships between Hexagon and us after the Distribution and to provide for an orderly transition, Hexagon and Octave entered into, or before the completion of the Distribution will enter into, a Distribution Agreement, Employee Matters Agreement, Tax Disaffiliation Agreement, Transition Services Agreement and other agreements that will outline the terms and conditions of the transactions and provide a framework for our relationship with Hexagon after the transactions.</w:t>
      </w:r>
    </w:p>
    <w:p>
      <w:pPr>
        <w:pStyle w:val="TextBody"/>
        <w:bidi w:val="0"/>
        <w:spacing w:lineRule="auto" w:line="288" w:before="0" w:after="180"/>
        <w:jc w:val="both"/>
        <w:rPr>
          <w:rFonts w:ascii="Times New Roman;serif" w:hAnsi="Times New Roman;serif"/>
          <w:b/>
          <w:color w:val="000000"/>
          <w:sz w:val="20"/>
        </w:rPr>
      </w:pPr>
      <w:bookmarkStart w:id="1" w:name="i19e217c842bf45da9eb55c28e0366d91_42845"/>
      <w:bookmarkEnd w:id="1"/>
      <w:r>
        <w:rPr>
          <w:rFonts w:ascii="Times New Roman;serif" w:hAnsi="Times New Roman;serif"/>
          <w:b/>
          <w:color w:val="000000"/>
          <w:sz w:val="20"/>
        </w:rPr>
        <w:t>Relationship Between Hexagon and Octave After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summaries of each of the agreements set forth below are qualified in their entireties by reference to the full text of the applicable agreements, forms of which are filed in as exhibits to the registration statement of which this information statement forms a part.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summaries have been included in this information statement to provide information regarding the terms of these agreements. They are not intended to provide any other factual information about Hexagon, Octave, their respective affiliates or the Octave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Distribution Agreement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Distribution Agreement provides for the separation of the Octave Business from Hexagon’s other businesses. Among other things, the Distribution Agreement identifies those assets of Hexagon related to the Octave Business that are to be transferred to, and those liabilities of Hexagon related to the Octave Business that are to be assumed by, Octave, and describes when and how these transfers and assumptions will occur. The Distribution Agreement also includes procedures by which Hexagon and Octave will become separate and independent companies. The matters addressed by the Distribution Agreement include, but are not limited to, the matters described below. As used in this summary, the following terms have the following meanings: (i) “Octave entities” means Octave and all its direct and indirect wholly owned or controlled subsidiaries (after giving effect to the internal reorganization); (ii) “Octave group” means Octave, the other Octave entities, each subsidiary of Octave immediately after the Distribution Time and each other entity that becomes a subsidiary of Octave after the Distribution Time (including as a result of any transactions that occur following the Distribution Time in accordance with the separation step plan (as defined in the Distribution Agreement)); (iii) “Hexagon group” means Hexagon and each entity (other than any member of Octave group) that is a direct or indirect subsidiary of Hexagon immediately after the Distribution Time, and each entity that becomes a subsidiary of Hexagon after the Distribution Time (including as a result of transactions that occur following the Distribution Time in accordance with the separation step plan); and (iv) “group” means the Hexagon group or the Octave group, as the context requires.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Transfer of Octave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Distribution Agreement identifies the assets to be transferred, the liabilities to be assumed and the contracts to be transferred to each of Octave and Hexagon as part of the separation of the Octave Business from Hexagon, and provides for when and how these transfers and assumptions will occur.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Distribution Agreement, Hexagon will cause its various contributing subsidiaries to transfer to Octave (or one or more of its designated subsidiaries) all right, title and interest in and to all the Octave Assets (as defined below). The vast majority of the “Octave Assets” will be transferred via entity encapsulation and include, among other things and subject to certain exceptions, assets related to the Octave Business, including:</w:t>
      </w:r>
    </w:p>
    <w:p>
      <w:pPr>
        <w:pStyle w:val="TextBody"/>
        <w:bidi w:val="0"/>
        <w:spacing w:before="0" w:after="180"/>
        <w:jc w:val="both"/>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410" name="Frame4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equity securities of the Octave entities;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 contracts (other than any contracts that are Excluded Assets (as defined below)) to which Hexagon or any of its subsidiaries is a party or to which any Octave Asset is subject, in each case that primarily relate to or are primarily used in connection with or held for the benefit of the Octave Business, (ii) to the extent assignable, the applicable portion of any non-disclosure and confidentiality agreements and (iii) the applicable portions of each Shared Contract (as defined below) (collectively, the “Octave Contracts”);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licenses, permits and other governmental authorizations held by Hexagon or any of its subsidiaries that are primarily related to the Octave Business or the Octave Assets;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specified registered intellectual property and other intellectual property that is primarily used or held for use in the operation of the Octave Business, together with all causes of action or other rights that may be asserted under any of the foregoing (the “Octave Intellectual Property”);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and all goodwill and other intangibles primarily related to the Octave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systems, networks and hardware (“IT Assets”) primarily used or held for use in the Octave Business, including all software embedded within to the extent described in the Distribution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copy of the books and records related to the Octave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than with respect to taxes or claims under any insurance policies, rights available to or being pursued by Hexagon or its wholly owned or controlled subsidiaries in connection with any claim, action, investigation or other proceeding or any other claims, defenses, causes of action, rights of recovery, set-off, guarantees and similar rights against third parties, in each case, to the extent relating to the Octave Business, any Octave Asset or any Octave Liability (as defined below);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and all accounts receivable and other current assets of the Octave entities and the additional entities as of immediately prior to the Distribution Time, and all cash and cash equivalents of the Octave entities and the additional entities as of immediately prior to the Distribution Time;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inventory that primarily relates to or is primarily used in connection with the Octave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prepaid expenses, credits, deposits and advance payments, in each case, to the extent relating to any other Octave Asset;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all real property owned by Hexagon or its wholly owned or controlled subsidiaries that primarily relates to or is primarily used in connection with or held for the benefit of the Octave Business (referred to herein as “Octave Owned Real Property”) and all real property leased, subleased, licensed or similarly occupied by Hexagon or its subsidiaries, in each case that primarily relates to or is primarily occupied or used in connection with the Octave Business (referred to herein as “Octave Leased Real Property”);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other assets of Hexagon and its wholly owned or controlled subsidiaries as of immediately prior to the Distribution Time that are primarily related to or primarily used in connection with or held for the benefit of the Octave Business.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Transfer of Excluded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Distribution Agreement, Octave and its subsidiaries will transfer to Hexagon or one of its designated subsidiaries (other than Octave and its subsidiaries) all right, title and interest in and to all the Excluded Assets, which include all assets of Hexagon and its subsidiaries other than the Octave Assets, including all equity interests (other than those of the Octave entities), insurance policies, real property, permits, tangible and personal property, contracts, IT Assets and intellectual property, in each case other than those constituting Octave Assets.</w:t>
      </w:r>
    </w:p>
    <w:p>
      <w:pPr>
        <w:pStyle w:val="TextBody"/>
        <w:bidi w:val="0"/>
        <w:spacing w:before="0" w:after="180"/>
        <w:jc w:val="both"/>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411" name="Frame4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Assumption of Octave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Distribution Agreement provides that Octave or one or more of its subsidiaries will assume certain liabilities that include, among other things and subject to certain exceptions, the liabilities described below, referred to herein as the “Octave Liabilities,” and the vast majority of these liabilities will be assumed via entity encapsulation: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liabilities to the extent relating to, arising out of or resulting from the ownership, operation or conduct of the Octave Business, the Octave Assets, whether known or unknown, fixed or contingent, asserted or unasserted, and not satisfied or extinguished as of the Distribution Date, including any and all liabilities in respect of any actions related thereto;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liabilities arising out of or relating to any Octave Contracts;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liabilities arising under or relating to any Octave Intellectual Property, including the use thereof;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liabilities assumed by, retained by or agreed to be performed by Octave or any of its subsidiaries and affiliates pursuant to any agreement entered into in connection with the Distribution;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liabilities (including under applicable federal and state securities laws) relating to, arising out of or resulting from the registration statement of which this information statement forms a part, other than information relating to Hexagon and its subsidiaries with respect to the Hexagon business, whenever arising;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liabilities relating to, arising out of or resulting from the Octave financing agreements entered into in connection with the Distribution, whenever arising;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environmental liabilities (as defined in the Distribution Agreement) to the extent relating to, arising out of or resulting from (i) the Octave Owned Real Property or the Octave Leased Real Property, except to the extent such liabilities are attributable to any Hexagon business conducted at, or any Excluded Asset used, operated or stored at, or removed from, such real property, or (ii) the ownership or operation of the Octave Business, the Octave Assets (other than the Octave Owned Real Property or the Octave Leased Real Property), or the conduct of the Octave Business;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all liabilities relating to, arising out of or resulting from any claim or action with respect to the Octave Business and the Octave Assets.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Excluded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Distribution Agreement provides that Hexagon or one or more of its subsidiaries will be responsible for, and not transfer to Octave or its subsidiaries, the Excluded Liabilities, which include: (i) all liabilities to the extent relating to, arising out of or resulting from the ownership, operation or conduct of the Excluded Assets; (ii) any liability attributable to any Hexagon business conducted at the Octave Owned Real Property or Octave Leased Real Property; and (iii) all liabilities assumed by, retained by or agreed to be performed by Hexagon or any of its subsidiaries (other than the Octave entities) pursuant to the Distribution Agreement or certain other agreements related to the Distribution.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Shared Contracts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Hexagon and Octave will use commercially reasonable efforts for 36 months after the Distribution Date to separate any contracts with third parties that benefit both the Octave Business and the Hexagon business, other than enterprise-wide contracts, contracts with respect to off-the-shelf software, any contract that provides for certain overhead and shared services or processes that are provided to, or used in, both the Octave Business and Hexagon business or any contract that is subject to the Transition Services Agreement (collectively, the “Shared Contracts”), or take such other action as reasonably agreed between Hexagon and Octave, subject to certain limitations described in the Distribution Agreement. If such Shared Contracts cannot be separated, then the parties will use commercially reasonable efforts to develop and implement arrangements (including subcontracting under the Transition Services </w:t>
      </w:r>
    </w:p>
    <w:p>
      <w:pPr>
        <w:pStyle w:val="TextBody"/>
        <w:bidi w:val="0"/>
        <w:spacing w:before="0" w:after="180"/>
        <w:jc w:val="both"/>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46685"/>
                <wp:effectExtent l="0" t="0" r="0" b="0"/>
                <wp:wrapNone/>
                <wp:docPr id="412" name="Frame4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Agreement, sublicensing, subleasing or back-to-back arrangements) to pass along to the Hexagon group or the Octave group, as applicable, the benefits and liabilities of the portion of any such shared contract related to the Hexagon business or the Octave Business, respectively.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Guarantees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Each of Hexagon and Octave has agreed, from and after the Distribution, to indemnify members of the other party’s group against any liabilities incurred by reason of or arising out of or in consequence of: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members of the other party’s group issuing, making payment under, being required to pay or reimburse the issuer of, or being a party to, any guarantee, indemnity, surety bond, letter of credit, letter of comfort, commitments or other similar obligation to the extent relating to the other party’s business (and in the case of Octave, the Octave entities);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claim or demand for payment made on a member of the other party’s group with respect to any such guarantees;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claim, action or other proceeding by any person who is or claims to be entitled to the benefit of or claims to be entitled to payment, reimbursement or indemnity with respect to any such guarantees;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fees or expenses reasonably incurred in connection with any of the liabilities described in the preceding three bullets.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Release of Claims and Indemnification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as otherwise provided in any agreement entered into in connection with the Distribution and subject to certain exceptions set forth in the Distribution Agreement, each of Hexagon and Octave will release and forever discharge the other party and its affiliates and holders of equity interests from all liabilities existing or arising from any acts or events occurring or failing to occur or alleged to have occurred or to have failed to occur or any conditions existing or alleged to have existed on or before the Distribution Time. The releases will not extend to obligations or liabilities under any agreements between the parties that remain in effect following the Distribution Time pursuant to the Distribution Agreement or any ancillary agreement. The Distribution Agreement contains certain cross-indemnities that, except as otherwise provided in the Distribution Agreement, are principally designed to place financial responsibility for the obligations and liabilities allocated to Octave under the Distribution Agreement with Octave and financial responsibility for the obligations and liabilities allocated to Hexagon under the Distribution Agreement with Hexagon. Specifically, Hexagon and Octave will indemnify, defend and hold harmless each member of the other party’s group and each of its directors, officers and employees, and each of the heirs, executors, successors and assigns of any of the foregoing, from any liabilities arising out of or due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liabilities or alleged liabilities each party assumed or retained pursuant to the Distribution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failure of each party, any other member of its group or any other person to pay, perform or otherwise promptly discharge any liabilities assumed or retained pursuant to the Distribution Agreement;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breach by any member of each party’s group of any agreement entered into in connection with the Distribution after the Distribution Date (other than any agreement entered into in connection with the Distribution that expressly contains indemnification provisions).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amount of each party’s indemnification obligations will be subject to reduction by any insurance proceeds (net of premium adjustments and costs) actually covered by the party being indemnified, and no party will be liable for punitive, incidental, consequential, special, indirect, exemplary or similar damages except to the extent such losses are owed to an unaffiliated third party in connection with a third-party claim. The Distribution Agreement also specifies procedures with respect to claims subject to indemnification and related matters. Indemnification with respect to taxes will be governed by the Tax Disaffiliation Agreement.</w:t>
      </w:r>
    </w:p>
    <w:p>
      <w:pPr>
        <w:pStyle w:val="TextBody"/>
        <w:bidi w:val="0"/>
        <w:spacing w:before="0" w:after="180"/>
        <w:jc w:val="both"/>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46685"/>
                <wp:effectExtent l="0" t="0" r="0" b="0"/>
                <wp:wrapNone/>
                <wp:docPr id="413" name="Frame4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Term and Termination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although Hexagon is obligated to complete the spin-off after obtaining shareholder approval, the Distribution Agreement provides that until the Distribution Time, Hexagon may, in its sole discretion, terminate the Distribution Agreement and/or abandon the Distribution. After the Distribution Time, the Distribution Agreement may be modified only by written agreement between Octave and Hexagon.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description is qualified in its entirety by reference to the full text of the form of Distribution Agreement, which is filed as an exhibit to the registration statement of which this information statement forms a part.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Transition Services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and Hexagon intend to enter into a Transition Services Agreement in connection with the separation, Pursuant to the Transition Services Agreement, each party will agree to provide to the other certain transitional services (“Services”) that were historically provided in the ordinary course of business prior to the Distribution for specified periods ending on the end date for such Service as set forth in the agreement. The Services are intended to facilitate an orderly separation, and may be terminated early by the recipient or extended in certain circumstances. Services are to be provided in a manner substantially consistent with historical practice and in compliance with applicable law, without warranties, and subject to agreed limitations. In consideration for the Services, the recipient is required to pay the fees set forth in the applicable schedules and any related taxes. It also provides for a royalty-free, non-exclusive license for Octave to use the “Hexagon” brand and related marks for a five-year transition period following the Distribution, subject to Octave’s compliance with Hexagon brand guidelines. The term of the Transition Services Agreement continues until the last to expire end date for the Services, unless earlier terminated.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description is qualified in its entirety by reference to the full text of the form of Transaction Services Agreement, which is filed as an exhibit to the registration statement of which this information statement forms a part.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Tax Disaffiliation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enter into a Tax Disaffiliation Agreement with Hexagon that will govern Hexagon’s and our respective rights, responsibilities and obligations with respect to taxes and tax benefits, the filing of tax returns, the control of audits and other tax matters. References in this summary description of the Tax Disaffiliation Agreement to the terms “tax” or “taxes” mean taxes as well as any interest, penalties, additions to tax or additional amounts in respect of such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Tax Disaffiliation Agreement, with certain exceptions, we will be generally responsible for all taxes that are attributable to us or our subsidiaries for any taxable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any tax year, we will be generally responsible for filing all separate company tax returns that relate to us or one of our subsidiaries and that do not also include Hexagon or any of its subsidiaries. Hexagon will be generally responsible for filing all separate company tax returns that relate to Hexagon or its subsidiaries (other than tax returns that will be filed by us), and for filing consolidated, combined or unitary returns that include (i) one or more of Hexagon and its subsidiaries and (ii) one or more of us and our subsidiaries. We will generally be entitled to receive refunds, credits and offsets with respect to taxes allocated to us under the Tax Disaffiliation Agreement, and Hexagon will generally be entitled to receive refunds, credits and offsets with respect to taxes allocated to it under the Tax Disaffiliation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we will have the authority to conduct all tax proceedings, including tax audits, relating to taxes or any adjustment to taxes for which we are responsible for filing a return under the Tax Disaffiliation Agreement, and Hexagon will have the authority to conduct all tax proceedings, including tax audits, relating to taxes or any adjustment to taxes for which Hexagon will be responsible for filing a return under the Tax Disaffiliation Agreement. However, if one party acknowledges a liability to indemnify the other party for a tax to which such proceeding relates, and provides evidence to the other party of its ability to make such payment, the first-mentioned party will have the authority to conduct such proceeding. The Tax Disaffiliation Agreement will further provide for cooperation between us and Hexagon with respect to tax matters, the exchange of information and the retention of </w:t>
      </w:r>
    </w:p>
    <w:p>
      <w:pPr>
        <w:pStyle w:val="TextBody"/>
        <w:bidi w:val="0"/>
        <w:spacing w:before="0" w:after="180"/>
        <w:jc w:val="both"/>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46685"/>
                <wp:effectExtent l="0" t="0" r="0" b="0"/>
                <wp:wrapNone/>
                <wp:docPr id="414" name="Frame4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records that may affect the tax liabilities of the parties to the agreement. This description is qualified in its entirety by reference to the full text of the form of Tax Disaffiliation Agreement, which is filed as an exhibit to the registration statement of which this information statement forms a part.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Employee Matters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Hexagon and Octave will enter into the Employee Matters Agreement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service providers of each company. The Employee Matters Agreement will also govern the treatment of outstanding Hexagon Equity Awards held by Hexagon Group Employees (as defined in the Employee Matters Agreement) and Octave Group Employees (as defined in the Employee Matters Agreement) at and following the completion of the Distribution. See ‘‘Compensation Discussion and Analysis—Treatment of Outstanding Hexagon Equity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Employee Matters Agreement will provide that, following the Distribution, Octave Group Participants (as defined in the Employee Matters Agreement) generally will no longer participate in benefit arrangements sponsored, maintained or contributed to by Hexagon and will instead participate in benefit plans maintained by Octave.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Employee Matters Agreement also will set forth the general principles relating to employee matters relating to the Distribution, including, without limitation, with respect to the transfer of relevant employees and independent contractors, the assumption and retention of employment-related liabilities, participation in employee benefit plans (including health, welfare, retirement and severance plans), treatment of equity and other incentive awards, chargeback of certain costs, employee service recognition, the sharing of employee information and the duplication of benefits. This description is qualified in its entirety by reference to the full text of the form of Employee Matters Agreement, which is filed as an exhibit to the registration statement of which this information statement forms a part.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Registration Rights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and Melker Schörling AB (“MSAB”), a significant shareholder of Hexagon, intend to enter into a Registration Rights Agreement to govern the relationship between the parties after the Distribution in relation to certain registration rights granted to MSAB with respect to the Octave Class B Ordinary Shares it receives in the Distribution (including any Octave Class B Ordinary Shares issuable upon conversion of Octave Class A Ordinary Shares received by MSAB in the Distribution) and any Octave Class B Ordinary Shares it subsequently acquires from the Company (“Registrable Securities”). Beginning on the first anniversary of the Distribution Date, MSAB may require Octave to effect demand registrations of Registrable Securities, subject to certain limitations, including minimum offering size thresholds, blackout periods and limits on the number of demand registrations in any 12-month period. MSAB is also entitled to customary “piggyback” registration rights to participate in certain registered offerings initiated by Octave or other of its security holders, and after the first anniversary of the Distribution Date, Octave must file and maintain an effective shelf registration statement covering the resale of the Registrable Securities for a specified period, subject to customary suspension rights.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is responsible for customary registration expenses (subject to specified caps for MSAB’s counsel fees), while MSAB bears underwriting discounts and certain other selling expenses. The parties provide customary indemnification and contribution provisions, with Octave indemnifying MSAB and related parties for material misstatements or omissions in registration statements (subject to customary exceptions), and MSAB providing reciprocal indemnification limited to information furnished by it and capped at its net proceeds.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description is qualified in its entirety by reference to the full text of the form of Registration Rights Agreement, which is filed as an exhibit to the registration statement of which this information statement forms a part.</w:t>
      </w:r>
    </w:p>
    <w:p>
      <w:pPr>
        <w:pStyle w:val="TextBody"/>
        <w:bidi w:val="0"/>
        <w:spacing w:before="0" w:after="180"/>
        <w:jc w:val="both"/>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415" name="Frame4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Related Party Transaction Policy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adopted a written statement of policy regarding transactions with related parties, which we refer to as our “related party policy.” Although Octave will, as a general matter, prefer to avoid related party transactions, it recognizes that certain related party transactions may not be inconsistent with the best interests of Octave and its shareholders. Our related party policy will provide that a “related party transaction” is a transaction, arrangement or relationship, or any series of similar transactions, arrangements, or relationships in which (i) Octave or any of its consolidated subsidiaries was, is, or will be a participant, (ii) the aggregate amount involved will or may reasonably be expected to exceed $120,000, and (iii) any related party has or will have a direct or indirect material interest.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“related party” means: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who is, or at any time during the applicable period was, one of Octave’s executive officers or a member of or nominee for the Board of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person who is known by Octave to be the beneficial owner of more than 5% of any class of our voting shares;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immediate family member of any of the foregoing persons, which means any child, stepchild, parent, stepparent, spouse, sibling, mother-in-law, father-in-law, daughter-in-law, brother-in-law or sister-in-law of a director, officer or a beneficial owner of more than 5% of our voting shares, and any person (other than a tenant or employee) sharing the household of such director, executive officer or beneficial owner of more than 5% of our voting shares;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other person who may be a “related person” pursuant to Item 404 of Regulation S-K under the Exchange Act or otherwise under any other applicable laws.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have in place policies and procedures designed to minimize potential conflicts of interest arising from any dealings any person or entity may have with its affiliates and to provide appropriate procedures for the disclosure of any real or potential conflicts of interest that may exist from time to time. Specifically, pursuant to the Related Party Transaction Policy and the Nominating and Governance Committee charter, the Nominating and Governance Committee has the responsibility to review 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of the agreements between us and our subsidiaries and Hexagon, its affiliates and its subsidiaries that have been entered into prior to or concurrently with the completion of the separation, and any transactions contemplated thereby, will be deemed to be approved and not subject to the terms of such policy. In addition, the Nominating and Governance Committee expects to adopt certain pre-approvals under the Related Party Transaction Policy in connection with the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46685"/>
                <wp:effectExtent l="0" t="0" r="0" b="0"/>
                <wp:wrapNone/>
                <wp:docPr id="416" name="Frame4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MATERIAL U.S. FEDERAL INCOME TAX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material U.S. federal income tax consequences of the Distribution to “U.S. Holders” (as defined below) of Hexagon Shares who receive Octave Shares or Octave SDRs in the Distribution and of holding such Octave Shares or Octave SDRs. This discussion is based on the Code, U.S.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interpretation or change could affect the accuracy of the statements and conclusions set forth in this document. No assurance can be given that the IRS would not assert, or that a court would not sustain, a position contrary to any of the tax consequences described below.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discussion applies only to persons who hold such shares or SDRs as capital assets within the meaning of Section 1221 of the Code (generally, property held for investment). This discussion is based upon the assumption that the Distribution was or will be consummated in accordance with the agreements related to the Distribution and as described in the registration statement of which this information statement forms a part. Holders of Hexagon Shares that are not U.S. Holders should consult their tax advisors as to the tax consequences of the Distribution and of holding the Octave Shares or Octave SDRs.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discussion does not address any tax consequences arising under the alternative minimum tax (including the corporate alternative minimum tax on financial statement income), the Medicare contribution tax (including net investment income tax) or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This discussion does not address all aspects of U.S. federal income taxation that may be relevant to particular holders of Hexagon Shares in light of their particular circumstances, nor does it address tax consequences applicable to holders that are or may be subject to special treatment under the U.S. federal income tax laws, including, without limitation: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financial institution;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tax-exempt organization or government organization;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insurance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mutual fund;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dealer or broker, bank or other institution in stocks and securities, or currencies;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trader in securities that elects mark-to-market treatment;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accrual method taxpayer subject to special accounting rules under Section 451(b)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person who receives Hexagon Shares through the exercise of an employee stock option, through a tax qualified retirement plan or otherwise as compensation;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person that has a functional currency for tax purposes other than the U.S. dollar;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person that actually or constructively owns 5% or more (by vote or value) of Hexagon Shares, Octave Shares, or Octave SDRs;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real estate investment trust;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regulated investment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qualified foreign pension funds” as defined in Section 897(l)(2) of the Code, entities all of the interests of which are held by qualified foreign pension fund and tax-qualified retirement plans;</w:t>
      </w:r>
    </w:p>
    <w:p>
      <w:pPr>
        <w:pStyle w:val="TextBody"/>
        <w:bidi w:val="0"/>
        <w:spacing w:before="0" w:after="180"/>
        <w:jc w:val="both"/>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46685"/>
                <wp:effectExtent l="0" t="0" r="0" b="0"/>
                <wp:wrapNone/>
                <wp:docPr id="417" name="Frame4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controlled foreign corporations, passive foreign investment companies and corporations that accumulate earnings to avoid U.S. federal income tax;</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person who holds Hexagon Shares, Octave Shares, or Octave SDRs as part of a hedge, straddle, constructive sale, wash sale, conversion or other integrated transaction;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former citizen or resident of the U.S. subject to U.S. tax as an expatriate.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 beneficial owner of Hexagon Shares that is, for U.S. federal income tax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citizen or resident of the United States;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corporation, or other entity taxable as a corporation for U.S. federal income tax purposes, created or organized under the laws of the United States, any state thereof or the District of Columbia;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or an estate that is subject to U.S. federal income tax on its income regardless of its source.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 partnership (or any other entity or arrangement treated as a partnership for U.S. federal income tax purposes) holds Hexagon Shares, the tax treatment of a partner in such partnership will generally depend upon the status of the partner and the activities of the partnership. Holders of Hexagon Shares that are partnerships and partners in such partnerships should consult their tax advisors as to the tax consequences of the Distribution to them.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THE FOLLOWING DISCUSSION SETS FORTH THE MATERIAL U.S. FEDERAL INCOME TAX CONSEQUENCES OF THE DISTRIBUTION UNDER CURRENT LAW. ALL HOLDERS SHOULD CONSULT THEIR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IN THIS INFORMATION STATEMENT.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Distribution is intended to qualify as a transaction that is generally tax-free for U.S. federal income tax purposes under Section 355 of the Code, and Hexagon intends to receive an opinion from its outside tax advisor in support of such treatment. The opinion will be based upon and rely on, among other things, various facts and assumptions, as well as certain representations, statements and undertakings of Hexagon and Octave (including those relating to the past and future conduct of Hexagon and Octave). If any of these facts, assumptions, representations, statements or undertakings is, or becomes, inaccurate or incomplete, or if any representations or covenants contained in any of the agreements and documents relating to the Distribution or in any documents relating to the opinion are inaccurate or not complied with by Hexagon, Octave or any of their respective subsidiaries, such opinion may be invalid and the conclusions reached therein could be jeopardized.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Notwithstanding receipt by Hexagon of the opinion of its outside tax advisor, such opinion will not be binding on the IRS or any court. The IRS could determine that the Distribution should be treated as a taxable transaction for U.S. federal income tax purposes if it determines that any of the facts, representations, assumptions, statements or undertakings upon which the opinion was based are inaccurate or have not been complied with, or that the Distribution should be taxable for other reasons, including as a result of certain events that may or may not be within the control of Hexagon or Octave. In the event the IRS were to prevail with such challenge, Hexagon’s existing shareholders that are subject to U.S. federal income tax could incur significant liabilities. Please refer to “—Material U.S. Federal Income Tax Consequences if the Distribution is Taxable” below.</w:t>
      </w:r>
    </w:p>
    <w:p>
      <w:pPr>
        <w:pStyle w:val="TextBody"/>
        <w:bidi w:val="0"/>
        <w:spacing w:before="0" w:after="180"/>
        <w:jc w:val="both"/>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46685"/>
                <wp:effectExtent l="0" t="0" r="0" b="0"/>
                <wp:wrapNone/>
                <wp:docPr id="418" name="Frame4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Material U.S. Federal Income Tax Consequences if the Distribution Qualifies as a Transaction that is Generally Tax-Free under Section 355 of the Code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the Distribution qualifies as a transaction that is generally tax-free for U.S. federal income tax purposes under Section 355 of the Code, the U.S. federal income tax consequences of the Distribution generally are as follows: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gain or loss will be recognized by (and no amount will be includible in the income of) U.S. Holders of Hexagon Shares upon the receipt of Octave Shares or Octave SDRs in the Distribution for U.S. federal income tax purposes, except with respect to any cash received in lieu of any fractional Octave Shares or Octave SDRs (as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Hexagon shareholder’s tax basis in Octave Shares or Octave SDRs received (including any fractional shares or SDRs deemed received, as described below) in the Distribution will be determined by allocating to those Octave Shares or Octave SDRs (as applicable), on the basis of the relative fair market values of Hexagon Shares and Octave Shares or Octave SDRs (as applicable) at the time of the Distribution, a portion of the Hexagon shareholder’s tax basis in its Hexagon Shares. A Hexagon shareholder’s tax basis in its Hexagon Shares will be decreased by the portion allocated to its Octave Shares and Octave SDRs received in the Distribution. Within a reasonable period of time after the Distribution, Hexagon will make available to its stockholders who receive Octave Shares or Octave SDRs pursuant to the Distribution with a worksheet for calculating their tax bases in their Octave Shares or Octave SDRs (as applicable) and their Hexagon Shares;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holding period of Octave Shares and Octave SDRs received by each U.S. Holder of Hexagon Shares in the Distribution (including any fractional Octave Shares or Octave SDRs deemed received, as described below) will generally include the holding period at the time of the distribution of the Hexagon Shares with respect to which the Octave Shares or Octave SDRs are received in the completion of the Distribution.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U.S. Holder who receives cash in lieu of fractional Octave Share or Octave SDR in the Distribution will be treated as first receiving such fractional share or SDR and then receiving cash in exchange for such fractional share or SDR. A U.S. Holder generally should recognize capital gain or loss on such deemed exchange in an amount equal to the difference between the amount of cash received and the portion of the U.S. Holder’s aggregate adjusted tax basis in the shares of Hexagon Shares surrendered that is allocated to such fractional share or SDR (as described above). Such capital gain or loss generally will be treated as long-term capital gain or loss if the Hexagon Shares were held by the U.S. Holder for more than one year at the time of the Distribution.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a U.S. Holder of Hexagon Shares holds different blocks of Hexagon Shares (generally Hexagon Shares purchased or acquired on different dates or at different prices), such U.S. Holder should consult its tax advisor regarding the determination of the basis and holding period of Octave Shares or Octave SDRs received in the Distribution in respect of particular blocks of Hexagon Shares.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Material U.S. Federal Income Tax Consequences if the Distribution is Taxable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discussed above, notwithstanding receipt by Hexagon of the opinion of its outside tax advisor, the IRS could assert that the Distribution does not qualify for tax-free treatment. If the IRS were successful in taking this position, some or all of the consequences described above would not apply, and Hexagon and Octave shareholders could be subject to significant U.S. federal income tax liability. In addition, certain events that may or may not be within the control of Hexagon or Octave could cause the Distribution and/or certain related transactions not to qualify for tax-free treatment for U.S. federal income tax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the Distribution were to fail to qualify as tax-free for U.S. federal income tax purposes, U.S. Holders would be subject to tax as if they had received a taxable distribution equal to the fair market value of the Octave Shares or Octave SDRs received by them in the Distribution, which generally would be treated as a dividend for such purposes to the extent of such U.S. Holder’s pro rata share of Hexagon’s current and accumulated earnings and profits (including any earnings and profits resulting from any taxable gain on the Distribution), as determined for U.S. federal income tax purposes. </w:t>
      </w:r>
    </w:p>
    <w:p>
      <w:pPr>
        <w:pStyle w:val="TextBody"/>
        <w:bidi w:val="0"/>
        <w:spacing w:before="0" w:after="180"/>
        <w:jc w:val="both"/>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46685"/>
                <wp:effectExtent l="0" t="0" r="0" b="0"/>
                <wp:wrapNone/>
                <wp:docPr id="419" name="Frame4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Backup Withholding and Information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Payments of cash to U.S. Holders of Hexagon Shares in lieu of fractional Octave Shares or Octave SDRs may be subject to information reporting and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Any amounts withheld under the backup withholding rules may be refunded or credited against a U.S. Holder’s U.S. federal income tax liability provided that the required information is timely furnished to the IRS.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FOREGOING IS INTENDED ONLY AS A SUMMARY OF MATERIAL U.S. FEDERAL INCOME TAX CONSEQUENCES OF THE DISTRIBUTION UNDER CURRENT LAW. IT IS NOT A COMPLETE ANALYSIS OR DISCUSSION OF ALL POTENTIAL TAX CONSEQUENCES THAT MAY BE IMPORTANT TO PARTICULAR HOLDERS. ALL HOLDERS OF HEXAGON SHARES SHOULD CONSULT THEIR TAX ADVISORS AS TO THE PARTICULAR TAX CONSEQUENCES TO THEM OF THE TRANSACTIONS, INCLUDING THE APPLICATION AND EFFECT OF U.S. FEDERAL, STATE, LOCAL, NON-U.S. AND OTHER TAX LAWS.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Material U.S. Tax Consequences of Owning Octave Shares Following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U.S. federal income tax purposes, a holder of Octave SDRs will generally be treated as the beneficial owner of the underlying Octave Shares represented by those Octave SDRs. References in the following discussion to “Octave Shares” will include the underlying Octave Shares and Octave SDRs, unless the context otherwise requires.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U.S. 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tax consequences of owning Octave Shares will depend in part on whether or not we are classified as a passive foreign investment company, or PFIC, for U.S. federal income tax purposes. Except as discussed below under “—PFIC Considerations”, this discussion assumes that we are not classified as a PFIC for U.S. federal income tax purposes.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Taxation of Dividends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U.S. federal income tax laws, and subject to the discussion of PFIC taxation below, a U.S. Holder must include in its gross income the gross amount of any dividend paid by Octave to the extent of its current or accumulated earnings and profits (as determined for U.S. federal income tax purposes). Dividends will be taxed as ordinary income to the extent that they are paid out of Octave’s current or accumulated earnings and profits. Dividends paid to a non-corporate U.S. Holder by certain “qualified foreign corporations” that constitute qualified dividend income are taxable to the holder at the preferential rates applicable to long-term capital gains provided that the holder holds the shares for more than 60 days during the 121-day period beginning 60 days before the ex- dividend date and meets other holding period requirements. For this purpose, Octave Shares are treated as stock of a “qualified foreign corporation” if Octave is eligible for the benefits of an applicable comprehensive income tax treaty with the U.S. or if such stock is readily tradable on an established securities market in the United States. The Octave Shares are expected to be readily tradable on the Nasdaq New York and Octave is expected to be eligible for the benefits of such a treaty. Accordingly, subject to the discussion of PFIC taxation below, dividends that Octave pays with respect to the Octave Shares are expected to constitute qualified dividend income, assuming the holding period requirements are met. However, no assurance can be given that the Octave Shares will be treated as readily tradable on an established securities market in the United States or that Octave or will qualify for the benefits of a comprehensive income tax treaty with the United States.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U.S. Holder must include any foreign tax withheld from the dividend payment in this gross amount even though the holder does not in fact receive the amount withheld. The dividend is taxable to a U.S. Holder when the U.S. Holder receives the dividend, actually or constructively.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dividend will not be eligible for the dividends-received deduction allowed to U.S. corporations in respect of dividends received from other U.S. corporations. </w:t>
      </w:r>
    </w:p>
    <w:p>
      <w:pPr>
        <w:pStyle w:val="TextBody"/>
        <w:bidi w:val="0"/>
        <w:spacing w:before="0" w:after="180"/>
        <w:jc w:val="both"/>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46685"/>
                <wp:effectExtent l="0" t="0" r="0" b="0"/>
                <wp:wrapNone/>
                <wp:docPr id="420" name="Frame4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in excess of current and accumulated earnings and profits, as determined for U.S. federal income tax purposes, will be treated as a non-taxable return of capital to the extent of the U.S. Holder’s basis in Octave Shares, causing a reduction in the U.S. Holder’s adjusted basis in Octave Shares, and thereafter as capital gain.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limitations, any non-U.S. tax withheld and paid over to a non-U.S. taxing authority is eligible for credit against a U.S. Holder’s U.S. federal income tax liability except to the extent a refund of the tax withheld is available to the U.S. Holder under non-U.S. tax law or under an applicable tax treaty. The amount allowed to a U.S. Holder as a credit is limited to the amount of the U.S. Holder’s U.S. federal income tax liability that is attributable to income from sources outside the United States and is computed separately with respect to different types of income that the U.S. Holder receives from non-U.S. sources. Subject to the discussion below regarding Section 904(h) of the Code, dividends paid by Octave will be foreign source income and will, depending on the circumstances of the U.S. Holder, be either “passive” or “general” income for purposes of computing the foreign tax credit allowable to a U.S. Holder.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Section 904(h) of the Code, dividends paid by a foreign corporation that is treated as 50% or more owned, by vote or value, by U.S. persons may be treated as U.S. source income (rather than foreign source income) for foreign tax credit purposes, to the extent the foreign corporation earns U.S. source income, unless such corporation has less than 10% of applicable earnings and profits attributable to sources within the United States. In certain circumstances, U.S. Holders may be able to choose the benefits of Section 904(h)(10) of the Code and elect to treat dividends that would otherwise be U.S. source dividends as foreign source dividends, but in such a case the foreign tax credit limitations would be separately determined with respect to such “resourced” income. In general, therefore, the application of Section 904(h) of the Code may adversely affect a U.S. Holder’s ability to use foreign tax credits. Hexagon and Octave do not believe that, immediately after the Distribution, Octave will be 50% or more owned by U.S. persons. However, this conclusion is a factual determinations and is subject to change; no assurance can therefore be given that Octave would not be treated as 50% or more owned by U.S. persons for purposes of Section 904(h) of the Code.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U.S. Holders are strongly urged to consult their own tax advisors regarding the possible impact if Section 904(h) of the Code should apply.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Taxation of Capital Gains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discussion of PFIC taxation below, a U.S. Holder that sells or otherwise disposes of its Octave Shares will recognize capital gain or loss for U.S. federal income tax purposes equal to the difference between the U.S. dollar value of the amount that the U.S. Holder realizes and the U.S. Holder’s tax basis in those shares. Capital gain of a noncorporate U.S. Holder is generally taxed at preferential rates where the property is held for more than one year. The gain or loss will be U.S. source income or loss for foreign tax credit limitation purposes. The deduction of capital losses is subject to limitations.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PFIC Considerations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Hexagon and Octave believe that the Octave Shares will not be stock of a PFIC for U.S. federal income tax purposes, but this conclusion is based on a factual determination made annually and thus is subject to change.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would be a PFIC with respect to a U.S. Holder if for any taxable year in which the U.S. Holder held Octave Shares, after the application of applicable “look-through rules”: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75% or more of Octave’s gross income for the taxable year consists of “passive income” (including dividends, interest, gains from the sale or exchange of investment property and rents and royalties other than rents and royalties that are received from unrelated parties in connection with the active conduct of a trade or business, as defined in applicable Treasury Regulations);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at least 50% of Octave’s assets for the taxable year (averaged over the year and determined based upon value) produce or are held for the production of passive income. </w:t>
      </w:r>
    </w:p>
    <w:p>
      <w:pPr>
        <w:pStyle w:val="TextBody"/>
        <w:bidi w:val="0"/>
        <w:spacing w:before="0" w:after="180"/>
        <w:jc w:val="both"/>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46685"/>
                <wp:effectExtent l="0" t="0" r="0" b="0"/>
                <wp:wrapNone/>
                <wp:docPr id="421" name="Frame4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Octave were to be treated as a PFIC for any taxable year included in whole or in part in a U.S. Holder’s holding period of Octave and such U.S. Holder is treated as owning Octave Shares for purposes of the PFIC rules (and regardless of whether Octave remains a PFIC for subsequent taxable years), the U.S. Holder (i) would be liable to pay U.S. federal income tax at the highest applicable income tax rates on (a) ordinary income upon the receipt of excess distributions (the portion of any distributions received by the U.S. Holder on Octave Shares in a taxable year in excess of 125% of the average annual distributions received by the U.S. Holder in the three preceding taxable years or, if shorter, the U.S. Holder’s holding period for the Octave Shares) and (b) on any gain from the disposition of Octave Shares, plus interest on such amounts, as if such excess distributions or gain had been recognized ratably over the U.S. Holder’s holding period of the Octave Shares, and (ii) may be required to annually file Form 8621 with the IRS reporting information concerning Octave.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U.S. Holders are strongly urged to consult their tax advisors regarding the PFIC rules, and the potential tax consequences to them if Octave were determined to be a PFIC.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Information with Respect to Foreign Financial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Owners of “specified foreign financial assets” with an aggregate value in excess of $50,000, (and in some cases, a higher threshold) may be required to file an information report with respect to such assets with their tax returns. “Specified foreign financial assets” include any financial accounts maintained by foreign financial institutions, as well as any of the following, but only if they are held for investment and not held in accounts maintained by financial institutions: (i) stocks and securities issued by non-U.S. persons, (ii) financial instruments and contracts that have non-U.S. issuers or counterparties and (iii) interests in foreign entities. U.S. Holders are urged to consult their tax advisors regarding the application of this legislation to their ownership of Octave Shares.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Backup Withholding and Information Reporting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reporting requirements for a noncorporate U.S. Holder, on IRS Form 1099, will apply to: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dividend payments or other taxable distributions made to such U.S. Holder within the United States,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payment of proceeds to such U.S. Holder from the sale of Octave Shares effected at a U.S. office of a broker.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backup withholding (currently at a 24% rate) may apply to such payments to a noncorporate U.S. Holder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fails to provide an accurate taxpayer identification number,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is notified by the IRS that such U.S. Holder has failed to report all interest and dividends required to be shown on such U.S. Holder’s federal income tax returns,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 certain circumstances, fails to comply with applicable certification requirements.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person may obtain a refund of any amounts withheld under the backup withholding rules that exceed the person’s income tax liability by properly filing a refund claim with the IRS.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Non-U.S. 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discussion, a “non-U.S. Holder” is a beneficial owner of Octave Shares that is not a U.S. person for U.S. federal income tax purposes.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Taxation of Dividends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Dividends paid to a non-U.S. Holder in respect of Octave Shares will not be subject to U.S. federal income tax unless the dividends are “effectively connected” with the non-U.S. Holder’s conduct of a trade or business within the Untied States, and, if required by an applicable income tax treaty as a condition for subjecting the non-U.S. Holder to U.S. taxation on a net income basis, the dividends are attributable to a permanent establishment that the non-U.S. Holder maintains in the United States. In such cases a non-U.S. Holder will be taxed in the same manner as </w:t>
      </w:r>
    </w:p>
    <w:p>
      <w:pPr>
        <w:pStyle w:val="TextBody"/>
        <w:bidi w:val="0"/>
        <w:spacing w:before="0" w:after="180"/>
        <w:jc w:val="both"/>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46685"/>
                <wp:effectExtent l="0" t="0" r="0" b="0"/>
                <wp:wrapNone/>
                <wp:docPr id="422" name="Frame4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U.S. Holder. If a non-U.S. Holder is a corporate non-U.S. Holder, “effectively connected” dividends may, under certain circumstances, be subject to an additional “branch profits tax” at a 30% rate or at a lower rate if it is eligible for the benefits of an income tax treaty that provides for a lower rate.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Taxation of Capital Gains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will not be subject to U.S. federal income tax on gain recognized on the sale or other disposition of the non-U.S. Holder’s Octave Shares unless: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gain is “effectively connected” with the non-U.S. Holder’s conduct of a trade or business in the United States, and, if required by an applicable income tax treaty as a condition for subjecting the holder to U.S. taxation on a net income basis, the gain is attributable to a permanent establishment that the non-U.S. Holder maintains in the United States,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non-U.S. Holder is an individual, is present in the United States for 183 or more days in the taxable year of the sale and certain other conditions exist.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a non-U.S. Holder is a corporate non-U.S. Holder, “effectively connected” gains it recognizes may, under certain circumstances, be subject to an additional “branch profits tax” at a 30% rate or at a lower rate if it is eligible for the benefits of an income tax treaty that provides for a lower rate.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Backup Withholding and Information Reporting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is generally exempt from backup withholding and information reporting requirements with respect to dividend payments made to you outside the United States by us or another non-U.S. payor. You are also generally exempt from backup withholding and information reporting requirements in respect of dividend payments made within the United States and the payment of the proceeds from the sale of Octave Shares effected at a U.S. office of a broker, as long as either (i) you have furnished a valid IRS Form W-8 or other documentation upon which the payor or broker may rely to treat the payments as made to a non-U.S. person, or (ii) you otherwise establish an exemption.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Payment of the proceeds from the sale of Octave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You generally may obtain a refund of any amounts withheld under the backup withholding rules that exceed your income tax liability by filing a refund claim with the IRS.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U.S. FEDERAL INCOME TAX CONSIDERATIONS SUMMARIZED ABOVE ARE FOR GENERAL INFORMATION ONLY. EACH OCTAVE SHAREHOLDER SHOULD CONSULT HIS OR HER TAX ADVISOR AS TO THE PARTICULAR CONSEQUENCES THAT MAY APPLY TO SUCH SHAREHOLDER.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46685"/>
                <wp:effectExtent l="0" t="0" r="0" b="0"/>
                <wp:wrapNone/>
                <wp:docPr id="423" name="Frame4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180" w:after="180"/>
        <w:jc w:val="center"/>
        <w:rPr/>
      </w:pPr>
      <w:r>
        <w:rPr>
          <w:rFonts w:ascii="Times New Roman;serif" w:hAnsi="Times New Roman;serif"/>
          <w:b/>
          <w:color w:val="000000"/>
          <w:sz w:val="20"/>
        </w:rPr>
        <w:t>MATERIAL IRISH TAX CONSEQUENCES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high-level summary of the material Irish tax considerations applicable to the purchase, ownership and disposition of our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summary is based upon current Irish tax laws and the published practice of the Revenue Commissioners of Ireland (“Irish Revenue”) in effect on the date of this information statement, and correspondence with the Irish Revenue. Changes in law and/or administrative practice may result in a change in the Irish tax considerations described below, possibly with retrospective effect.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summary does not constitute legal or tax advice and is intended only as a general guide. The summary is not exhaustive, and shareholders should consult their tax advisors about the Irish tax consequences (and tax consequences under the laws of other relevant jurisdictions) of the acquisition, ownership and disposal of our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summary applies only to certain categories of person and, in particular, may not apply to such persons as dealers in securities, trustees, insurance companies, collective investment schemes, persons who acquired their shares, or who are deemed to have acquired their shares, by virtue of an office or employment (performed or carried on to any extent in Ireland).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current Irish legislation, a company is regarded as resident for tax purposes in Ireland if it is incorporated in Ireland.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a determination issued by the competent authority in Ireland, the Irish Revenue Commissioners, and the competent authority in the United Kingdom, HM Revenue &amp; Customs, we were previously resident for tax purposes only in the United Kingdom. Following an application to HM Revenue &amp; Customs, we received consent to cease to be tax resident in the United Kingdom and have since emigrated to Ireland. We are currently in the process of obtaining final confirmation from the Irish and UK competent authorities that the previous determination has been withdrawn and is no longer in force. Whilst we are currently resident for tax purposes only in Ireland, other jurisdictions may seek to assert taxing jurisdiction over us.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SHAREHOLDERS WHO ARE IN ANY DOUBT ABOUT THEIR TAX POSITION AND / OR MAY BE SUBJECT TO TAXATION IN ANY JURISDICTION OTHER THAN IRELAND ARE STRONGLY RECOMMENDED TO CONSULT AN APPROPRIATELY QUALIFIED INDEPENDENT PROFESSIONAL ADVISER.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Capital Gains Tax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rate of tax on chargeable gains (where applicable) in Ireland is 33%.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Shareholders that are not resident or ordinarily resident in Ireland for Irish tax purposes and do not hold their shares in connection with a trade or business carried on by such shareholders through an Irish branch or agency will not be within the charge to Irish tax on chargeable gains on the receipt or any subsequent disposal of shares in the Company.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Stamp duty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rate of stamp duty (where applicable) on transfers of shares of Irish incorporated companies (including Octave Class A Ordinary Shares and Octave Class B Ordinary Shares) is generally the greater of 1% of the price paid or the market value of the shares acquired.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Where Irish stamp duty arises, it is generally a liability of the transferee. However, in the case of a gift or transfer at less than fair market value, all parties to the transfer are jointly and severally liable.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intends to enter into arrangements with DTC to allow Octave Class B Ordinary Shares to be settled through the facilities of DTC. The discussion below discusses separately the security holders who hold their Octave Shares through DTC and those who do not.</w:t>
      </w:r>
    </w:p>
    <w:p>
      <w:pPr>
        <w:pStyle w:val="TextBody"/>
        <w:bidi w:val="0"/>
        <w:spacing w:before="0" w:after="180"/>
        <w:jc w:val="both"/>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46685"/>
                <wp:effectExtent l="0" t="0" r="0" b="0"/>
                <wp:wrapNone/>
                <wp:docPr id="424" name="Frame4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Shares Held Through DTC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transfer of shares effected by means of the debit and credit of book-entry interests representing the shares through DTC is not generally subject to Irish stamp duty.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Shares Held Outside of DTC or Transferred Into or Out of DTC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transfer of Octave Shares where any party to the transfer holds such shares outside of DTC may be subject to Irish stamp duty. In such circumstances, while the payment of Irish stamp duty is primarily a legal obligation of the transferee, when shares are purchased on Nasdaq New York, the purchaser will require the stamp duty to be borne by the transferor.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Octave Shares wishing to transfer their Octave Shares into (or out of) DTC may do so without giving rise to Irish stamp duty, provided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there is no change in the beneficial ownership of such shares as a result of the transfer;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transfer into (or out of) DTC is not effected in contemplation of a sale of such shares by a beneficial owner to a third party.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potential Irish stamp duty charge on transfers of Octave Shares held outside of DTC, it is strongly recommended that shareholders hold Octave Shares through DTC.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a shareholder transfers Octave Shares outside of DTC, this will generally be subject to Irish stamp duty at a rate of 1% of market value or consideration paid, whichever is greater, and the transfer will not be registered until duly stamped.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transfer of Octave SDRs may be subject to the 1% Irish stamp duty. However, Irish Revenue in the past have not sought to collect stamp duty on electronic transfers of similar securities through an electronic system such as the Nasdaq Stockholm system.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Withholding Tax on Dividends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Dividend Withholding Tax (“DWT”) at the standard rate of income tax (currently 25%) must be deducted from dividends paid by a company that is tax resident in Ireland unless the holders of the shares are entitled to an exemption and have submitted a properly completed declaration providing for exemption to the Company.</w:t>
      </w:r>
    </w:p>
    <w:p>
      <w:pPr>
        <w:pStyle w:val="TextBody"/>
        <w:bidi w:val="0"/>
        <w:spacing w:lineRule="auto" w:line="288" w:before="0" w:after="180"/>
        <w:jc w:val="both"/>
        <w:rPr/>
      </w:pPr>
      <w:r>
        <w:rPr>
          <w:rFonts w:ascii="Times New Roman;serif" w:hAnsi="Times New Roman;serif"/>
          <w:b w:val="false"/>
          <w:i/>
          <w:color w:val="000000"/>
          <w:sz w:val="20"/>
        </w:rPr>
        <w:t xml:space="preserve">General Exemptions. </w:t>
      </w:r>
      <w:r>
        <w:rPr>
          <w:rFonts w:ascii="Times New Roman;serif" w:hAnsi="Times New Roman;serif"/>
          <w:b w:val="false"/>
          <w:color w:val="000000"/>
          <w:sz w:val="20"/>
        </w:rPr>
        <w:t xml:space="preserve">Certain classes of non-Irish tax resident holders of our shares may also be entitled to claim exemption from DWT where they have submitted a properly completed declaration providing for exemption. Such holders would include: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individual shareholder (not being a company) who is neither resident nor ordinarily resident in Ireland and who is resident for tax purposes in a Relevant Territory (In this context, Relevant Territory means (i) a Member State of the European Union (other than Ireland) or (ii) a country with which Ireland has a tax treaty in force by virtue of section 826(1) of the Taxes Consolidation Act (“TCA”) or (iii) a country with which Ireland has a tax treaty that is signed and which will come into force once all the ratification procedures set out in section 826(1) TCA have been completed);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corporate shareholder which is not resident for tax purposes in Ireland and which is resident for tax purposes in a Relevant Territory provided that the body corporate is not under the control, whether directly or indirectly, of a person or persons who is or are resident in Ireland;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corporate shareholder which is not resident for tax purposes in Ireland and which is ultimately controlled, directly or indirectly, by persons resident in a Relevant Territory;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corporate shareholder which is not resident for tax purposes in Ireland and whose principal class of Offer Shares (or those of its 75% parent) is substantially and regularly traded on a recognised stock exchange </w:t>
      </w:r>
    </w:p>
    <w:p>
      <w:pPr>
        <w:pStyle w:val="TextBody"/>
        <w:bidi w:val="0"/>
        <w:spacing w:before="0" w:after="180"/>
        <w:jc w:val="both"/>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46685"/>
                <wp:effectExtent l="0" t="0" r="0" b="0"/>
                <wp:wrapNone/>
                <wp:docPr id="425" name="Frame4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either in a Relevant Territory, Ireland or on such other stock exchange approved by the Minister for Finance;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corporate shareholder which is not resident for tax purposes in Ireland and is wholly-owned, directly or indirectly, by two or more companies where the principal class of shares of each of such companies is substantially and regularly traded on a recognised stock exchange in a Relevant Territory, Ireland or on such other stock exchange approved by the Minister for Finance;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and provided, in all cases noted above, the shareholder has furnished the relevant Irish Revenue Commissioners’ DWT forms (the “DWT Forms”)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its broker (and the relevant information is further transmitted to us or any qualifying intermediary appointed by us) before the record date for the dividend if its shares are held through DTC;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transfer agent at least seven business days before such record date if its shares are held outside of DTC.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Links to the various DWT Forms are available at: https://www.revenue.ie/en/companies-and-charities/dividend-withholding-tax/exemptions-for-non-residents.aspx. The information on, or accessible through, any such website is not part of this information statement and is not incorporated by reference herein.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shareholders that cannot avail themselves of one of Ireland’s domestic law exemptions from DWT, it may be possible for such shareholders to rely on the provisions of a double tax treaty to which Ireland is party to reduce the rate of DWT.</w:t>
      </w:r>
    </w:p>
    <w:p>
      <w:pPr>
        <w:pStyle w:val="TextBody"/>
        <w:bidi w:val="0"/>
        <w:spacing w:lineRule="auto" w:line="288" w:before="0" w:after="180"/>
        <w:jc w:val="both"/>
        <w:rPr/>
      </w:pPr>
      <w:r>
        <w:rPr>
          <w:rFonts w:ascii="Times New Roman;serif" w:hAnsi="Times New Roman;serif"/>
          <w:b w:val="false"/>
          <w:i/>
          <w:color w:val="000000"/>
          <w:sz w:val="20"/>
        </w:rPr>
        <w:t>Shares Held by U.S. Resident Shareholders.</w:t>
      </w:r>
      <w:r>
        <w:rPr>
          <w:color w:val="000000"/>
        </w:rPr>
        <w:t xml:space="preserve"> </w:t>
      </w:r>
      <w:r>
        <w:rPr>
          <w:rFonts w:ascii="Times New Roman;serif" w:hAnsi="Times New Roman;serif"/>
          <w:b w:val="false"/>
          <w:color w:val="000000"/>
          <w:sz w:val="20"/>
        </w:rPr>
        <w:t>Dividends paid in respect of our ordinary shares that are owned by U.S. residents and held through DTC will not be subject to DWT provided the addresses of the beneficial owners of such shares in the records of the broker holding such shares are in the U.S. It is strongly recommended that such shareholders ensure that their information is properly recorded by their brokers (so that such brokers can further transmit the relevant information to a qualifying intermediary appointed by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Dividends paid in respect of our ordinary shares that are owned by residents of the U.S. and held outside of DTC will not be subject to DWT if such shareholders provide a completed W-9 form to Computershare, our transfer agent, to confirm their U.S. residence at least seven business days before the record date for the first dividend payment to which they are entitled. It is strongly recommended that such shareholders complete a W-9 form and provide it to our transfer agent as soon as possible after acquiring their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any shareholder that is resident in the U.S. receives a dividend from which DWT has been withheld, the shareholder may be entitled to apply for a refund of such DWT from the Irish Revenue Commissioners.</w:t>
      </w:r>
    </w:p>
    <w:p>
      <w:pPr>
        <w:pStyle w:val="TextBody"/>
        <w:bidi w:val="0"/>
        <w:spacing w:lineRule="auto" w:line="288" w:before="0" w:after="180"/>
        <w:jc w:val="both"/>
        <w:rPr/>
      </w:pPr>
      <w:r>
        <w:rPr>
          <w:rFonts w:ascii="Times New Roman;serif" w:hAnsi="Times New Roman;serif"/>
          <w:b w:val="false"/>
          <w:i/>
          <w:color w:val="000000"/>
          <w:sz w:val="20"/>
        </w:rPr>
        <w:t>Shares Held by Residents of “Relevant Territories” Other than the U.S</w:t>
      </w:r>
      <w:r>
        <w:rPr>
          <w:rFonts w:ascii="Times New Roman;serif" w:hAnsi="Times New Roman;serif"/>
          <w:b w:val="false"/>
          <w:color w:val="000000"/>
          <w:sz w:val="20"/>
        </w:rPr>
        <w:t>. Shareholders that are residents of “Relevant Territories,” other than the U.S. and regardless of when such shareholders acquired their shares, must satisfy the conditions of one of the exemptions referred to above under the heading “—General Exemptions,” including the requirement to furnish completed DWT Forms, in order to receive dividends without them being subject to DWT. If such shareholders hold their shares through DTC, they must provide the appropriate DWT Forms to their brokers (so that such brokers can further transmit the relevant information to a qualifying intermediary appointed by us) before the record date for the first dividend to which they are entitled. If such shareholders hold their shares outside of DTC, they must provide the appropriate DWT Forms to our transfer agent at least seven business days before such record date. It is strongly recommended that such shareholders complete the appropriate DWT Forms and provide them to their brokers or our transfer agent, Computershare, as the case may be, as soon as possible.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any shareholder who is resident in a “Relevant Territory” receives a dividend from which DWT has been withheld, the shareholder may be entitled to a refund of DWT from the Irish Revenue Commissioners.</w:t>
      </w:r>
    </w:p>
    <w:p>
      <w:pPr>
        <w:pStyle w:val="TextBody"/>
        <w:bidi w:val="0"/>
        <w:spacing w:lineRule="auto" w:line="288" w:before="0" w:after="180"/>
        <w:jc w:val="both"/>
        <w:rPr/>
      </w:pPr>
      <w:r>
        <w:rPr>
          <w:rFonts w:ascii="Times New Roman;serif" w:hAnsi="Times New Roman;serif"/>
          <w:b w:val="false"/>
          <w:i/>
          <w:color w:val="000000"/>
          <w:sz w:val="20"/>
        </w:rPr>
        <w:t>Shares Held by Residents of Ireland</w:t>
      </w:r>
      <w:r>
        <w:rPr>
          <w:rFonts w:ascii="Times New Roman;serif" w:hAnsi="Times New Roman;serif"/>
          <w:b w:val="false"/>
          <w:color w:val="000000"/>
          <w:sz w:val="20"/>
        </w:rPr>
        <w:t xml:space="preserve">. Most Irish tax resident or ordinarily resident shareholders will be subject to DWT in respect of dividends paid on our ordinary shares. </w:t>
      </w:r>
    </w:p>
    <w:p>
      <w:pPr>
        <w:pStyle w:val="TextBody"/>
        <w:bidi w:val="0"/>
        <w:spacing w:before="0" w:after="180"/>
        <w:jc w:val="both"/>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46685"/>
                <wp:effectExtent l="0" t="0" r="0" b="0"/>
                <wp:wrapNone/>
                <wp:docPr id="426" name="Frame4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Shareholders that are residents of Ireland, but are entitled to receive dividends without DWT, must complete the appropriate DWT Forms and provide them to their brokers (so that such brokers can further transmit the relevant information to a qualifying intermediary appointed by us) before the record date for the first dividend to which they are entitled (in the case of shares held through DTC), or to our transfer agent Computershare at least seven business days before such record date (in the case of shares held outside of DTC).</w:t>
      </w:r>
    </w:p>
    <w:p>
      <w:pPr>
        <w:pStyle w:val="TextBody"/>
        <w:bidi w:val="0"/>
        <w:spacing w:lineRule="auto" w:line="288" w:before="0" w:after="180"/>
        <w:jc w:val="both"/>
        <w:rPr/>
      </w:pPr>
      <w:r>
        <w:rPr>
          <w:rFonts w:ascii="Times New Roman;serif" w:hAnsi="Times New Roman;serif"/>
          <w:b w:val="false"/>
          <w:i/>
          <w:color w:val="000000"/>
          <w:sz w:val="20"/>
        </w:rPr>
        <w:t xml:space="preserve">Qualifying Intermediary. </w:t>
      </w:r>
      <w:r>
        <w:rPr>
          <w:rFonts w:ascii="Times New Roman;serif" w:hAnsi="Times New Roman;serif"/>
          <w:b w:val="false"/>
          <w:color w:val="000000"/>
          <w:sz w:val="20"/>
        </w:rPr>
        <w:t>Prior to paying any dividend, we will put in place an agreement with an entity that is recognized by the Irish Revenue Commissioners as a “qualifying intermediary,” which will provide for certain arrangements relating to distributions in respect of our ordinary shares that are held through DTC (the “Deposited Securities”). The agreement will provide that the qualifying intermediary shall distribute or otherwise make available to Cede &amp; Co., as nominee for DTC, any cash dividend or other cash distribution with respect to the Deposited Securities after we deliver or cause to be delivered to the qualifying intermediary the cash to be distributed.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rely on information received directly or indirectly from our qualifying intermediary, brokers and our transfer agent in determining where shareholders reside, whether they have provided the required U.S. tax information and whether they have provided the required DWT Forms.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Shareholders that are required to file DWT Forms in order to receive dividends free of DWT should note that such forms are generally valid, subject to a change in circumstances, until December 31 of the fifth full year after the year of issue of the forms.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Acquisitions Tax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Irish capital acquisitions tax (“CAT”) is comprised principally of gift tax and inheritance tax.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CAT could apply to a gift or inheritance of our shares irrespective of the place of residence, ordinary residence or domicile of the parties. This is because our shares are regarded as property situated in Ireland as our share register is held in Ireland. The person who receives the gift or inheritance has primary liability for CAT.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CAT is levied at a rate of 33% above certain tax</w:t>
        <w:noBreakHyphen/>
        <w:t xml:space="preserve">free thresholds.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appropriate tax</w:t>
        <w:noBreakHyphen/>
        <w:t>free threshold is dependent upon (i) the relationship between the donor and the recipient; and (ii) the aggregation of the values of previous taxable gifts and inheritances received by the recipient from persons within the same category of relationship for CAT purposes. Gifts and inheritances passing between spouses of the same marriage or civil partners of the same civil partnership are exempt from CAT. Children have a tax-free threshold of €400,000 in respect of taxable gifts or inheritances received from their parents.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is also a “small gift exemption” from CAT whereby the first €3,000 of the taxable value of all taxable gifts taken by a donee from any one donor, in each calendar year, is exempt from CAT and is also excluded from any future aggregation. This small gift exemption does not apply to an inheritance.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Shareholders should consult their own tax advisors as to whether CAT is creditable or deductible in computing any domestic tax liabilities.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Irish tax considerations summarized above are for general information only. Holders of shares should consult with their tax advisors regarding the Irish tax consequences relating to the acquisition, ownership and disposal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46685"/>
                <wp:effectExtent l="0" t="0" r="0" b="0"/>
                <wp:wrapNone/>
                <wp:docPr id="427" name="Frame4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MATERIAL SWEDISH TAX CONSEQUENCES</w:t>
      </w:r>
    </w:p>
    <w:p>
      <w:pPr>
        <w:pStyle w:val="TextBody"/>
        <w:bidi w:val="0"/>
        <w:spacing w:lineRule="auto" w:line="288" w:before="0" w:after="180"/>
        <w:jc w:val="both"/>
        <w:rPr/>
      </w:pPr>
      <w:r>
        <w:rPr>
          <w:rFonts w:ascii="Times New Roman;serif" w:hAnsi="Times New Roman;serif"/>
          <w:b w:val="false"/>
          <w:color w:val="000000"/>
          <w:sz w:val="20"/>
        </w:rPr>
        <w:t xml:space="preserve">The following is a discussion of material Swedish income tax consequences of the distribution of Octave Class A Ordinary Shares, Octave Class B Ordinary Shares and Octave SDRs representing the Octave Class B Ordinary Shares to “Swedish Holders” (as defined below) of Hexagon Class A Shares or Hexagon Class B Shares. This summary is based on the Swedish Income Tax Act (Sw. </w:t>
      </w:r>
      <w:r>
        <w:rPr>
          <w:rFonts w:ascii="Times New Roman;serif" w:hAnsi="Times New Roman;serif"/>
          <w:b w:val="false"/>
          <w:i/>
          <w:color w:val="000000"/>
          <w:sz w:val="20"/>
        </w:rPr>
        <w:t>inkomstskattelagen</w:t>
      </w:r>
      <w:r>
        <w:rPr>
          <w:color w:val="000000"/>
        </w:rPr>
        <w:t xml:space="preserve"> </w:t>
      </w:r>
      <w:r>
        <w:rPr>
          <w:rFonts w:ascii="Times New Roman;serif" w:hAnsi="Times New Roman;serif"/>
          <w:b w:val="false"/>
          <w:color w:val="000000"/>
          <w:sz w:val="20"/>
        </w:rPr>
        <w:t xml:space="preserve">(1999:1229)), rulings and other administrative pronouncements issued by the Swedish Tax Agency (Sw. </w:t>
      </w:r>
      <w:r>
        <w:rPr>
          <w:rFonts w:ascii="Times New Roman;serif" w:hAnsi="Times New Roman;serif"/>
          <w:b w:val="false"/>
          <w:i/>
          <w:color w:val="000000"/>
          <w:sz w:val="20"/>
        </w:rPr>
        <w:t>Skatteverket</w:t>
      </w:r>
      <w:r>
        <w:rPr>
          <w:rFonts w:ascii="Times New Roman;serif" w:hAnsi="Times New Roman;serif"/>
          <w:b w:val="false"/>
          <w:color w:val="000000"/>
          <w:sz w:val="20"/>
        </w:rPr>
        <w:t xml:space="preserve">), and Swedish case law, all as in effect on the date of this information statement, and all of which are subject to differing interpretation and change at any time, possibly with retroactive effect. No assurance can be given that the Swedish Tax Agency would not assert, or that a court would not sustain, a position contrary to any of the tax consequences described below. This discussion applies to Swedish Holders of Hexagon Class A Shares or Hexagon Class B Shares, who hold such shares as capital assets within the meaning of the Swedish Income Tax Act. This discussion is based upon the assumption that the Distribution, together with certain related transactions, will be consummated in accordance with the Distribution Agreement and the other transaction agreements described in this information statement. </w:t>
      </w:r>
    </w:p>
    <w:p>
      <w:pPr>
        <w:pStyle w:val="TextBody"/>
        <w:bidi w:val="0"/>
        <w:spacing w:lineRule="auto" w:line="288" w:before="0" w:after="180"/>
        <w:jc w:val="both"/>
        <w:rPr/>
      </w:pPr>
      <w:r>
        <w:rPr>
          <w:rFonts w:ascii="Times New Roman;serif" w:hAnsi="Times New Roman;serif"/>
          <w:b w:val="false"/>
          <w:color w:val="000000"/>
          <w:sz w:val="20"/>
        </w:rPr>
        <w:t xml:space="preserve">This summary is for general information only and is not tax advice. It does not discuss all aspects of Swedish income taxation that may be relevant to particular holders in light of their particular circumstances or to holders subject to special rules under the Swedish Income Tax Act. Furthermore, this summary does not cover all potential tax consequences in relation to the Lex-ASEA distribution and the future tax treatment of Octave Class A Ordinary Shares, Octave Class B Ordinary Shares or Octave SDRs representing the Octave Class B Ordinary Shares. More specifically, it does not cover: shares or SDRs that are held by a partnership or that are held as current assets in a business; taxation of dividends and capital gains on shares or SDRs which are held by other investors than Swedish individuals or Swedish limited liability companies; tax impacts following the participation exemption regime (Sw. </w:t>
      </w:r>
      <w:r>
        <w:rPr>
          <w:rFonts w:ascii="Times New Roman;serif" w:hAnsi="Times New Roman;serif"/>
          <w:b w:val="false"/>
          <w:i/>
          <w:color w:val="000000"/>
          <w:sz w:val="20"/>
        </w:rPr>
        <w:t>näringsbetingade andelar</w:t>
      </w:r>
      <w:r>
        <w:rPr>
          <w:rFonts w:ascii="Times New Roman;serif" w:hAnsi="Times New Roman;serif"/>
          <w:b w:val="false"/>
          <w:color w:val="000000"/>
          <w:sz w:val="20"/>
        </w:rPr>
        <w:t xml:space="preserve">) including potential investor deductions; tax consequences on foreign companies taxable in Sweden due to a permanent establishment; or tax consequences on shares or SDRs that are held in an endowment insurance (Sw. </w:t>
      </w:r>
      <w:r>
        <w:rPr>
          <w:rFonts w:ascii="Times New Roman;serif" w:hAnsi="Times New Roman;serif"/>
          <w:b w:val="false"/>
          <w:i/>
          <w:color w:val="000000"/>
          <w:sz w:val="20"/>
        </w:rPr>
        <w:t>kapitalförsäkring</w:t>
      </w:r>
      <w:r>
        <w:rPr>
          <w:rFonts w:ascii="Times New Roman;serif" w:hAnsi="Times New Roman;serif"/>
          <w:b w:val="false"/>
          <w:color w:val="000000"/>
          <w:sz w:val="20"/>
        </w:rPr>
        <w:t xml:space="preserve">) or an investment savings account (Sw. </w:t>
      </w:r>
      <w:r>
        <w:rPr>
          <w:rFonts w:ascii="Times New Roman;serif" w:hAnsi="Times New Roman;serif"/>
          <w:b w:val="false"/>
          <w:i/>
          <w:color w:val="000000"/>
          <w:sz w:val="20"/>
        </w:rPr>
        <w:t>investeringssparkonto</w:t>
      </w:r>
      <w:r>
        <w:rPr>
          <w:rFonts w:ascii="Times New Roman;serif" w:hAnsi="Times New Roman;serif"/>
          <w:b w:val="false"/>
          <w:color w:val="000000"/>
          <w:sz w:val="20"/>
        </w:rPr>
        <w:t>) that are applicable for private individuals. This discussion does not address any tax considerations other than those pertaining to the Swedish income tax.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Distribution may be taxable under such other tax laws, and all holders should consult their own tax advisors with respect to the applicability and effect of any such tax laws.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“Swedish Holder” is any beneficial owner of Hexagon Class A Shares or Hexagon Class B Shares that is, for Swedish income tax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individual who is a resident of Sweden for tax purposes;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entity organized under the laws of Sweden.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Hexagon has received a written confirmation from the Swedish Tax Agency regarding the qualification of the Distribution, together with certain related transactions, as a transaction that is generally tax exempt for Swedish income tax purposes under the Lex-ASEA rule, as discussed below. Although a written confirmation from the Swedish Tax Agency is not legally binding, it is generally upheld by the Swedish Tax Agency provided that all the stated facts and circumstances apply at the time of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written confirmation will be based and will rely on, among other things, certain facts and assumptions, as well as certain representations, statements, and undertakings of Hexagon, Octave and other companies in the Hexagon group, where relevant (including those relating to the aforementioned companies’ past and future conduct). If any of these representations, statements, or undertakings are, or become, inaccurate or incomplete, or if Hexagon or Octave breach any of their respective covenants in any agreement entered into in connection with the Distribution, the Swedish Tax Agency could argue that the written confirmation is invalid, and the conclusions reached therein could be jeopardized.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Thus, the Swedish Tax Agency could assert that the distribution does not qualify as tax exempt under the Lex-ASEA rule. If the Swedish Tax Agency were successful in taking this position, Hexagon shareholders could be subject to significant Swedish income tax liability as discussed below.</w:t>
      </w:r>
    </w:p>
    <w:p>
      <w:pPr>
        <w:pStyle w:val="TextBody"/>
        <w:bidi w:val="0"/>
        <w:spacing w:before="0" w:after="180"/>
        <w:jc w:val="both"/>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46685"/>
                <wp:effectExtent l="0" t="0" r="0" b="0"/>
                <wp:wrapNone/>
                <wp:docPr id="428" name="Frame4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Material Swedish Income Tax Consequences to Swedish Holders if the Distribution Qualifies as a Transaction that is Tax Exempt Under the Lex-ASEA Rule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Hexagon currently believes that the distribution of shares and SDRs to Swedish Holders of Hexagon is tax exempt. This exemption is conditioned on the following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dividend distribution is made by a parent company which is a Swedish limited liability company or by a non-Swedish corporation, which is similar to a Swedish limited liability company, provided that the non-Swedish corporation is located within the European Economic Area (“EEA”) or in a state with which Sweden has entered into a tax treaty that includes an exchange of information clause;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dividend is made in proportion to the shares held in the parent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shares in the parent company are listed/publicly traded;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parent company distributes all its shares in the subsidiary;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other company belonging to the same group as the parent company may hold any shares in the distributed subsidiary after the distribution;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subsidiary’s business activities, directly or indirectly, primarily consist of a business (pure shareholding activities are not covered by this term), or direct and indirect holding of shares in companies which predominantly conduct business, and in which the subsidiary owns shares which on an aggregate represent more than 50% of the votes. The concept of “predominantly” is to be understood as “to at least 75%”;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subsidiary is a Swedish limited liability company or a foreign corporation. The latter means that it must be a foreign legal person and either be subject to taxation that is similar to the taxation of a Swedish limited liability company, or be tax resident and subject to income tax in a state with which Sweden has entered into a tax treaty that is not limited to certain income. The corporation must be covered by the treaty and be considered a resident of the other state;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provisions in Section 42, Paragraph 16 b of the Swedish Income Tax Act regarding exemption from immediate taxation upon partial demerger are not applicable.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the Distribution, together with certain related transactions, qualifies as a transaction that is generally tax exempt for Swedish income tax purposes the Swedish income tax consequences of the distribution generally are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gain or loss will be recognized by, and no amount will be includible in the income of Hexagon as a result of the Distribution, other than gain or income arising in connection with certain internal restructurings completed in connection with the Distribution;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gain or loss will be recognized by (and no amount will be included in the income of) Swedish holders of Hexagon Class A Shares or Hexagon Class B Shares upon the receipt of Octave Class A Ordinary Shares, Octave Class B Ordinary Shares or Octave SDRs representing the Octave Class B Ordinary Shares in the distribution, except with respect to any cash received in lieu of fractional shares of Octave Class A Ordinary Shares, Octave Class B Ordinary Shares or Octave SDRs representing the Octave Class B Ordinary Shares (as described below);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aggregate tax basis of the Hexagon Class A Shares and Hexagon Class B Shares and Octave Class A Ordinary Shares and Octave Class B Ordinary Shares and Octave SDRs representing the Octave Class B Ordinary Shares received in the distribution (including any fractional share interest in Octave Class A Ordinary Shares or Octave Class B Ordinary Shares or Octave SDRs representing the Octave Class B Ordinary Shares for which cash is received) in the hands of each Swedish holder of Hexagon Class A Shares or Hexagon Class B Shares immediately after the Distribution will equal the aggregate basis of Hexagon Class A Shares or Hexagon Class B Shares held by the Swedish holder immediately before the distribution, allocated between the Hexagon Class A Shares or Hexagon Class B Shares and the Octave </w:t>
      </w:r>
    </w:p>
    <w:p>
      <w:pPr>
        <w:pStyle w:val="TextBody"/>
        <w:bidi w:val="0"/>
        <w:spacing w:before="0" w:after="180"/>
        <w:jc w:val="both"/>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46685"/>
                <wp:effectExtent l="0" t="0" r="0" b="0"/>
                <wp:wrapNone/>
                <wp:docPr id="429" name="Frame4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Class A Ordinary Shares or the Octave Class B Ordinary Shares or Octave SDRs representing the Octave Class B Ordinary Shares (including any fractional share interest in such Octave Class A Ordinary Shares or Octave Class B Ordinary Shares or Octave SDRs representing the Octave Class B Ordinary Shares for which cash is received) in proportion to the relative fair market value of each on the Distribution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intends to apply for general advice from the Swedish Tax Agency concerning how the acquisition cost for the distributed Octave Class A Ordinary Shares, Octave Class B Ordinary Shares and Octave SDRs representing the Octave Class B Ordinary Shares should be calculated.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Compensation Received in Lieu of Fractional Shares or SDRs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 Swedish holder of Hexagon Class A Shares or Hexagon Class B Shares is entitled to receive a fraction of an Octave Class A Ordinary Share or Octave Class B Ordinary Share, Computershare, in its capacity as transfer and distribution agent, will aggregate such fractional shares into whole shares and then sell the whole shares on Nasdaq New York. SEB, in its capacity as Octave SDR depositary, will aggregate fractional Octave SDRs into whole Octave SDRs and sell the whole Octave SDRs on Nasdaq Stockholm. In each case, the whole Octave Shares and Octave SDRs will be sold at prevailing rates and Computershare and SEB, as applicable, will distribute the net cash proceeds pro rata to each holder who would otherwise have been entitled to fractional shares or SDRs in the Distribution. Cash compensation received in lieu of fractional Octave Class B Ordinary Shares or Octave SDRs is taxable as capital income for individuals and as income from business operations for limited liability companies.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Material Swedish Income Tax Consequences to Swedish Holders if the Distribution is Taxable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discussed above, the Swedish Tax Agency could assert that the Distribution does not qualify for tax-free treatment for Swedish income tax purposes. If the Swedish Tax Agency were successful in taking this position, the consequences described above with respect to Swedish Holders would not apply, and Swedish Holders could be subject to significant Swedish income tax liability as discussed below. If the distribution of shares and Octave SDRs fails to meet the above conditions, shareholders receiving the dividend should be subject to taxation.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Distribution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Individuals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above, the Distribution is expected to be classified as a tax neutral Lex-ASEA distribution. If the Distribution, however, is taxable, individuals would be subject to tax on the receipt of capital income, which generally includes dividends and capital gains, at a 30% tax rate.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Limited Liability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above, the Distribution is expected to be classified as a tax neutral Lex-ASEA distribution. If the Distribution, however, is taxable, all income, including taxable capital gains and dividends, would generally be taxed as income from business operations at the corporate income tax rate in effect at the time of the Distribution. In May 2025, the Swedish Government announced a proposal to reduce the corporate income tax rate from 20.6% to 20.0%, effective from January 1,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Preliminary Tax Withholding Applicable to Swedish Individuals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is, as a general rule, an obligation to withhold preliminary taxes on dividend distributions that are subject to tax under Swedish domestic law. A payment on a share or an SDR is considered a dividend distribution. The obligation to withhold preliminary taxes on a distribution is imposed on the entity that is making the payment.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Taxes shall be withheld on distributions to individuals. However, the rules do not apply to distributions to legal persons such as corporations and partnerships, or where the receiver of the funds is a limited taxable person (non-resident) in Sweden, the income is exempt from tax according to a double tax treaty, or the distributing entity is a foreign company with a bank business or securities business without a permanent establishment in Sweden.</w:t>
      </w:r>
    </w:p>
    <w:p>
      <w:pPr>
        <w:pStyle w:val="TextBody"/>
        <w:bidi w:val="0"/>
        <w:spacing w:before="0" w:after="180"/>
        <w:jc w:val="both"/>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46685"/>
                <wp:effectExtent l="0" t="0" r="0" b="0"/>
                <wp:wrapNone/>
                <wp:docPr id="430" name="Frame4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general rule is to withhold preliminary taxes on distributed funds at 30%. However, withholding preliminary taxes on foreign securities, including SDRs, shall be made at an amount that combined with any foreign taxes equals 30%.</w:t>
      </w:r>
    </w:p>
    <w:p>
      <w:pPr>
        <w:pStyle w:val="TextBody"/>
        <w:bidi w:val="0"/>
        <w:spacing w:lineRule="auto" w:line="288" w:before="0" w:after="180"/>
        <w:jc w:val="both"/>
        <w:rPr/>
      </w:pPr>
      <w:r>
        <w:rPr>
          <w:rFonts w:ascii="Times New Roman;serif" w:hAnsi="Times New Roman;serif"/>
          <w:b w:val="false"/>
          <w:color w:val="000000"/>
          <w:sz w:val="20"/>
        </w:rPr>
        <w:t xml:space="preserve">The entity obliged to withhold preliminary taxes on a distribution is also required to submit statements of income and expenses (Sw. </w:t>
      </w:r>
      <w:r>
        <w:rPr>
          <w:rFonts w:ascii="Times New Roman;serif" w:hAnsi="Times New Roman;serif"/>
          <w:b w:val="false"/>
          <w:i/>
          <w:color w:val="000000"/>
          <w:sz w:val="20"/>
        </w:rPr>
        <w:t>kontrolluppgifter</w:t>
      </w:r>
      <w:r>
        <w:rPr>
          <w:rFonts w:ascii="Times New Roman;serif" w:hAnsi="Times New Roman;serif"/>
          <w:b w:val="false"/>
          <w:color w:val="000000"/>
          <w:sz w:val="20"/>
        </w:rPr>
        <w:t>) concerning the recipient of the payment to the Swedish Tax Agency.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Tax Consequences Following the Distribution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Individuals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Taxation of Dividends on received Octave Class B Ordinary Shares or Octave SDRs representing the Octave Class B Ordinary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Dividends to individuals on publicly-listed shares or SDRs, which the Octave Class B Ordinary Shares and Octave SDRs representing the Octave Class B Ordinary Shares will be, are taxed as capital income at a 30% tax rate.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Taxation of Capital Gains and Capital Losses upon Divestment by Swedish holders of Octave Class B Ordinary Shares or Octave SDRs representing the Octave Class B Ordinary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Divestments of publicly-listed shares, including SDRs, may trigger a capital gain or a capital loss. Capital gains are subject to Swedish income tax at a 30% tax rate. The capital gain or capital loss is calculated as the difference between the remuneration, after deduction of expenses relating to the divestment, and the acquisition cost. The acquisition cost for shares or SDRs of the same sort and type is calculated by the application of the average method. The acquisition cost for the Octave Class B Ordinary Shares or Octave SDRs representing the Octave Class B Ordinary Shares received through the dividend from Hexagon will be calculated in accordance with the general advice that will be received from the Swedish Tax Agency. Information about the general advice will be published on the websites of Hexagon, Octave and the Swedish Tax Agency as soon as possible.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divestment of publicly-listed shares or SDRs, the so-called standard method could potentially be applied to calculate the acquisition cost, whereby the acquisition cost amounts to 20% of the remuneration received from the divestment after deduction of expenses relating to the divestment.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Capital losses on publicly-listed shares and SDRs are generally tax deductible against taxable capital gains on both listed and not listed shares as well as from other publicly-traded securities that are divested during the same fiscal year. Note that this does not apply on participations in investment funds and special funds that only comprise Swedish receivables, i.e., interest funds.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Capital losses that are not possible to be deducted following the above will be deducted up to 70% against other capital income. If that will result in a deficit, a tax deduction against municipal and public income tax and against property tax and municipal property fee is available. Tax deduction will be allowed by 30% of the part of the deficit not exceeding SEK 100,000 and by 21% of the remaining part of the deficit. The deficit cannot be carried forward for tax purposes.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Limited Liability Companies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Taxation of Dividends on and Capital Gains and Capital Losses following Divestment of Octave Class A Ordinary Shares, Octave Class B Ordinary Shares or Octave SDRs representing the Octave Class B Ordinary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limited liability companies, all income, including taxable capital gains and dividends, is generally taxed as income from business operations at the current corporate income tax rate. Capital gains and capital losses are calculated in accordance with the rules applicable for individuals as described above. Tax deductible capital losses on shares or SDRs and other securities may only be deducted against taxable capital gains on such shares or SDRs and securities. Such capital losses could also, under certain conditions, be deducted against capital gains incurred in other companies within the same group, if the companies can exchange group contributions for Swedish tax </w:t>
      </w:r>
    </w:p>
    <w:p>
      <w:pPr>
        <w:pStyle w:val="TextBody"/>
        <w:bidi w:val="0"/>
        <w:spacing w:before="0" w:after="180"/>
        <w:jc w:val="both"/>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46685"/>
                <wp:effectExtent l="0" t="0" r="0" b="0"/>
                <wp:wrapNone/>
                <wp:docPr id="431" name="Frame4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purposes. A capital loss that cannot be utilized during a certain fiscal year can be carried forward and be deducted against taxable capital gain on shares and other securities following fiscal years.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Material Swedish Income Tax Consequences to other Swedish Associations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taxation of associations other than Swedish limited liability companies depends on, inter alia, the legal and tax characteristics of the association from a Swedish perspective. Depending on such circumstances, such associations could be exempt from income tax or covered by the rules governing Swedish limited liability companies. Consideration should be given to the specific legal features of the recipient when determining the tax implications associated with the distribution.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FOREGOING DISCUSSION IS A SUMMARY OF MATERIAL SWEDISH INCOME TAX CONSEQUENCES OF THE DISTRIBUTION UNDER CURRENT LAW AND IS FOR GENERAL INFORMATION ONLY. ALL HOLDERS SHOULD CONSULT THEIR OWN TAX ADVISORS AS TO THE PARTICULAR TAX CONSEQUENCES OF THE DISTRIBUTION TO THEM, INCLUDING THE APPLICATION AND EFFECT OF U.S. FEDERAL, STATE, LOCAL, AND FOREIGN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46685"/>
                <wp:effectExtent l="0" t="0" r="0" b="0"/>
                <wp:wrapNone/>
                <wp:docPr id="432" name="Frame4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MATERIAL INDEBTEDNESS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Proposed Revolving Credit Facility and Term Loan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Distribution, on March 17, 2026, Octave entered into a commitment letter (the “Commitment Letter”) providing for a senior unsecured credit facility consisting of (a) a five-year senior unsecured revolving credit facility in an aggregate principal amount of up to $500 million (the “Proposed Revolving Credit Facility”) and (b) a four-year senior unsecured term loan facility consisting of (i) a U.S. dollar denominated term loan in an amount of up to $350 million (the “Proposed Dollar Tranche Term Loan”) and (ii) a Euro denominated term loan in an amount of up to €150 million (the “Proposed Euro Tranche Term Loan”, together with the Proposed Dollar Tranche Term Loan, the “Proposed Term Loan Facility” and, together with the Proposed Revolving Credit Facility, the “Proposed Facilities”). As contemplated by the Commitment Letter, Octave would be permitted to incur up to $250 million of additional incremental commitments under the Proposed Facilities, subject to customary conditions and lender participation.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proceeds of borrowings under the Proposed Revolving Credit Facility may be used for working capital and other general corporate purposes of Octave and its subsidiaries, while the proceeds of the Proposed Term Loan Facility may be used by Octave in connection with the Distribution and for other general corporate purposes of Octave and its subsidiaries, including to pay related transaction costs. Upon completion of the Distribution, Octave expects the revolving credit facility to be undrawn and the term loan facility to be fully drawn, which proceeds will be used to make a cash payment to Hexagon.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Proposed Facilities would bear interest, at Octave’s option, at variable rates based on Term SOFR or ABR, EURIBOR or Daily Simple SONIA, in each case plus an applicable margin. The applicable margin would vary based on Octave’s consolidated leverage ratio.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Commitment Letter for the Proposed Facilities, Octave would be required to maintain a maximum consolidated leverage ratio under the Proposed Facilities of no more than 3.50 to 1.00. Octave would be permitted to elect to increase the maximum permitted consolidated leverage ratio to 4.00 to 1.00 for the fiscal quarter during which a material acquisition occurs and for the following three fiscal quarters.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Proposed Facilities contemplated by the Commitment Letter are expected to include representations and warranties, events of default and affirmative and negative covenants that are customary for similar financings, including, among other things and subject to certain significant exceptions, limitations on liens, indebtedness, mergers and asset sales, as well as customary reporting and compliance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terms, availability and funding of the Proposed Facilities is subject to change as the Commitment Letter obligates the financial institutions party thereto to use commercially reasonable efforts to syndicate the Proposed Facilities on the terms summarized above, which Octave expects to occur before effectiveness of the registration statement of which this information statement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46685"/>
                <wp:effectExtent l="0" t="0" r="0" b="0"/>
                <wp:wrapNone/>
                <wp:docPr id="433" name="Frame4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OUR SHARE CAPITAL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will be amended and restated in connection with the Distribution. The rights and restrictions to which our shares will be subject will be prescribed by our memorandum and articles of association. This section summarizes the material terms of our share capital, including certain provisions that will be contained in our memorandum and articles of association and applicable Irish law. Our Articles are included as an exhibit to the registration statement of which this information statement forms a part. The summaries and descriptions below do not purport to be complete statements of the relevant provisions of our Articles or of the relevant applicable Irish law, including the Irish Companies Act. This section is qualified in its entirety by reference to our Articles and the Irish Companies Act.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Legal Name; Formation; Fiscal Year; Registered Office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legal name of Octave is Octave Intelligence plc. Octave was incorporated in Ireland on July 5, 2017 as a private limited company, and was re-registered as a public limited company on February 26, 2026. Octave’s fiscal year ends on December 31. Octave’s registered office address is 10 Earlsfort Terrace, Dublin 2, D02 T380, Ireland.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Share Capital</w:t>
      </w:r>
    </w:p>
    <w:p>
      <w:pPr>
        <w:pStyle w:val="TextBody"/>
        <w:bidi w:val="0"/>
        <w:spacing w:lineRule="auto" w:line="288" w:before="0" w:after="180"/>
        <w:jc w:val="both"/>
        <w:rPr/>
      </w:pPr>
      <w:r>
        <w:rPr>
          <w:rFonts w:ascii="Times New Roman;serif" w:hAnsi="Times New Roman;serif"/>
          <w:b w:val="false"/>
          <w:color w:val="000000"/>
          <w:sz w:val="20"/>
        </w:rPr>
        <w:t xml:space="preserve">The authorized share capital of Octave will be $100,000,000 and €25,000, divided into 4,500,000,000  Octave Class A Ordinary Shares of $0.01 each, 4,500,000,000 Octave Class B Ordinary Shares of $0.01                each, 1,000,000,000 preferred shares of $0.01 each and 25,000 deferred shares of €1.00 each. The Octave Class A Ordinary Shares and Octave Class B Ordinary Shares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in all respects save for voting rights and conversion rights. For additional information on voting rights, see “—Voting” below. Each Octave Class A Ordinary Share may be converted into or exchanged for one Octave Class B Ordinary Share at the option of the holder of the Octave Class A Ordinary Share. The 25,000 deferred shares with a nominal value of €1.00 per share are included in the authorized share capital in order to satisfy minimum statutory requirements for Irish public limited companies. These deferred shares will carry no voting or dividend rights (unless the deferred shares are the only class of share in issue). All outstanding deferred shares will be acquired and cancelled by Octave for no consideration contemporaneously with the Distribution being effected. </w:t>
      </w:r>
    </w:p>
    <w:p>
      <w:pPr>
        <w:pStyle w:val="TextBody"/>
        <w:bidi w:val="0"/>
        <w:spacing w:lineRule="auto" w:line="288" w:before="0" w:after="180"/>
        <w:jc w:val="both"/>
        <w:rPr/>
      </w:pPr>
      <w:r>
        <w:rPr>
          <w:rFonts w:ascii="Times New Roman;serif" w:hAnsi="Times New Roman;serif"/>
          <w:b w:val="false"/>
          <w:color w:val="000000"/>
          <w:sz w:val="20"/>
        </w:rPr>
        <w:t>Based on the number of Hexagon Shares outstanding and the number of treasury shares held by Hexagon as of the date of this information statement, and the distribution ratio whereby every ten (10) shares in Hexagon entitle to one (1) share of the corresponding share class in Octave, Octave will have an issued share capital of 11,025,000 Octave Class A Ordinary Shares and</w:t>
      </w:r>
      <w:r>
        <w:rPr>
          <w:color w:val="000000"/>
          <w:shd w:fill="FFFFFF" w:val="clear"/>
        </w:rPr>
        <w:t xml:space="preserve"> </w:t>
      </w:r>
      <w:r>
        <w:rPr>
          <w:rFonts w:ascii="Times New Roman;serif" w:hAnsi="Times New Roman;serif"/>
          <w:b w:val="false"/>
          <w:color w:val="000000"/>
          <w:sz w:val="20"/>
          <w:shd w:fill="FFFFFF" w:val="clear"/>
        </w:rPr>
        <w:t>257,412,788</w:t>
      </w:r>
      <w:r>
        <w:rPr>
          <w:color w:val="000000"/>
        </w:rPr>
        <w:t xml:space="preserve"> </w:t>
      </w:r>
      <w:r>
        <w:rPr>
          <w:rFonts w:ascii="Times New Roman;serif" w:hAnsi="Times New Roman;serif"/>
          <w:b w:val="false"/>
          <w:color w:val="000000"/>
          <w:sz w:val="20"/>
        </w:rPr>
        <w:t>Octave Class B Ordinary Shares immediately after the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may issue shares subject to the maximum authorized share capital contained in our Articles. The authorized share capital may be increased or reduced by a resolution approved by a simple majority of the votes cast by shareholders at a general meeting, in person or by proxy (referred to under Irish law as an “ordinary resolution”). The shares comprising the authorized share capital of Octave may be divided into shares of such nominal value as the resolution shall prescribe.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matter of Irish law, the directors of a company (or a duly authorized committee thereof) may cause the company to issue new shares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will permit such authority to be conferred, in respect of the issue of Octave Class B Ordinary Shares, until the date of the next-following annual general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and restrictions to which Octave Shares will be subject will be prescribed in our Articles. Our Articles will permit our Board of Directors, without shareholder approval, to determine the terms of preferred shares issued by Octave. Preferred shares may, among other things, be preferred as to dividends, rights on a winding up or voting in such manner as the directors of Octave may resolve, except that the holders of any series of preferred shares will not be entitled to exercise more than one vote per preferred share without the consent of the majority of the holders of the Octave Class A Ordinary Shares. The preferred shares may also be redeemable at the option of the </w:t>
      </w:r>
    </w:p>
    <w:p>
      <w:pPr>
        <w:pStyle w:val="TextBody"/>
        <w:bidi w:val="0"/>
        <w:spacing w:before="0" w:after="180"/>
        <w:jc w:val="both"/>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46685"/>
                <wp:effectExtent l="0" t="0" r="0" b="0"/>
                <wp:wrapNone/>
                <wp:docPr id="434" name="Frame4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 of the preferred shares or at the option of Octave and may be convertible into or exchangeable for shares of any other class or classes of Octave, depending on the terms of such preferred shares and provided that preferred shares may not be convertible into or exchangeable for Octave Class A Ordinary Shares without the consent of the majority of the holders of Octave Class A Ordinary Shares. The issuance of preferred shares is subject to applicable law, including as appropriate the Irish Takeover Rules and the Swedish Takeover Rules.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Irish law does not recognize fractional shares held of record. Accordingly, our Articles will not provide for the issuance of fractional Octave Shares, and the official Irish share register of Octave will not reflect any fractional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Pre-emption Rights and Share Options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Irish law certain statutory pre-emption rights apply automatically in favor of shareholders where shares are to be issued for cash. However, Octave will opt out of these pre-emption rights in our Articles as permitted under Irish company law until the date of the next-following annual general meeting, being the 2027 annual general meeting. Irish law requires this opt-out to be renewed at least every five years by a resolution approved by not less than 75% of the votes cast by shareholders at a general meeting, in person or by proxy (referred to under Irish law as a “special resolution”). If the opt-out is not renewed, shares issued for cash must be offered to existing Octave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compensation plan.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will provide that, subject to any shareholder approval requirement under any laws, regulations or the rules of any stock exchange to which Octave is subject, our Board of Directors will be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appropriate instruments evidencing such options to be issued. The Irish Companies Act provides that directors may issue share options without shareholder approval once authorized to do so by the articles of association or an ordinary resolution of shareholders. Our Board of Directors may issue shares upon exercise of options without shareholder approval or authorization (up to the relevant authorized share capital limit).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Dividends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Irish law, dividends and distributions may only be made from distributable reserves. Distributable reserves, broadly, means our accumulated realized profits less our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or dividend does not reduce our net assets below such aggregate. Undistributable reserves include the share premium account, the nominal value of shares acquired by us, any capital redemption reserve fund, the amount by which our accumulated unrealized profits, so far as not previously utilized by any capitalization, exceed our accumulated unrealized losses, so far as not previously written off in a reduction or reorganization of capital and any other reserve which we are prohibited from distributing.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determination as to whether or not we have sufficient distributable reserves to fund a dividend must be made by reference to our “relevant financial statements.” The “relevant financial statements” will be either the last set of unconsolidated annual audited financial statements laid before a general meeting of shareholders or other financial statements properly prepared in accordance with the Irish Companies Act; that is initial financial statements or interim financial statements, which give a “true and fair view” of Octave’s unconsolidated financial position and accord with accepted accounting practice. The relevant financial statements must be filed in the Companies Registration Office of Ireland (the official public registry for companies in Ireland).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following the Distribution, Octave will not have any distributable reserves. Octave will therefore not have the ability to pay dividends (or make other forms of distributions) immediately following the Distribution </w:t>
      </w:r>
    </w:p>
    <w:p>
      <w:pPr>
        <w:pStyle w:val="TextBody"/>
        <w:bidi w:val="0"/>
        <w:spacing w:before="0" w:after="180"/>
        <w:jc w:val="both"/>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46685"/>
                <wp:effectExtent l="0" t="0" r="0" b="0"/>
                <wp:wrapNone/>
                <wp:docPr id="435" name="Frame4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until it creates distributable reserves by way of a reduction of our capital (see “—Reduction of Share Capital” below) or as a result of the profitable operations of its business. For information about Octave’s intention to create distributable reserves, see “The Separation and the Distribution—Dividend Policy.”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we expect to capitalize the reserves created pursuant to the Distribution and implement a court-approved reduction of that capital in order to create distributable reserves to support the payment of possible future dividends or future share repurchases. Hexagon, as the current pre-Distribution shareholder of Octave, has passed a resolution that would (subject to the approval of the High Court of Ireland) create distributable reserves following the Distribution by converting to distributable reserves an amount equal to the value of all of our share premium. To complete this process, we will seek the approval of the High Court of Ireland, which is required for the creation of distributable reserves to be effective, as soon as practicable following the Distribution. The approval of the High Court of Ireland is expected to be obtained within approximately two months of the consummation of the Distribution, but is dependent on a number of factors, such as the caseload of the High Court of Ireland at the time of our initial application, and court vacations.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Until the approval of the High Court of Ireland is obtained or distributable reserves are created as a result of the profitable operation of our business, we will not have sufficient distributable reserves to make distributions by way of dividends, share repurchases or otherwise. Although we are not aware of any reason why the High Court of Ireland would not approve the creation of distributable reserves, there is no guarantee that we will obtain such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mechanism as to who declares a dividend and when a dividend shall become payable is governed by our Articles, which authorize the directors to declare such dividends as appear justified from our profits without the approval of the shareholders at a general meeting. Our Board of Directors may also recommend a dividend to be approved and declared by shareholders at a general meeting. Although the shareholders may direct, upon the recommendation of our directors, that the payment of a dividend declared at a general meeting be made by distribution of assets, shares or cash, no dividend issued may exceed the amount recommended by the directors. The directors may also direct payment or satisfaction of any dividend or other distribution wholly or in part by the distribution of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directors of Octave are also entitled to issue shares with preferred rights to participate in dividends declared by Octave. The holders of such preferred shares may, depending on their terms, be entitled to claim arrears of a declared dividend out of subsequently declared dividends in priority to holders of Octave Class A Ordinary Shares or Octave Class B Ordinary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information about the Irish tax issues relating to dividend payments, see “Material Irish Tax Consequences.”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Share Repurchases, Redemptions and Conversions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will provide that any shares which Octave has agreed to acquire shall be deemed to be a redeemable share, unless our Board of Directors resolves otherwise. Accordingly, for Irish company law purposes, the repurchase of shares by Octave will technically be effected as a redemption of those shares as described below under “—Repurchases and Redemptions by Octave.” If our Articles did not contain such provision, all repurchases by Octave would be subject to many of the same rules that apply to purchases of Octave shares by subsidiaries described below under “—Purchases by Subsidiaries of Octave shares” including the shareholder approval requirements described below and the requirement that any on-market purchases be effected on a “recognized stock exchange.” Neither Irish law nor any constituent document of Octave places limitations on the right of non-resident or foreign owners to vote or hold Octave shares. Except where otherwise noted, references elsewhere in this information statement to repurchasing or buying back Octave shares refer to the redemption of shares by Octave or the purchase of Octave shares by a subsidiary of Octave, in each case in accordance with our Articles and Irish company law as described below. </w:t>
      </w:r>
    </w:p>
    <w:p>
      <w:pPr>
        <w:pStyle w:val="TextBody"/>
        <w:bidi w:val="0"/>
        <w:spacing w:before="0" w:after="180"/>
        <w:jc w:val="both"/>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46685"/>
                <wp:effectExtent l="0" t="0" r="0" b="0"/>
                <wp:wrapNone/>
                <wp:docPr id="436" name="Frame4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Repurchases and Redemptions by Octave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Irish law, a company may issue redeemable shares and redeem them out of distributable reserves or the proceeds of a fresh issue of shares for that purpose. Octave will not have any distributable reserves immediately following the Distribution. However, we intend to take steps to create such distributable reserves. Please also see “—Dividends” and “Risk Factors.” Octave may only issue redeemable shares if the nominal value of the issued share capital that is not redeemable is not less than 10% of the nominal value of the total issued share capital of Octave. All redeemable shares must also be fully paid and the terms of redemption of the shares must provide for payment on redemption. Redeemable shares may, upon redemption, be cancelled or held in treasury. Shareholder approval will not be required to redeem Octave shares pursuant to our Articles.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may also be given an additional general authority by its shareholders to purchase its own shares on-market, which would take effect on the same terms and be subject to the same conditions as applicable to purchases by Octave’s subsidiaries as described below.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will also be entitled to issue preferred shares, which may be redeemed at the option of either Octave or the shareholder, depending on the terms of such preferred shares. For additional information on preferred shares, see “—Share Capital”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Repurchased and redeemed shares may be cancelled or held as treasury shares. The nominal value of treasury shares held by us or a subsidiary of ours at any time must not exceed 10% of our company capital (consisting of the aggregate of the nominal value and share premium in respect of the allotment of our shares together with certain elements of our undenominated capital arising on the acquisition of shares by us). While we or a subsidiary of ours hold shares as treasury shares, we or such subsidiary may not exercise any voting rights in respect of those shares. We may cancel or re-issue treasury shares subject to certain conditions.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Purchases by Subsidiaries of Octave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Irish law, an Irish or non-Irish subsidiary may purchase Octave shares either as overseas market purchases or off-market purchases. For a subsidiary of Octave to make overseas market purchases of Octave shares, the Octave shareholders must provide general authorization for such purchase by way of ordinary resolution. However, as long as this general authority has been granted, no specific shareholder authority for a particular overseas market purchase by a subsidiary of Octave shares is required. For an off-market purchase by a subsidiary of Octave, the proposed purchase contract must be authorized by special resolution of the shareholders before the contract is entered into. The person whose Octave shares are to be bought back cannot vote in favor of the special resolution and, from the date of the notice of the meeting at which the resolution approving the contract is to be proposed, the purchase contract must be on display or must be available for inspection by shareholders at our registered office.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a subsidiary of Octave to make an overseas market purchase of Octave shares, such shares must be purchased on a “securities market” (as defined in the Irish Companies Act) which has been recognized for the purposes of the Irish Companies Act. Nasdaq New York, on which we expect Octave Class B Ordinary Shares will be listed following the Distribution, is a recognized securities market for this purpose.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Octave shares acquired and held by the subsidiaries of Octave at any time will count as treasury shares and will be included in any calculation of the permitted treasury share threshold of 10% of our company capital. While a subsidiary holds Octave shares, it cannot exercise any voting rights in respect of those shares. The acquisition of Octave shares by a subsidiary must be funded out of distributable reserves of the subsidiary.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Bonus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Articles, the Board of Directors may resolve to capitalize any amount credited to our undenominated capital, any profits available for distribution, any unrealized revaluation reserves, any merger reserve or any other capital reserve of Octave for issuance and distribution to shareholders as fully paid-up bonus shares on the same basis of entitlement as would apply in respect of a dividend distribution (and in the same proportions). Our Articles </w:t>
      </w:r>
    </w:p>
    <w:p>
      <w:pPr>
        <w:pStyle w:val="TextBody"/>
        <w:bidi w:val="0"/>
        <w:spacing w:before="0" w:after="180"/>
        <w:jc w:val="both"/>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46685"/>
                <wp:effectExtent l="0" t="0" r="0" b="0"/>
                <wp:wrapNone/>
                <wp:docPr id="437" name="Frame4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will also provide that bonus shares allotted and issued to shareholders shall be of the same class as shares already held by that shareholder (and in the same proportions).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Liens on Shares, Calls on Shares and Forfeiture of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will provide that Octave will have a first and paramount lien on every share that is not a fully paid up share for all moneys payable, whether presently due or not in respect of such Octave shares. Such lien will extend to all dividends payable on the relevant share. Subject to the terms of their allotment, directors may call for any unpaid amounts in respect of any Octave shares to be paid, and if payment is not made, the shares may be forfeited and ultimately sold. These provisions are standard inclusions in the articles of association of an Irish public limited company such as Octave.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Consolidation and Division; Subdivision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will provide that Octave may, by ordinary resolution, consolidate and divide all or any of its share capital into shares of larger nominal value than its existing shares or subdivide its shares into smaller amounts than is fixed by our Articles.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Reduction of Share Capital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may, by ordinary resolution, reduce its authorized share capital in any way. Octave also may, by special resolution and subject to confirmation by the Irish High Court, reduce or cancel its issued share capital (which includes share premium) in any manner permitted by the Irish Companies Act.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Annual General Meetings of Shareholders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will be required to hold an annual general meeting each calendar year no more than nine months after our fiscal year end. Annual general meetings must be held at intervals of no more than 15 months. Our Articles will provide that the Octave directors may convene general meetings of the shareholders at any place they so designate including by way of virtual general meeting. It is expected that Octave’s first annual general meeting as a public company will occur in 2027.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notice of the general meeting must state the time, date and place of the meeting and the general nature of the business to be dealt with and must be given to all Octave shareholders and to the auditors of Octave. Under Irish law, an annual general meeting must be called by at least 21 clear days’ notice in writing. The notice period can be shortened, but only with the consent of the auditors of Octave and all of the shareholders entitled to attend and vote at such meeting. A meeting other than the annual general meeting must be called by not less than 21 days’ notice in writing to approve a special resolution and 14 days’ notice in writing for any other extraordinary general meeting, but this notice period also can be shortened if the consent of the auditors and all of the shareholders entitled to attend and vote at such meeting is obtained.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only matters which must, as a matter of Irish company law, be transacted at an annual general meeting are the consideration of the statutory financial statements (including the balance sheet and reports of the directors and auditors), the appointment of auditors, the fixing of the auditor’s remuneration (or delegation of same) and review by the members of the affairs of Octave. If no resolution is made in respect of the reappointment of an existing auditor at an annual general meeting, the existing auditor will be deemed to have continued in office.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Extraordinary General Meetings of Shareholders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Extraordinary general meetings of Octave may be convened: (i) by our Board of Directors; (ii) on requisition of the shareholders holding not less than 10% of the paid-up share capital of Octave carrying voting rights; or (iii) on requisition of Octave’s auditors in certain circumstances in accordance with the Irish Companies Act. Extraordinary general meetings are generally held for the purposes of approving shareholder resolutions as may be required from time to time. At any extraordinary general meeting only such business shall be conducted as is set forth in the notice thereof. </w:t>
      </w:r>
    </w:p>
    <w:p>
      <w:pPr>
        <w:pStyle w:val="TextBody"/>
        <w:bidi w:val="0"/>
        <w:spacing w:before="0" w:after="180"/>
        <w:jc w:val="both"/>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46685"/>
                <wp:effectExtent l="0" t="0" r="0" b="0"/>
                <wp:wrapNone/>
                <wp:docPr id="438" name="Frame4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Notice of an extraordinary general meeting must be given to all shareholders and to our statutory auditors, directors and company secretary. An extraordinary general meeting for the purpose of considering a special resolution must be convened on not less than 21 clear days’ notice. Any other extraordinary meeting must also be called by not less than 21 clear days’ notice, except that it may be called by 14 clear days’ notice where (i) all holders who hold shares that carry rights to vote at the general meeting are permitted to vote by electronic means either before and/or at the general meeting, and (ii) a special resolution reducing the period of notice to 14 clear days has been passed at the immediately preceding annual general meeting, or at a general meeting held since that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case of an extraordinary general meeting convened by Octave shareholders, the proposed purpose of the meeting must be set out in the requisition notice. Upon receipt of any such valid requisition notice, our Board of Directors has 21 days to convene a meeting of Octave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Octave’s receipt of the requisition notice.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our Board of Directors becomes aware that the net assets of Octave are not greater than half of the amount of Octave’s called-up share capital, the directors of Octave must convene an extraordinary general meeting of Octave shareholders not later than 28 days from the date that they learn of this fact to consider how to address the situation.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Voting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will provide that all resolutions to be voted on at a general meeting of shareholders shall be decided on a poll. The chairperson of the meeting may determine the manner in which the poll is to be taken and he or she may appoint scrutineers (who need not be shareholders) and fix a time and place for declaring the result of the poll.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our Articles, where a vote is decided on a poll, each shareholder of record present in person or by proxy is entitled to ten votes for each Octave Class A Ordinary Share that he or she holds and one vote for each Octave Class B Ordinary Share that he or she holds. Voting rights may be exercised by holders of record registered in our share register as of the record date for the meeting or by a duly appointed proxy, which proxy need not be a shareholder. Where shares are beneficially owned, meaning that they are held by a bank, broker or other nominee, such bank, broker or other nominee may exercise the rights of the beneficial owners on their behalf as their proxy. All proxies must be appointed in the manner prescribed by our Articles, which permit shareholders to notify us of their proxy appointments electronically in such manner as may be approved by our Board of Directors. Shareholders entitled to more than one vote in a poll do not need to cast all their votes or cast all votes in the same way.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will provide that a poll relating to the election of the chairperson or the adjournment of a general meeting shall be taken immediately. A poll in respect of any other question shall be taken either immediately or at such time and place as the chairperson of the meeting may direct. No notice is required in respect of a poll not taken immediately if the time and place at which it is to be taken are announced at the meeting at which it is demanded. In any other case at least seven clear days’ notice shall be given specifying the time and place at which the poll is to be taken.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our Articles, our Board of Directors may from time to time authorize us to issue preferred shares. These preferred shares may have such voting rights as may be specified in the terms of such preferred shares, except that the holders of any series of preferred shares will not be entitled to exercise more than one vote per preferred share without the consent of the majority of the holders of the Octave Class A Ordinary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Treasury shares or shares of the Company that are held by our subsidiaries will not be entitled to be voted at general meetings of shareholders.</w:t>
      </w:r>
    </w:p>
    <w:p>
      <w:pPr>
        <w:pStyle w:val="TextBody"/>
        <w:bidi w:val="0"/>
        <w:spacing w:before="0" w:after="180"/>
        <w:jc w:val="both"/>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46685"/>
                <wp:effectExtent l="0" t="0" r="0" b="0"/>
                <wp:wrapNone/>
                <wp:docPr id="439" name="Frame4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Irish company law requires special resolutions of the shareholders at a general meeting to approve certain matters. Examples of matters requiring special resolutions include: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amending our Articles;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approving a change of name of Octave;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the entering into of a guarantee or provision of security in connection with a loan, quasi-loan or credit transaction to a director or a person connected with a director;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opting out of statutory pre-emption rights on the issuance of new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re-registration of Octave from a public limited company to a private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variation of class rights attaching to classes of shares (where our Articles do not provide otherwise);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purchase of Octave shares off-market;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reduction of issued share capital;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sanctioning a compromise/scheme of arrangement;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resolving that Octave be wound up by the Irish courts;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resolving in favor of a shareholders’ voluntary winding-up;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re-designation of shares into different share classes;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setting the re-issue price of treasury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also “—Anti-Takeover Provisions—Irish Takeover Rules and Substantial Acquisition Rules—Mandatory Bid” below for additional information on potential restrictions of voting rights in certain circumstances where a shareholder may be otherwise subject to mandatory offer obligations under the Irish Takeover Rules.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Variation of Rights Attaching to a Class or Series of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Irish Companies Act and as will be provided in our Articles, any variation of class rights attaching to any issued class of Octave shares must be approved in writing by holders of three-quarters of the issued shares in that class or with the sanction of a special resolution passed at a separate general meeting of the holders of the shares of that class.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will expressly provide that any issue of preferred shares (whatever the rights attaching to them) will be deemed not to be a variation of the rights of shareholders.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Quorum for General Meetings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will provide that no business shall be transacted at any general meeting unless a quorum is present. The presence, in person or by proxy or as a duly authorized representative of a corporate shareholder, of two or more persons entitled to vote upon the business to be transacted and together holding shares representing more than 50% of the votes that may be cast by all such persons so entitled to vote at the relevant time, constitutes a quorum for the conduct of business at a general meeting.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Requirements for Advance Notification of Director Nominations and Proposals of Shareholders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Irish law and our Articles will establish advance notice procedures with respect to shareholder proposals, including nomination of candidates for election as directors other than nominations made by or at the direction of our Board of Directors or a committee of our Board of Directors.</w:t>
      </w:r>
    </w:p>
    <w:p>
      <w:pPr>
        <w:pStyle w:val="TextBody"/>
        <w:bidi w:val="0"/>
        <w:spacing w:before="0" w:after="180"/>
        <w:jc w:val="both"/>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46685"/>
                <wp:effectExtent l="0" t="0" r="0" b="0"/>
                <wp:wrapNone/>
                <wp:docPr id="440" name="Frame4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Shareholder Action by Written Consent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Irish Companies Act provides that shareholders may approve a resolution without a meeting if (i) all shareholders sign the written resolution and (ii) the company’s articles of association permit written resolutions of shareholders. Our Articles provide that no resolution of the members may be passed as a written resolution under the Irish Companies Act or otherwise.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Inspection of Books and Records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Irish law, shareholders have the right to: (i) receive a copy of our Articles; (ii) inspect and obtain copies of the minutes of general meetings and resolutions of Octave; (iii) inspect and receive a copy of the register of shareholders, register of directors and secretaries, register of directors’ interests and other statutory registers maintained by Octave; (iv) receive copies of the statutory financial statements (including the balance sheets and directors’ and auditors’ reports) which have previously been sent to shareholders prior to an annual general meeting; and (v) receive balance sheets of any subsidiary of Octave which have previously been sent to shareholders prior to an annual general meeting for the preceding ten years. The auditors of Octave will also have the right of access to the accounting records of Octave. The auditors’ report must be circulated to the shareholders with Octave’s financial statements prepared in accordance with Irish law no later than 21 days before the annual general meeting.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Acquisitions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Irish public limited company may be acquired in a number of ways,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court-approved scheme of arrangement under the Irish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through a tender or takeover offer by a third party for all of our shares. Where the holders of 80% or more of our shares have accepted an offer for their shares in Octave,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a regulated stock exchange in the EU, this threshold would be increased to 90%;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way of a merger with a company incorporated in the EEA under the EU Cross-Border Mergers Directive (EU) 2017/1132 (as amended) and the European Union (Cross-Border Conversions, Mergers and Divisions) Regulations 2023 of Ireland (as amended) (the “2023 Regulations”). Both a court order from the Irish High Court and a special resolution of shareholders would be required to give effect to such a transaction;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way of merger with another Irish company under the Companies Act, which must be approved by a special resolution and by the Irish High Court.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Appraisal Rights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European Union (Cross-Border Conversions, Mergers and Divisions) Regulations 2023 of Ireland (as amended) governing the merger of an Irish public company limited by shares, such as Octave, and a company incorporated in another member state of the European Economic Area, a shareholder (a) of the non-surviving company who voted against the special resolution approving the merger, or (b) of a non-surviving company in which 90% of the shares is held by a company that is the other party to the merger, has the right to request that the surviving company acquire its shares for cash at a price determined in accordance with the share exchange ratio set out in the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Similar rights apply in the case of a merger of an Irish public limited company into another company to which the provisions of the Irish Companies Act apply.</w:t>
      </w:r>
    </w:p>
    <w:p>
      <w:pPr>
        <w:pStyle w:val="TextBody"/>
        <w:bidi w:val="0"/>
        <w:spacing w:before="0" w:after="180"/>
        <w:jc w:val="both"/>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46685"/>
                <wp:effectExtent l="0" t="0" r="0" b="0"/>
                <wp:wrapNone/>
                <wp:docPr id="441" name="Frame4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as described above, shareholders of an Irish company generally do not have appraisal rights under Irish law. However, Irish company law does provide for dissenters’ rights in certain situations, as described below.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scheme of arrangement which has been approved by the requisite shareholder majority and approved by the Irish High Court will be binding on all shareholders. Dissenting shareholders have the right to appear at the Irish High Court hearing and make representations in objection to the scheme.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Disclosure of Interests in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Irish Companies Act, Octave shareholders must notify Octave (but not the public at large) if, as a result of a transaction, the shareholder will become interested in 3% or more of any class of Octave shares carrying voting rights; or if as a result of a transaction a shareholder who was interested in more than 3% of any class of Octave shares carrying voting rights ceases to be so interested. Where a shareholder is interested in more than 3% of any class of Octave shares carrying voting rights, the shareholder must notify Octave (but not the public at large)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Octave (or any such class of share capital in issue). Where the percentage level of the shareholder’s interest does not amount to a whole percentage this figure may be rounded down to the next whole number. Octave must be notified within five business days of the transaction or alteration of the shareholder’s interests that gave rise to the notification requirement. If a shareholder fails to comply with these notification requirements, the shareholder’s rights in respect of any Octave shares it holds will not be enforceable, either directly or indirectly, by action or legal proceeding. However, such person may apply to the court to have the rights attaching to such shares reinstated.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these disclosure requirements, Octave may, under the Irish Companies Act, by notice in writing, require a person whom Octave knows or has reasonable cause to believe to be, or at any time during the three years immediately preceding the date on which such notice is issued to have been, interested in shares comprised in Octave’s relevant share capital to: (i) indicate whether or not it is the case; and (ii) where such person holds or has during that time held an interest in any class of Octave shares carrying voting rights, to provide additional information as may be required by Octave, including particulars of the person’s own past or present interests in such class of Octave shares. If the recipient of the notice fails to respond within the reasonable time period specified in the notice, Octave may apply to court for an order directing that the affected shares be subject to certain restrictions, as prescribed by the Irish Companies Act,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transfer of those shares, or in the case of unissued shares any transfer of the right to be issued with shares and any issue of shares, shall be void;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voting rights shall be exercisable in respect of those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further shares shall be issued in right of those shares or in pursuance of any offer made to the holder of those shares;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payment shall be made of any sums due from Octave on those shares, whether in respect of capital or otherwise.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court may also order that shares subject to any of these restrictions be sold with the restrictions terminating upon the completion of the sale.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Octave SDRs will be considered to be interested in the Octave Shares for the purposes of the Irish Companies Act.</w:t>
      </w:r>
    </w:p>
    <w:p>
      <w:pPr>
        <w:pStyle w:val="TextBody"/>
        <w:bidi w:val="0"/>
        <w:spacing w:before="0" w:after="180"/>
        <w:jc w:val="both"/>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46685"/>
                <wp:effectExtent l="0" t="0" r="0" b="0"/>
                <wp:wrapNone/>
                <wp:docPr id="442" name="Frame4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that we are in an offer period pursuant to the Irish Takeover Rules, accelerated disclosure provisions apply for persons holding an interest in our securities of 1% or more.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beneficial ownership disclosures of the U.S. federal securities laws will apply with respect to beneficial ownership of our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section “Anti-Takeover Provisions,” “share” and “shareholder” are also used when reference is made to Octave SDRs and holders of Octave SDRs. </w:t>
      </w:r>
    </w:p>
    <w:p>
      <w:pPr>
        <w:pStyle w:val="TextBody"/>
        <w:bidi w:val="0"/>
        <w:spacing w:lineRule="auto" w:line="288" w:before="0" w:after="180"/>
        <w:jc w:val="both"/>
        <w:rPr/>
      </w:pPr>
      <w:r>
        <w:rPr>
          <w:rFonts w:ascii="Times New Roman;serif" w:hAnsi="Times New Roman;serif"/>
          <w:b w:val="false"/>
          <w:color w:val="000000"/>
          <w:sz w:val="20"/>
        </w:rPr>
        <w:t>A transaction in which someone (the “</w:t>
      </w:r>
      <w:r>
        <w:rPr>
          <w:rFonts w:ascii="Times New Roman;serif" w:hAnsi="Times New Roman;serif"/>
          <w:b/>
          <w:color w:val="000000"/>
          <w:sz w:val="20"/>
        </w:rPr>
        <w:t>Offeror</w:t>
      </w:r>
      <w:r>
        <w:rPr>
          <w:color w:val="000000"/>
        </w:rPr>
        <w:t>”</w:t>
      </w:r>
      <w:r>
        <w:rPr>
          <w:rFonts w:ascii="Times New Roman;serif" w:hAnsi="Times New Roman;serif"/>
          <w:b w:val="false"/>
          <w:color w:val="000000"/>
          <w:sz w:val="20"/>
        </w:rPr>
        <w:t>) seeks to acquire 30% or more of our voting rights will be governed by the Irish Takeover Rules and will be regulated by the Irish Takeover Panel.</w:t>
      </w:r>
    </w:p>
    <w:p>
      <w:pPr>
        <w:pStyle w:val="TextBody"/>
        <w:bidi w:val="0"/>
        <w:spacing w:lineRule="auto" w:line="288" w:before="0" w:after="180"/>
        <w:jc w:val="both"/>
        <w:rPr/>
      </w:pPr>
      <w:r>
        <w:rPr>
          <w:rFonts w:ascii="Times New Roman;serif" w:hAnsi="Times New Roman;serif"/>
          <w:b w:val="false"/>
          <w:color w:val="000000"/>
          <w:sz w:val="20"/>
        </w:rPr>
        <w:t xml:space="preserve">Furthermore, while the Octave SDRs remain listed on Nasdaq Stockholm, the Swedish Takeover Rules are applicable to any situation in which an Offeror submits a takeover bid, as defined in Chapter 2, section 1, second paragraph of the Swedish Takeover Act (Sw. </w:t>
      </w:r>
      <w:r>
        <w:rPr>
          <w:rFonts w:ascii="Times New Roman;serif" w:hAnsi="Times New Roman;serif"/>
          <w:b w:val="false"/>
          <w:i/>
          <w:color w:val="000000"/>
          <w:sz w:val="20"/>
        </w:rPr>
        <w:t>lagen (2006:451) om offentliga uppköpserbjudanden på aktiemarknaden),</w:t>
      </w:r>
      <w:r>
        <w:rPr>
          <w:color w:val="000000"/>
        </w:rPr>
        <w:t xml:space="preserve"> </w:t>
      </w:r>
      <w:r>
        <w:rPr>
          <w:rFonts w:ascii="Times New Roman;serif" w:hAnsi="Times New Roman;serif"/>
          <w:b w:val="false"/>
          <w:color w:val="000000"/>
          <w:sz w:val="20"/>
        </w:rPr>
        <w:t>regarding our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conflicts arise between the Irish Takeover Rules and the Swedish Takeover Rules, the Offeror or Octave may apply to the Swedish Securities Council for exemption from the relevant rules stipulated in the Swedish Takeover Rules. Similarly, in Ireland, the Offeror or Octave may seek guidance or a waiver from the Irish Takeover Panel, which has discretion to grant derogations or make rulings to resolve conflicts under the Irish Takeover Rules.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this context, our corporate structure and the regulatory framework applicable to our securities include certain provisions that may affect the ability of a third party to acquire control of Octave. These rules differ significantly from U.S. state takeover laws and include requirements that may influence the conduct of potential bidders.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important aspects of the Irish Takeover Rules and the Swedish Takeover Rules are described below.</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Principles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Irish Takeover Rules as well as the Swedish Takeover Rules are built on the following general principles derived from Directive 2004/25/EC of the European Parliament and of the Council of 21 April 2004 on takeover bids (the “General Principles”), which will apply to any offer regarding our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event of an offer, all holders of securities of the target company of the same class must be afforded equivalent treatment and, if a person acquires control of a company, the other holders of securities must be protected;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board of the target company must act in the interests of the company as a whole and must not deny the holders of securities the opportunity to decide on the merits of the offer;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bidder must announce an offer only after ensuring that it can fulfil in full, any cash consideration, if such is offered, and after taking all reasonable measures to secure the implementation of any other type of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target company must not be hindered in the conduct of its affairs for longer than is reasonable by an offer for its securities; and</w:t>
      </w:r>
    </w:p>
    <w:p>
      <w:pPr>
        <w:pStyle w:val="TextBody"/>
        <w:bidi w:val="0"/>
        <w:spacing w:before="0" w:after="180"/>
        <w:jc w:val="both"/>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46685"/>
                <wp:effectExtent l="0" t="0" r="0" b="0"/>
                <wp:wrapNone/>
                <wp:docPr id="443" name="Frame4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substantial acquisition of securities (whether such acquisition is to be effected by one transaction or a series of transactions) shall take place only at an acceptable speed and shall be subject to adequate and timely disclosure.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Irish Takeover Rules and Substantial Acquisition Rules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Mandatory Bid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a person who acquires our shares may be required under the Irish Takeover Rules to make a mandatory cash offer for our remaining outstanding shares at a price not less than the highest price paid for the shares by that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w:t>
      </w:r>
    </w:p>
    <w:p>
      <w:pPr>
        <w:pStyle w:val="TextBody"/>
        <w:bidi w:val="0"/>
        <w:spacing w:lineRule="auto" w:line="288" w:before="0" w:after="180"/>
        <w:jc w:val="both"/>
        <w:rPr/>
      </w:pPr>
      <w:r>
        <w:rPr>
          <w:rFonts w:ascii="Times New Roman;serif" w:hAnsi="Times New Roman;serif"/>
          <w:b w:val="false"/>
          <w:color w:val="000000"/>
          <w:sz w:val="20"/>
        </w:rPr>
        <w:t xml:space="preserve">Provisions in our Articles will provide that where an acquisition of voting rights in Octave, or an increase in the percentage of voting rights in Octave, by any person alone or in concert with other persons causes that person to incur a mandatory offer obligation under the Irish Takeover Rules, the rights in respect of those shares are restricted and have no right to vote at general meetings of Octave but otherwise ranking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with the other Octave Class A Ordinary Shares and Octave Class B Ordinary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rules on mandatory bid obligations under the Swedish Takeover Act are not applicable.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Voluntary Bid; Requirements to Make a Cash Offer and Minimum Price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 person makes a voluntary offer to acquire our outstanding shares, the offer price must be no less than the highest price paid for our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the bidder or any of its concert parties has acquired our shares: (i) during the period of 12 months prior to the commencement of the offer period which represent more than 10% of our total shares; or (ii) at any time after the commencement of the offer period, the offer must be in cash (or accompanied by a full cash alternative) and the price per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shares in the 12-month period prior to the commencement of the offer period if the Irish Takeover Panel, taking into account the General Principles, considers it just and proper to do so.</w:t>
      </w:r>
    </w:p>
    <w:p>
      <w:pPr>
        <w:pStyle w:val="TextBody"/>
        <w:bidi w:val="0"/>
        <w:spacing w:lineRule="auto" w:line="288" w:before="0" w:after="180"/>
        <w:jc w:val="both"/>
        <w:rPr/>
      </w:pPr>
      <w:r>
        <w:rPr>
          <w:rFonts w:ascii="Times New Roman;serif" w:hAnsi="Times New Roman;serif"/>
          <w:b w:val="false"/>
          <w:color w:val="000000"/>
          <w:sz w:val="20"/>
        </w:rPr>
        <w:t xml:space="preserve">An offer period will generally commence from the date of the first announcement of the offer or proposed </w:t>
      </w:r>
      <w:r>
        <w:rPr>
          <w:rFonts w:ascii="Times New Roman;serif" w:hAnsi="Times New Roman;serif"/>
          <w:b w:val="false"/>
          <w:i/>
          <w:color w:val="000000"/>
          <w:sz w:val="20"/>
        </w:rPr>
        <w:t>offer.</w:t>
      </w:r>
    </w:p>
    <w:p>
      <w:pPr>
        <w:pStyle w:val="TextBody"/>
        <w:bidi w:val="0"/>
        <w:spacing w:lineRule="auto" w:line="288" w:before="0" w:after="180"/>
        <w:jc w:val="both"/>
        <w:rPr>
          <w:color w:val="000000"/>
        </w:rPr>
      </w:pPr>
      <w:r>
        <w:rPr>
          <w:color w:val="000000"/>
        </w:rPr>
        <w:t>‘</w:t>
      </w:r>
      <w:r>
        <w:rPr>
          <w:rFonts w:ascii="Times New Roman;serif" w:hAnsi="Times New Roman;serif"/>
          <w:b w:val="false"/>
          <w:i/>
          <w:color w:val="000000"/>
          <w:sz w:val="20"/>
        </w:rPr>
        <w:t>Put Up or Shut Up’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Irish Takeover Rules, there is also a mandatory ‘put up or shut up’ regime pursuant to which any announcement by a company that commences an offer period will generally be required to identify the potential bidder in talks with the company or from which an approach has been received. Bidders will have a period of 42 days following the announcement in which they are first identified to announce a firm intention to make an offer for the company or announce that they do not intend to make an offer, in which case the bidder will generally be restricted from making an offer for the company in the following six months, subject to limited exceptions.</w:t>
      </w:r>
    </w:p>
    <w:p>
      <w:pPr>
        <w:pStyle w:val="TextBody"/>
        <w:bidi w:val="0"/>
        <w:spacing w:before="0" w:after="180"/>
        <w:jc w:val="both"/>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46685"/>
                <wp:effectExtent l="0" t="0" r="0" b="0"/>
                <wp:wrapNone/>
                <wp:docPr id="444" name="Frame4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Substantial Acquisition Rules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Frustrating Action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Irish Takeover Rules, our Board of Directors is not permitted to take any action which might frustrate an offer for our shares once our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our Board of Directors has reason to believe an offer is imminent. Exceptions to this prohibition are available where: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action is approved by our shareholders at a general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Irish Takeover Panel has given its consent, where: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 is satisfied the action would not constitute frustrating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holders of 50% of the voting rights state in writing that they approve the proposed action and would vote in favor of it at a general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action is taken in accordance with a contract entered into prior to the announcement of the offer;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decision to take such action was made before the announcement of the offer and either has been at least partially implemented or is in the ordinary course of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other provisions of Irish law or our Articles may be considered to have anti-takeover effects, including those described under the following captions: “—Share Capital” (regarding issuance of preferred shares), “—Pre-emption Rights and Share Options,” and “—Disclosure of Interests in Shares.” Rules on frustrating actions under the Swedish Takeover Act are not applicable.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Swedish Takeover Rules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Pricing and consideration rules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an Offeror making a voluntary bid is free to offer whatever price it wishes. Under the Swedish Takeover Rules, however, the offer price must not be less than the highest price paid by the Offeror for our shares within six months prior to the announcement of the offer or during the course of an offer. If the Offeror acquires more than 10% of our shares for cash within six months of the offer announcement or during the course of the offer, the Offeror must provide a cash alternative at not less than the highest price paid. Similarly, if the Offeror has acquired more than 10% of our shares in exchange for securities in the six months preceding the offer or during the course of the offer, a securities offer will be required (whereby the securities alternative must be offered on the basis of the same number of securities per target share rather than on the same value basis). Moreover, where a securities offer is required as a result of pre-offer acquisitions of our shares in exchange for securities, the Offeror is required to provide a cash alternative on the basis of the same value, unless the vendor is required (under a lock-up undertaking or similar restriction) to hold the securities received until either the offer has been terminated or the offer consideration has been paid to accepting shareholders. </w:t>
      </w:r>
    </w:p>
    <w:p>
      <w:pPr>
        <w:pStyle w:val="TextBody"/>
        <w:bidi w:val="0"/>
        <w:spacing w:before="0" w:after="180"/>
        <w:jc w:val="both"/>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46685"/>
                <wp:effectExtent l="0" t="0" r="0" b="0"/>
                <wp:wrapNone/>
                <wp:docPr id="445" name="Frame4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the Offeror also has an obligation to treat equally all holders of shares with identical terms and conditions. Consequently, the Offeror must offer all holders of shares with identical terms and conditions the same consideration per share. However, if special cause applies for certain shareholders, these may be offered consideration in a different form, provided that the value is the same. As a general rule, the same form of consideration must be offered for all classes of shares, and considering that Octave has different classes of shares which only differ in terms of the voting rights and that not all classes of shares will be admitted to trading, the value of the consideration must be the same for all shares.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Offer financing, conditions, etc.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Swedish Takeover Rules provide that a takeover bid may only be made once the Offeror has taken all necessary steps to implement the offer and, in particular, has ensured that it can satisfy any cash consideration in full.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satisfaction of any conditions to which a voluntary bid is made subject must be objective, meaning it must be possible to determine objectively whether a condition has been satisfied and must not, except where a condition relates to regulatory approvals (such as antitrust clearances), give the Offeror a decisive influence over their fulfilment.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Offeror is generally permitted to withdraw the offer only where the non-satisfaction of a condition is of material importance to its acquisition of the target.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statement by an Offeror that the Offeror will or will not act in a certain manner with respect to its offer is binding if the purpose of the statement is to create legitimate trust on the market.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General duties of the target board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Swedish Takeover Rules, our Board of Directors must act in the interest of all shareholders in matters relating to the offer. Our Board of Directors may not act in its own interests or be directed by the interests of one shareholder or a particular group of shareholders. If there is more than one Offeror, our Board of Directors may not promote a particular Offeror without valid reason. Octave may not enter into any offer-related arrangement with an Offeror, which includes any and every arrangement related to the offer which entails an obligation on Octave towards the Offeror, except for confidentiality provisions or undertakings not to solicit the Offeror’s employees, customers, or suppliers.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Mergers and merger-like processes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a minority shareholder protection perspective, similar interests worthy of protection are relevant irrespective of whether the takeover of an offeree or transferor company is carried out in the form of a takeover process or, for example, through a merger process. For that reason, certain provisions of the Swedish Takeover Rules are also applicable if Octave is to be acquired by or absorbed into the transferee company or another company within the same group of companies as the transferee company through a merger or merger-like process.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Corporate Governance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will allocate authority over the day-to-day management of Octave to our Board of Directors. Our Board of Directors may then delegate any of its powers to such person or persons (including any committee (whether directors or not)) as it thinks fit, but regardless, the directors will remain responsible, as a matter of Irish law, for the proper management of the affairs of Octave.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Election and Appointment of Directors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Irish Companies Act provides for a minimum of two directors. Our Articles will provide that the number of directors will be fixed by our Board of Directors, but will not be less than three nor more than fourteen. The minimum or maximum number of directors may be increased or reduced by an ordinary resolution of shareholders, provided however, that any resolution to appoint a director approved by the shareholders that would result in the </w:t>
      </w:r>
    </w:p>
    <w:p>
      <w:pPr>
        <w:pStyle w:val="TextBody"/>
        <w:bidi w:val="0"/>
        <w:spacing w:before="0" w:after="180"/>
        <w:jc w:val="both"/>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46685"/>
                <wp:effectExtent l="0" t="0" r="0" b="0"/>
                <wp:wrapNone/>
                <wp:docPr id="446" name="Frame4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maximum number of directors being exceeded shall be deemed to constitute an ordinary resolution increasing the maximum number of directors to the number that would be in office following such a resolution of appointment.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will provide that directors are elected by the affirmative vote of a majority of the votes cast by shareholders at a general meeting (present in person or by proxy) of the shareholders and will serve for one-year terms concluding at the annual general meeting after the director was last appointed or reappointed. However, if the number of director nominees exceeds the number of directors to be elected, each of those nominees shall be voted upon as a separate resolution and the directors shall be elected by a plurality of the votes (meaning the election of those director nominees, equaling in number to the number of positions to be filled at the relevant general meeting, that received the highest number of votes) of the shares present in person or represented by proxy at any such meeting and entitled to vote on the election of directors.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Board Vacancies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will provide that the directors shall have the authority to appoint directors to the Board of Directors, subject to the maximum number permitted in our Articles. A vacancy caused by the removal of a director may be filled at the meeting at which the director is removed by an ordinary resolution of Octave shareholders. If not, it may be filled by our Board of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directors so appointed shall be required to retire at the next annual general meeting of Octave unless he or she is re-elected at such meeting. During any vacancy in our Board of Directors, the remaining directors shall have full power to act as our Board of Directors.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Removal of Directors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Irish Companies Act, the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Octave in respect of his removal.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Amendment of Governing Documents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Irish law and subject to the provisions of the Irish Companies Act, Irish companies may only alter their memorandum and articles of association by a resolution of the shareholders approved by 75% of the votes cast at a general meeting. An Irish company is not permitted to opt out of this requirement.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Duration; Dissolution; Rights upon Liquidation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Octave’s corporate existence will have unlimited duration. Octave may be dissolved and wound up at any time by way of a shareholders’ voluntary winding up or a creditors’ winding up. In the case of a shareholders’ voluntary winding-up, a special resolution of shareholders is required. Octave may also be dissolved by way of court order on the application of a creditor, or by the Companies Registration Office as an enforcement measure where Octave has failed to file certain returns.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of the shareholders of an Irish company to a return of its assets on dissolution or winding up, following the settlement of all claims of creditors, may be prescribed in its articles of association or the terms of any preferred shares issued by its directors from time to time. The holders of preferred shares in particular may have the right to priority in a dissolution or winding up of such company. If the articles of association contain no specific provisions in respect of a dissolution or winding up, then, subject to the priorities of any creditors, the assets will be distributed to shareholders in proportion to the paid-up nominal value of the shares held. Our Articles will provide that the Octave shareholders are entitled to participate pro rata in a winding up, but their right to do so may be subject to the rights of any preferred shareholder to participate under the terms of any series or class of preferred shares that may be in issue from time to time. </w:t>
      </w:r>
    </w:p>
    <w:p>
      <w:pPr>
        <w:pStyle w:val="TextBody"/>
        <w:bidi w:val="0"/>
        <w:spacing w:before="0" w:after="180"/>
        <w:jc w:val="both"/>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46685"/>
                <wp:effectExtent l="0" t="0" r="0" b="0"/>
                <wp:wrapNone/>
                <wp:docPr id="447" name="Frame4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Uncertificated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our Articles, no shareholder is entitled to be issued a share certificate, unless otherwise determined by our Board of Directors or by the rights attaching to or the terms of issue of any particular shares, or to the extent required by law or regulation applicable to Octave.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No Sinking Fund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Octave Shares have no sinking fund provisions. Under such provision, a company would set aside funds to redeem its shares at a certain price.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No Liability for Further Calls or Assessments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to be issued in the Distribution will be duly and validly issued and fully paid.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Transfer and Registration of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share register of Octave will be maintained by our transfer agent or its affiliates. Registration in this share register will be determinative of membership in Octave. A shareholder of Octave who holds shares beneficially will not be the holder of record of such shares. Instead, the depository (for example, Cede &amp; Co., as nominee for the Depository Trust Company)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written instrument of transfer is required under Irish law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Such instruments of transfer may give rise to Irish stamp duty, which must be paid prior to registration of the transfer on our official Irish share register. See “Material Irish Tax Consequences.” However, a shareholder who directly holds shares may transfer those shares into his or her own broker account (or vice versa) without giving rise to Irish stamp duty, provided that the shareholder has confirmed to our transfer agent that there is no change in the ultimate beneficial ownership of the shares as a result of the transfer and the transfer (into or out of DTC) is not effected in contemplation of a sale of such shares by a beneficial owner to a third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transfer of Octave shares that is subject to Irish stamp duty will not be registered in the name of the buyer unless an instrument of transfer is duly stamped and provided to the transfer agent. Our Articles will allow Octave, in its absolute discretion, to create an instrument of transfer and pay (or procure the payment of) any stamp duty, which is the legal obligation of a buyer. In the event of any such payment, Octave is (on behalf of itself or its affiliates) entitled to: (i) seek reimbursement from the buyer; (ii) set off the amount of the stamp duty against future dividends payable to the buyer; and (iii) to the extent permitted by the Irish Companies Act, claim a first and paramount lien on the shares on which stamp duty has been paid by Octave or its subsidiary for the amount of stamp duty paid (and such lien will extend to all dividends paid on those shares). Parties to a share transfer may assume that any stamp duty arising in respect of a transaction in Octave shares has been paid unless one or both of such parties is otherwise notified by Octave.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will delegate to our secretary (or any other person designated by our Board of Directors) the authority to execute an instrument of transfer on behalf of a transferring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help ensure that the official share register is regularly updated to reflect trading of Octave Class B Ordinary Shares occurring through normal electronic systems, Octave intends to regularly produce any required instruments of transfer in connection with any transactions for which it pays stamp duty (subject to the </w:t>
      </w:r>
    </w:p>
    <w:p>
      <w:pPr>
        <w:pStyle w:val="TextBody"/>
        <w:bidi w:val="0"/>
        <w:spacing w:before="0" w:after="180"/>
        <w:jc w:val="both"/>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46685"/>
                <wp:effectExtent l="0" t="0" r="0" b="0"/>
                <wp:wrapNone/>
                <wp:docPr id="448" name="Frame4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reimbursement and set-off rights described above). In the event that Octave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Octave (or its transfer agent) for this purpose) or request that Octave execute an instrument of transfer on behalf of the transferring party in a form determined by Octave. In either event, if the parties to the share transfer have the instrument of transfer duly stamped (to the extent required) and then provide it to our transfer agent, the buyer will be registered as the legal owner of the relevant Octave Class B Ordinary Shares on our official Irish share register (subject to the matters described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directors may suspend registration of transfers from time to time, not exceeding 30 days in aggregate each year.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Limitation on Liability; Indemnification of Directors and Officers and Insurance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as permitted under our Articles and the Irish Companies Act, intends to take out and maintain customary directors’ and officers’ liability insurance and other types of comparable insurance in order to attract and retain qualified directors and officers.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will enter into an indemnification deed poll in favor of its directors and certain of its executive officers. In addition, due to the more restrictive provisions of the Irish Companies Act in relation to indemnification of directors as described above, one of Octave’s subsidiaries will enter into indemnification agreements with each of Octave’s directors and certain of our executive officers that provide for indemnification to the fullest extent permitted by Delaware law. Our Articles will also contain indemnification and expense advancement provisions for current or former executive officers who are not directors or secretaries of Octave.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w:t>
      </w:r>
    </w:p>
    <w:p>
      <w:pPr>
        <w:pStyle w:val="TextBody"/>
        <w:bidi w:val="0"/>
        <w:spacing w:before="0" w:after="180"/>
        <w:jc w:val="both"/>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46685"/>
                <wp:effectExtent l="0" t="0" r="0" b="0"/>
                <wp:wrapNone/>
                <wp:docPr id="449" name="Frame4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Stock Exchange Listing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has applied for authorization to list its Octave Class B Ordinary Shares on Nasdaq New York under the symbol “OCTV.”</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Sale of Unregistered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Octave’s incorporation on July 5, 2017, Octave issued 100 ordinary shares of nominal value €1.00 which were held by nominees on behalf of a corporate services provider until July 24, 2025 at which time the entire issued share capital was transferred to Hexagon AB. On February 19, 2026, in order to satisfy the minimum capital requirements applicable to a public limited company under Irish law, Octave issued one additional ordinary share of nominal value €1.00, at a subscription price of €24,900, to Hexagon AB. These issuances were not registered under the Securities Act as they did not constitute a public offering and therefore were exempt from registration pursuant to Sections 4(a)(2) and Section 4(a)(1) of the Securities Act, respectively.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After the Distribution, the transfer agent and registrar for Octave Class B Ordinary Shares will be Computershare Trust Company, 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46685"/>
                <wp:effectExtent l="0" t="0" r="0" b="0"/>
                <wp:wrapNone/>
                <wp:docPr id="450" name="Frame4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SWEDISH DEPOSITORY RECEIPTS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distribution of Octave Class B Ordinary Shares, we will register all such Octave Class B Ordinary Shares, other than such shares that are to be distributed to affiliates of Hexagon, in the name of Cede &amp; Co, as nominee for DTC, which will credit beneficial interests in such shares to a sub-custodian of SEB pursuant to the SDR Issuer Agreement that has been entered into between us and SEB. SEB will then issue Octave SDRs representing the Octave Class B Ordinary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Octave SDR will represent one Octave Class B Ordinary Share deposited with SEB’s sub</w:t>
        <w:noBreakHyphen/>
        <w:t>custodian in the United States. While the Octave Class B Ordinary Shares remain listed on Nasdaq New York, the Octave SDR Program will enable investors to trade economically equivalent instruments on Nasdaq Stockholm. Octave currently expects to maintain the listing of the Octave SDRs that represent Octave Class B Ordinary Shares on Nasdaq Stockholm until further notice, which we expect to be for about two years following the Distribution Date.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summary provides a general description of the material terms of the Octave SDRs. It does not purport to be complete and is qualified in its entirety by reference to the General Terms and Conditions of the Octave SDRs, which set forth the full legally binding terms governing the Octave SDRs. The General Terms and Conditions of the Octave SDRs are attached as an exhibit to the registration statement of which this information statement forms a part.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Deposit of Octave Class B Ordinary Shares, Issuance of Octave SDRs and CSD Register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the Octave Class B Ordinary Shares will be distributed in the form of Octave SDRs to Hexagon shareholders, other than affiliates of Hexagon. Such Octave Class B Ordinary Shares will be deposited with SEB, via its designated sub</w:t>
        <w:noBreakHyphen/>
        <w:t>custodian in the United States. For each whole Octave Class B Ordinary Share deposited, SEB will issue one Octave SDR. No fractional Octave Class B Ordinary Shares will be accepted for deposit, and fractional Octave SDRs will not be issued. The Octave SDRs will be denominated in SEK.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Octave SDRs will be recorded as electronic book</w:t>
        <w:noBreakHyphen/>
        <w:t>entry entries in the CSD register (the “CSD Register”) maintained by Euroclear Sweden in accordance with the Swedish Central Securities Depositories and Financial Instruments Accounts Act (SFS 1998:1479). No physical Octave SDR certificates will be issued. Octave SDRs may be held either in the holder’s own name or via a nominee, consistent with Euroclear Sweden’s usual practice.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Record and Payment Dates for Dividends and Distributions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does not expect to pay a regular cash dividend in the near future. The payment of any dividends in the future, and the timing and amount thereof, is within the discretion of Octave’s Board of Directors. See “The Separation and the Distribution—Dividend Policy.”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extent that dividends or other distributions are made by Octave, SEB will establish a “record date” corresponding to the record date applicable to holders of the underlying Octave Class B Ordinary Shares. SEB will also establish a payment date (the “Payment Date”), on which any distributions will be made to Octave SDR holders. Cash dividends on the underlying Octave Class B Ordinary Shares, if and when paid, shall be converted into Swedish kronor (SEK) by SEB at a market exchange rate prevailing on the Payment Date and paid out to Octave SDR Holders less any applicable taxes, fees, or withholding amounts. Dividend amounts for each SDR will be calculated and payable in SEK rounded down to SEK 0.01 per SDR.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w:t>
        <w:noBreakHyphen/>
        <w:t>cash distributions (such as property, securities, or rights) may, at SEB’s discretion and subject to practical considerations, be: (i) distributed in kind (if feasible); or (ii) sold, with net proceeds (after costs and taxes) distributed to Octave SDR holders in SEK.</w:t>
      </w:r>
    </w:p>
    <w:p>
      <w:pPr>
        <w:pStyle w:val="TextBody"/>
        <w:bidi w:val="0"/>
        <w:spacing w:before="0" w:after="180"/>
        <w:jc w:val="both"/>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46685"/>
                <wp:effectExtent l="0" t="0" r="0" b="0"/>
                <wp:wrapNone/>
                <wp:docPr id="451" name="Frame4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Information on Taxation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tax legislation in the investor’s home country and in Ireland may affect any income received from Octave Shares or Octave SDRs.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taxation of any dividend, as well as capital gains taxation and rules concerning capital losses in connection with disposal of securities, depends on the shareholder’s particular circumstances. Special rules may apply to certain categories of tax payers and certain types of investment forms. Each holder of Octave Shares or Octave SDRs should therefore consult a tax advisor for information on the specific implications that may arise in each individual case, including the applicability and effect of foreign tax rules and double taxation treaties.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Voting Rights at General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Octave SDRs will be issued and governed in accordance with Swedish law, the SDR Issuer Agreement and the General Terms and Conditions. An Octave SDR holder will not have equivalent rights as holders of Octave Class B Ordinary Shares, whose rights are governed by Irish law. Because Cede &amp; Co, as nominee for DTC, will be the shareholder of record for the Octave Class B Ordinary Shares and SEB’s sub-custodian will have a beneficial interest in the Octave Class B Ordinary Shares represented by all outstanding Octave SDRs, shareholder rights will rest with such record holder and SEB, through the facilities of DTC. An Octave SDR holder’s rights will derive from the General Terms and Conditions.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General Terms and Conditions describe how Octave SDR holders can indirectly exercise their voting rights in respect of the underlying Octave Class B Ordinary Shares at general meetings of shareholders. Octave SDR holders will be provided with information regarding general meetings of shareholders in accordance with the General Terms and Conditions. Octave shall, or ensure that its service provider shall, on behalf of SEB, procure that the relevant notice is provided to all Octave SDR holders by post to the address listed in the CSD Register. The notification shall include information on (i) the type of shareholders’ meeting to be held, (ii) the time and location of the shareholders’ meeting, (iii) information on how to find the convening notice in full, the agenda and other documentation of the shareholders’ meeting as established by SEB, (iv) the record date for Octave SDR holders as determined in accordance with the General Terms and Conditions, (v) instructions regarding any measures to be taken by the Octave SDR holder in order to be able to vote at the shareholders’ meeting by appointing a proxy and (vi) the date and time by which Octave SDR holders are required to submit any vote at the shareholders’ meeting by appointing a proxy (the “SDR Proxy Voting Deadline”).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Only Octave SDR holders which are registered in the CSD Register on the record date (as determined in accordance with the General Terms and Conditions), which shall be not later than eight (8) business days before the shareholders’ meeting, and who have, no later than the SDR Proxy Voting Deadline, notified Octave or its service provider that they wish to vote at the shareholders’ meeting by appointing a proxy and validly submitted proxy voting instructions in the manner required with respect to such shareholders’ meeting, are entitled to vote by proxy form.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Conversion of Octave SDRs into Octave Class B Ordinary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Octave SDR holders may convert their Octave SDRs into Octave Class B Ordinary Shares, traded on Nasdaq New York. Such conversion of Octave SDRs into Octave Class B Ordinary Shares will be free of charge for Octave SDR holders during the initial six (6) months from and including the first day of trading in the Octave SDRs on Nasdaq Stockholm, and thereafter require payment of a conversion fee by the Octave SDR holder, its nominee or broker. In connection with the Distribution, Octave SDR holders may request conversion of their Octave SDRs into Octave Class B Ordinary Shares on the first day of trading in the Octave SDRs on Nasdaq Stockholm, expected to be on           ,           , with expected delivery of the corresponding number of Octave Class B Ordinary Shares three (3) business days thereafter, i.e. on           ,           . It will thereafter be possible to convert Octave SDRs into Octave Class B Ordinary Shares from time to time within intervals of not less than ten (10) business days. After six (6) months, conversions will be possible from time to time within intervals of not less than five (5) business days. SEB and Octave may agree to amend the conversion schedule, in which case such change will be communicated to Octave SDR holders as set out in the General Terms and Conditions.</w:t>
      </w:r>
    </w:p>
    <w:p>
      <w:pPr>
        <w:pStyle w:val="TextBody"/>
        <w:bidi w:val="0"/>
        <w:spacing w:before="0" w:after="180"/>
        <w:jc w:val="both"/>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46685"/>
                <wp:effectExtent l="0" t="0" r="0" b="0"/>
                <wp:wrapNone/>
                <wp:docPr id="452" name="Frame4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Conversion by directly registered shareholders</w:t>
      </w:r>
    </w:p>
    <w:p>
      <w:pPr>
        <w:pStyle w:val="TextBody"/>
        <w:bidi w:val="0"/>
        <w:spacing w:lineRule="auto" w:line="288" w:before="0" w:after="180"/>
        <w:jc w:val="both"/>
        <w:rPr/>
      </w:pPr>
      <w:r>
        <w:rPr>
          <w:rFonts w:ascii="Times New Roman;serif" w:hAnsi="Times New Roman;serif"/>
          <w:b w:val="false"/>
          <w:color w:val="000000"/>
          <w:sz w:val="20"/>
        </w:rPr>
        <w:t xml:space="preserve">Octave Class B Ordinary Shares cannot be distributed to directly registered non-affiliate shareholders. Consequently, if you are a directly registered non-affiliate shareholder and wish to participate in the conversion, you need to transfer your Octave SDRs (or your Hexagon Class B Shares, prior to the Distribution) to a custody account, an investment savings account or an endowment insurance with a nominee with Euroclear Sweden. Otherwise, you cannot participate in the conversion of your Octave SDRs into Octave Class B Ordinary Shares. Please note that service accounts (Sw. </w:t>
      </w:r>
      <w:r>
        <w:rPr>
          <w:rFonts w:ascii="Times New Roman;serif" w:hAnsi="Times New Roman;serif"/>
          <w:b w:val="false"/>
          <w:i/>
          <w:color w:val="000000"/>
          <w:sz w:val="20"/>
        </w:rPr>
        <w:t>servicekonton</w:t>
      </w:r>
      <w:r>
        <w:rPr>
          <w:rFonts w:ascii="Times New Roman;serif" w:hAnsi="Times New Roman;serif"/>
          <w:b w:val="false"/>
          <w:color w:val="000000"/>
          <w:sz w:val="20"/>
        </w:rPr>
        <w:t>) with an investment savings account-function at Nordea are also “direct” securities accounts and shareholders with such account must open a custody account, a nominee-registered investment savings account or an endowment insurance account. Thereafter, follow the instructions from your nominee to participate in the conversion of your Octave SDRs into Octave Class B Ordinary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Conversion by indirectly registered shareholders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 holder of Octave SDRs hold its Octave SDRs through a nominee, it should follow the instructions from its nominee to participate in the conversion of its SDRs into Octave Class B Ordinary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Conversion of Octave Class B Ordinary Shares into Octave SDRs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Shareholders in Octave may further convert their Class B Ordinary Shares into Octave SDRs, traded on Nasdaq Stockholm, by depositing the beneficial interest in the Octave Class B Ordinary Shares with SEB’s sub-custodian. Upon payment to SEB by the holder depositing the beneficial interest in the Octave Class B Ordinary Shares of all taxes, charges, fees and costs in connection with such deposit, the corresponding number of Octave SDRs will be registered in the CSD Register. Please refer to the General Terms and Conditions for further information. The relevant holder shall bear all fees and costs in connection with the conversion of Octave Class B Ordinary Shares into Octave SDRs.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Corporate Actions: Exercise of Rights, Splits, Reorganizations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of corporate actions such as rights issues, stock splits (forward or reverse), mergers, acquisitions, or other reorganizations, SEB will use its reasonable efforts to facilitate participation by Octave SDR holders. If rights (e.g., subscription rights, options or similar) are issued, SEB may arrange for Octave SDR holders to deposit the underlying rights securities or exercise them, subject to applicable law and operational feasibility. Other securities or instruments distributed through corporate actions may be held for Octave SDR holders, distributed in kind, or liquidated with net proceeds distributed, as set out above in “—Record and Payment Dates for Dividends and Distributions.”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Restrictions on Deposit and Withdrawal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SDR holders may surrender their Octave SDRs in exchange for book-entry interests in underlying Octave Class B Ordinary Shares through DTC participants, provided that all applicable legal, regulatory and tax obligations are satisfied. SEB and the sub</w:t>
        <w:noBreakHyphen/>
        <w:t xml:space="preserve">custodian may refuse withdrawal requests if necessary to comply with legal, regulatory, or contractual transfer restrictions in Sweden, the United States, or other jurisdictions. Withdrawals may also be temporarily suspended or delayed during periods in which Euroclear Sweden’s transfer books or the Company’s share registers are closed, or if deemed to be necessary or advisable in the reasonable opinion of SEB or Octave at any time or from time to time because of any requirement of any applicable law or any government or governmental body or commission, or under any provision of Euroclear Sweden’s rules or the Euroclear Sweden agreement or for any other reason. Deposits and registrations of SDRs in the CSD Register may also be suspended for such period of time or no longer permitted at any time prior to termination of the SDR program, in each case to the extent determined to be necessary or desirable in the reasonable opinion of SEB.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Company Reports, Notices, and Communications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SEB will endeavor to ensure that Octave SDR holders receive copies of any notices, annual reports, interim financial statements or other communications the Company provides to shareholders in accordance with the General Terms and Conditions.</w:t>
      </w:r>
    </w:p>
    <w:p>
      <w:pPr>
        <w:pStyle w:val="TextBody"/>
        <w:bidi w:val="0"/>
        <w:spacing w:before="0" w:after="180"/>
        <w:jc w:val="both"/>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46685"/>
                <wp:effectExtent l="0" t="0" r="0" b="0"/>
                <wp:wrapNone/>
                <wp:docPr id="453" name="Frame4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Taxation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SDR holders are responsible for understanding and complying with relevant taxation laws in applicable jurisdictions. SEB and the Company may require Octave SDR holders to submit documentation or information for purposes of withholding, reporting, or regulatory compliance. SEB may withhold amounts from distributions where required by applicable tax laws.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Limitations on Obligation and Liability of SEB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SEB’s duties and obligations are limited solely to those expressly set forth in the SDR Issuer Agreement and applicable law. SEB will have no obligation or liability to Octave SDR Holders beyond its duties as Octave SDR depositary. SEB will not be liable for delays or failures caused by force majeure, Euroclear Sweden’s or the sub-custodian’s acts or omissions, or other circumstances beyond SEB’s reasonable control.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Fees and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Unless otherwise agreed in the SDR Issuer Agreement, the Company will bear the costs associated with establishing and maintaining the Octave SDR Program. SEB may charge Octave SDR Holders fees in connection with deposit, withdrawal, corporate action processing, or other services, in accordance with SEB’s published fee schedule.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Amendment and Termination of the SDR Issuer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SDR Issuer Agreement may be amended, supplemented, or terminated by mutual agreement between the Company and SEB and in accordance with the provisions of the SDR Issuer Agreement and the General Terms and Conditions, including that the SDR Issuer Agreement may be terminated by SEB with effect at the end of each yearly quarter (i.e., March 31, June 30, September 30 and December 31), whereby the rights and obligations of SEB and Octave as set out in the SDR Issuer Agreement shall continue to apply for a period of six (6) months thereafter. Notice of any such amendment or termination will be provided to Octave SDR holders in accordance with the General Terms and Conditions. Upon termination, SEB will take reasonable steps to enable Octave SDR holders to surrender Octave SDRs in exchange for underlying Octave Class B Ordinary Shares or their cash equivalent, in accordance with the terms of the SDR Issuer Agreement and the General Terms and Conditions. Upon termination of the Octave SDR Program, all holders of Octave SDRs who have not yet converted their Octave SDRs into Octave Class B Ordinary Shares, will automatically have their Octave SDRs redeemed by SEB, and such Octave Class B Ordinary Shares that the Octave SDRs represent will be sold by SEB on Nasdaq New York. Such sale would take place as soon as practicable after the termination of the Octave SDR Program. The payment of the proceeds from the sale of the Octave Class B Ordinary Shares will be paid pro rata to the holders of such Octave SDRs immediately before the termination of the SDR Issuer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46685"/>
                <wp:effectExtent l="0" t="0" r="0" b="0"/>
                <wp:wrapNone/>
                <wp:docPr id="454" name="Frame4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 AND RELATED SHAREHOLDER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Distribution, all outstanding Octave Shares are owned beneficially and of record by Hexagon AB. The following tables set forth information with respect to the expected beneficial ownership of Octave Shares immediately following the Distribution, including: (i) each person who we believe will be a beneficial owner of more than 5% of Octave Shares, (ii) each of our expected directors and named executive officers and (iii) all of our expected directors and executive officers as a group.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noted below, we based the share amounts on each person’s beneficial ownership of Hexagon shares as of                , after giving effect to a distribution ratio of one (1) Octave Class A Ordinary Share for every ten (10) Hexagon Class A Shares and one (1) Octave Class B Ordinary Share for every ten (10) Hexagon Class B Shares.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following the Distribution, we estimate that 11,025,000 Octave Class A Ordinary Shares and 257,412,788 Octave Class B Ordinary Shares will be issued and outstanding based on the number of Hexagon Class A Shares and Hexagon Class B Shares outstanding as of the date of this information statement. The actual number of Octave Shares issued in the Distribution will be determined on          ,                the record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of the SEC. Unless otherwise indicated, the address of each named person is 305 Intergraph Way, Madison, Alabama 35758, United States.</w:t>
      </w:r>
    </w:p>
    <w:tbl>
      <w:tblPr>
        <w:tblW w:w="10205" w:type="dxa"/>
        <w:jc w:val="left"/>
        <w:tblInd w:w="0" w:type="dxa"/>
        <w:tblLayout w:type="fixed"/>
        <w:tblCellMar>
          <w:top w:w="28" w:type="dxa"/>
          <w:left w:w="28" w:type="dxa"/>
          <w:bottom w:w="28" w:type="dxa"/>
          <w:right w:w="28" w:type="dxa"/>
        </w:tblCellMar>
      </w:tblPr>
      <w:tblGrid>
        <w:gridCol w:w="1281"/>
        <w:gridCol w:w="895"/>
        <w:gridCol w:w="898"/>
        <w:gridCol w:w="540"/>
        <w:gridCol w:w="541"/>
        <w:gridCol w:w="159"/>
        <w:gridCol w:w="156"/>
        <w:gridCol w:w="156"/>
        <w:gridCol w:w="156"/>
        <w:gridCol w:w="236"/>
        <w:gridCol w:w="232"/>
        <w:gridCol w:w="388"/>
        <w:gridCol w:w="109"/>
        <w:gridCol w:w="109"/>
        <w:gridCol w:w="109"/>
        <w:gridCol w:w="540"/>
        <w:gridCol w:w="541"/>
        <w:gridCol w:w="161"/>
        <w:gridCol w:w="155"/>
        <w:gridCol w:w="155"/>
        <w:gridCol w:w="155"/>
        <w:gridCol w:w="255"/>
        <w:gridCol w:w="256"/>
        <w:gridCol w:w="387"/>
        <w:gridCol w:w="109"/>
        <w:gridCol w:w="109"/>
        <w:gridCol w:w="109"/>
        <w:gridCol w:w="388"/>
        <w:gridCol w:w="232"/>
        <w:gridCol w:w="688"/>
      </w:tblGrid>
      <w:tr>
        <w:trPr/>
        <w:tc>
          <w:tcPr>
            <w:tcW w:w="128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Octave 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Octave Class 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Voting Power</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 or Greater Shareholders</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Melker Schörling AB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47,408,144 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Swedbank Robur Fonder AB </w:t>
            </w:r>
            <w:r>
              <w:rPr>
                <w:rFonts w:ascii="Times New Roman;serif" w:hAnsi="Times New Roman;serif"/>
                <w:b w:val="false"/>
                <w:color w:val="000000"/>
                <w:sz w:val="13"/>
              </w:rPr>
              <w:t>(2)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17,055,707 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Directors and Named Executive Officers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Jill D. Smith</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J. Hollister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Magnus Ahlqvist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Meerah Rajavel</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Maslen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Moore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Zana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Mokashi</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All directors, named executive officers and executive officers as a group</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(1)Following the Distribution, Melker Schörling AB, or “MSAB,” will be the holder of record of the Octave Class A Ordinary Shares and Octave Class B Ordinary Shares set forth in the table above. Based upon information provided by MSAB, Märta Schörling Andreen and Sofia Schörling Högberg exercise shared voting and investment control with respect to such securities. The business address of MSAB is Birger Jarlsgatan 13, SE-111 45, Stockholm, Sweden.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(2)Following the Distribution, Swedbank Robur Fonder AB will be the holder of record of such Octave Class B Ordinary Shares set forth in the table above. Swedbank Robur Fonder AB is a wholly owned subsidiary of Swedbank Robur AB, which in turn is a wholly owned subsidiary of Swedbank AB (publ), a company listed on Nasdaq Stockholm. Swedbank Robur Fonder AB conducts fund operations pursuant to the Swedish UCITS Act (SFS 2004:46) and the Alternative Investment Funds Managers Act (SFS 2013:561). The business address of Swedbank Robur Fonder AB is 105 34 Stockholm, Sweden.</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The percentage of Octave Shares beneficially owned does not exceed 1% of the class or the voting power,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46685"/>
                <wp:effectExtent l="0" t="0" r="0" b="0"/>
                <wp:wrapNone/>
                <wp:docPr id="455" name="Frame4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INDEMNIFICATION OF DIRECTORS AND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as permitted under our Articles and the Irish Companies Act, intends to obtain directors’ and officers’ liability insurance and maintains customary directors’ and officers’ liability insurance and other types of comparable insurance in order to attract and retain qualified directors and officers.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Octave also intends to enter into an indemnification deed poll in favor of its directors and certain of its executive officers. In addition, due to the more restrictive provisions of the Irish Companies Act in relation to indemnification of directors as described above, one of Octave’s subsidiaries intends to enter into indemnification agreements with each of Octave’s directors and certain executive officers that provide for indemnification to the fullest extent permitted by Delaware law. Our Articles also will contain indemnification and expense advancement provisions for current or former executive officers who are not directors or secretaries of Octave. The forms of the indemnification deed poll and indemnification agreement are attached as exhibits to the registration statement of which this information statement forms a part.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46685"/>
                <wp:effectExtent l="0" t="0" r="0" b="0"/>
                <wp:wrapNone/>
                <wp:docPr id="456" name="Frame4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of which this information statement forms a part, under the Exchange Act and the rules and regulations promulgated under the Exchange Act with respect to the Octave Shares being distributed to Hexagon shareholders in the Distribution. This information statement does not contain all of the information set forth in the registration statement and its exhibits and schedules, to which reference is made hereby. 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you should read the full text of such contract, agreement or document for a more complete understanding of the document or matter involved. For further information with respect to us and our share capital, we refer you to the registration statement, of which this information statement forms a part, including the exhibits and the schedules filed as a part of 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furnish the holders of Octave Shares with annual reports containing financial statements audited by an independent public accounting firm and file with the SEC quarterly reports for the first three quarters of each fiscal year containing interim unaudited financial information. We also intend to furnish other reports as we may determine or as required by law.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registration statement, of which this information statement forms a part, and its exhibits and schedules, and other documents which we file with the SEC are available to the public at the SEC’s website at http://www.sec.gov. You can also obtain reports and other information about us at Nasdaq’s website at https://www.nasdaq.com.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Information we file with the SEC after the date of this information statement may supersede the information in this information statement. You may read these reports and other information and obtain copies of such documents and information as described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 person is authorized to give any information or to make any representations other than those contained in this information statement, and, if given or made, such information or representations must not be relied upon as having been authorized. Neither the delivery of this information statement nor any distribution of securities made hereunder shall imply that there has been no change in the information set forth or in our affairs since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46685"/>
                <wp:effectExtent l="0" t="0" r="0" b="0"/>
                <wp:wrapNone/>
                <wp:docPr id="457" name="Frame4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INDEX TO COMBINED FINANCIAL STATEMENTS</w:t>
      </w:r>
    </w:p>
    <w:tbl>
      <w:tblPr>
        <w:tblW w:w="9226" w:type="dxa"/>
        <w:jc w:val="left"/>
        <w:tblInd w:w="0" w:type="dxa"/>
        <w:tblLayout w:type="fixed"/>
        <w:tblCellMar>
          <w:top w:w="28" w:type="dxa"/>
          <w:left w:w="28" w:type="dxa"/>
          <w:bottom w:w="28" w:type="dxa"/>
          <w:right w:w="28" w:type="dxa"/>
        </w:tblCellMar>
      </w:tblPr>
      <w:tblGrid>
        <w:gridCol w:w="3134"/>
        <w:gridCol w:w="2749"/>
        <w:gridCol w:w="2772"/>
        <w:gridCol w:w="167"/>
        <w:gridCol w:w="167"/>
        <w:gridCol w:w="237"/>
      </w:tblGrid>
      <w:tr>
        <w:trPr/>
        <w:tc>
          <w:tcPr>
            <w:tcW w:w="3134"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Combined Financial Statements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12">
              <w:r>
                <w:rPr>
                  <w:rStyle w:val="InternetLink"/>
                  <w:rFonts w:ascii="Times New Roman;serif" w:hAnsi="Times New Roman;serif"/>
                  <w:b w:val="false"/>
                  <w:color w:val="0000FF"/>
                  <w:sz w:val="20"/>
                  <w:u w:val="single"/>
                </w:rPr>
                <w:t>Report of 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bf52a01415439da0fac9a8ef645ee7_112">
              <w:r>
                <w:rPr>
                  <w:rStyle w:val="InternetLink"/>
                  <w:rFonts w:ascii="Times New Roman;serif" w:hAnsi="Times New Roman;serif"/>
                  <w:b w:val="false"/>
                  <w:color w:val="0000FF"/>
                  <w:sz w:val="20"/>
                  <w:u w:val="single"/>
                </w:rPr>
                <w:t>F-2</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15">
              <w:r>
                <w:rPr>
                  <w:rStyle w:val="InternetLink"/>
                  <w:rFonts w:ascii="Times New Roman;serif" w:hAnsi="Times New Roman;serif"/>
                  <w:b w:val="false"/>
                  <w:color w:val="0000FF"/>
                  <w:sz w:val="20"/>
                  <w:u w:val="single"/>
                </w:rPr>
                <w:t>Combined Balance Sheets as of December 31, 2025 and 2024</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bf52a01415439da0fac9a8ef645ee7_115">
              <w:r>
                <w:rPr>
                  <w:rStyle w:val="InternetLink"/>
                  <w:rFonts w:ascii="Times New Roman;serif" w:hAnsi="Times New Roman;serif"/>
                  <w:b w:val="false"/>
                  <w:color w:val="0000FF"/>
                  <w:sz w:val="20"/>
                  <w:u w:val="single"/>
                </w:rPr>
                <w:t>F-4</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18">
              <w:r>
                <w:rPr>
                  <w:rStyle w:val="InternetLink"/>
                  <w:rFonts w:ascii="Times New Roman;serif" w:hAnsi="Times New Roman;serif"/>
                  <w:b w:val="false"/>
                  <w:color w:val="0000FF"/>
                  <w:sz w:val="20"/>
                  <w:u w:val="single"/>
                </w:rPr>
                <w:t>Combined Statements of Operations for the Years Ended December 31, 2025,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bf52a01415439da0fac9a8ef645ee7_118">
              <w:r>
                <w:rPr>
                  <w:rStyle w:val="InternetLink"/>
                  <w:rFonts w:ascii="Times New Roman;serif" w:hAnsi="Times New Roman;serif"/>
                  <w:b w:val="false"/>
                  <w:color w:val="0000FF"/>
                  <w:sz w:val="20"/>
                  <w:u w:val="single"/>
                </w:rPr>
                <w:t>F-5</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21">
              <w:r>
                <w:rPr>
                  <w:rStyle w:val="InternetLink"/>
                  <w:rFonts w:ascii="Times New Roman;serif" w:hAnsi="Times New Roman;serif"/>
                  <w:b w:val="false"/>
                  <w:color w:val="0000FF"/>
                  <w:sz w:val="20"/>
                  <w:u w:val="single"/>
                </w:rPr>
                <w:t>Combined Statements of Comprehensive Income for the Years Ended December 31, 2025,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bf52a01415439da0fac9a8ef645ee7_121">
              <w:r>
                <w:rPr>
                  <w:rStyle w:val="InternetLink"/>
                  <w:rFonts w:ascii="Times New Roman;serif" w:hAnsi="Times New Roman;serif"/>
                  <w:b w:val="false"/>
                  <w:color w:val="0000FF"/>
                  <w:sz w:val="20"/>
                  <w:u w:val="single"/>
                </w:rPr>
                <w:t>F-6</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24">
              <w:r>
                <w:rPr>
                  <w:rStyle w:val="InternetLink"/>
                  <w:rFonts w:ascii="Times New Roman;serif" w:hAnsi="Times New Roman;serif"/>
                  <w:b w:val="false"/>
                  <w:color w:val="0000FF"/>
                  <w:sz w:val="20"/>
                  <w:u w:val="single"/>
                </w:rPr>
                <w:t>Combined Statements of Equity for the Years Ended December 31, 2025,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bf52a01415439da0fac9a8ef645ee7_124">
              <w:r>
                <w:rPr>
                  <w:rStyle w:val="InternetLink"/>
                  <w:rFonts w:ascii="Times New Roman;serif" w:hAnsi="Times New Roman;serif"/>
                  <w:b w:val="false"/>
                  <w:color w:val="0000FF"/>
                  <w:sz w:val="20"/>
                  <w:u w:val="single"/>
                </w:rPr>
                <w:t>F-7</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27">
              <w:r>
                <w:rPr>
                  <w:rStyle w:val="InternetLink"/>
                  <w:rFonts w:ascii="Times New Roman;serif" w:hAnsi="Times New Roman;serif"/>
                  <w:b w:val="false"/>
                  <w:color w:val="0000FF"/>
                  <w:sz w:val="20"/>
                  <w:u w:val="single"/>
                </w:rPr>
                <w:t>Combined Statements of Cash Flows for the Years Ended December 31, 2025,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bf52a01415439da0fac9a8ef645ee7_127">
              <w:r>
                <w:rPr>
                  <w:rStyle w:val="InternetLink"/>
                  <w:rFonts w:ascii="Times New Roman;serif" w:hAnsi="Times New Roman;serif"/>
                  <w:b w:val="false"/>
                  <w:color w:val="0000FF"/>
                  <w:sz w:val="20"/>
                  <w:u w:val="single"/>
                </w:rPr>
                <w:t>F-8</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bf52a01415439da0fac9a8ef645ee7_130">
              <w:r>
                <w:rPr>
                  <w:rStyle w:val="InternetLink"/>
                  <w:rFonts w:ascii="Times New Roman;serif" w:hAnsi="Times New Roman;serif"/>
                  <w:b w:val="false"/>
                  <w:color w:val="0000FF"/>
                  <w:sz w:val="20"/>
                  <w:u w:val="single"/>
                </w:rPr>
                <w:t>Notes to Combined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bf52a01415439da0fac9a8ef645ee7_130">
              <w:r>
                <w:rPr>
                  <w:rStyle w:val="InternetLink"/>
                  <w:rFonts w:ascii="Times New Roman;serif" w:hAnsi="Times New Roman;serif"/>
                  <w:b w:val="false"/>
                  <w:color w:val="0000FF"/>
                  <w:sz w:val="20"/>
                  <w:u w:val="single"/>
                </w:rPr>
                <w:t>F-9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46685"/>
                <wp:effectExtent l="0" t="0" r="0" b="0"/>
                <wp:wrapNone/>
                <wp:docPr id="458" name="Frame4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Shareholders and Board of Directors of Hexagon AB</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combined balance sheets of the Octave business of Hexagon AB (the “Company”) as of December 31, 2025 and 2024 and the related combined statements of operations, comprehensive income, equity, and cash flows for each of the three years in the period ended December 31, 2025, including the related notes (collectively referred to as the “combined financial statements”). In our opinion, the combined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180"/>
        <w:jc w:val="both"/>
        <w:rPr/>
      </w:pPr>
      <w:r>
        <w:rPr>
          <w:rFonts w:ascii="Times New Roman;serif" w:hAnsi="Times New Roman;serif"/>
          <w:b w:val="false"/>
          <w:color w:val="000000"/>
          <w:sz w:val="20"/>
        </w:rPr>
        <w:t>We conducted our audits of these combined</w:t>
      </w:r>
      <w:r>
        <w:rPr>
          <w:color w:val="000000"/>
        </w:rPr>
        <w:t xml:space="preserve"> </w:t>
      </w:r>
      <w:r>
        <w:rPr>
          <w:rFonts w:ascii="Times New Roman;serif" w:hAnsi="Times New Roman;serif"/>
          <w:b w:val="false"/>
          <w:color w:val="000000"/>
          <w:sz w:val="20"/>
        </w:rPr>
        <w:t>financial statements in accordance with the standards of the PCAOB. Those standards require that we plan and perform the audits to obtain reasonable assurance about whether the combined financial statements are free of material misstatement, whether due to error or fraud.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0" w:after="180"/>
        <w:jc w:val="both"/>
        <w:rPr/>
      </w:pPr>
      <w:r>
        <w:rPr>
          <w:rFonts w:ascii="Times New Roman;serif" w:hAnsi="Times New Roman;serif"/>
          <w:b w:val="false"/>
          <w:color w:val="000000"/>
          <w:sz w:val="20"/>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w:t>
      </w:r>
      <w:r>
        <w:rPr>
          <w:color w:val="000000"/>
        </w:rPr>
        <w:t xml:space="preserve"> </w:t>
      </w:r>
      <w:r>
        <w:rPr>
          <w:rFonts w:ascii="Times New Roman;serif" w:hAnsi="Times New Roman;serif"/>
          <w:b w:val="false"/>
          <w:color w:val="000000"/>
          <w:sz w:val="20"/>
        </w:rPr>
        <w:t>combined financial statements and (ii) involved our especially challenging, subjective, or complex judgments. The communication of critical audit matters does not alter in any way our opinion on the combined</w:t>
      </w:r>
      <w:r>
        <w:rPr>
          <w:color w:val="000000"/>
        </w:rPr>
        <w:t xml:space="preserve"> </w:t>
      </w:r>
      <w:r>
        <w:rPr>
          <w:rFonts w:ascii="Times New Roman;serif" w:hAnsi="Times New Roman;serif"/>
          <w:b w:val="false"/>
          <w:color w:val="000000"/>
          <w:sz w:val="20"/>
        </w:rPr>
        <w:t>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2 Summary of significant accounting policies and Note 3 Revenue from contracts with customers to the combined financial statements, the Company recognized total revenue of $1,638 million for the year ended December 31, 2025. The company recognizes revenue from three categories: (i) subscriptions, (ii) licenses and (iii) services and other. The Company’s contracts with customers may include a combination of promises to transfer software licenses, maintenance, and services to a user. Judgment is required to determine if the promises are separate performance obligations, and if so, the allocation of the transaction price to each performance obligation. For contracts with multiple performance obligations, revenue is allocated to each performance obligation based on its relative standalone selling price.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pStyle w:val="TextBody"/>
        <w:bidi w:val="0"/>
        <w:spacing w:before="0" w:after="180"/>
        <w:jc w:val="both"/>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46685"/>
                <wp:effectExtent l="0" t="0" r="0" b="0"/>
                <wp:wrapNone/>
                <wp:docPr id="459" name="Frame4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Company’s revenue recognition is a critical audit matter are (i) the significant judgment by management in identifying the separate performance obligations and measuring progress in overtime recognition and (ii) a high degree of audit judgment in performing procedures and evaluating management’s significant judgments related to identifying the separate performance obligations and measuring progress in overtime recognition.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combined financial statements. These procedures included (i) analytical procedures, including procedures related to large transactions, anomalies, unexpected trends or variation and (ii) detailed tests on a sample basis of major contracts to validate the reasonableness of significant assumptions related to accuracy in revenue recognition.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PricewaterhouseCoopers AB</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Stockholm, Sweden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March 24,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46685"/>
                <wp:effectExtent l="0" t="0" r="0" b="0"/>
                <wp:wrapNone/>
                <wp:docPr id="460" name="Frame4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BUSINESS OF HEXAGON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Combined Balance Sheets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6593" w:type="dxa"/>
        <w:jc w:val="left"/>
        <w:tblInd w:w="0" w:type="dxa"/>
        <w:tblLayout w:type="fixed"/>
        <w:tblCellMar>
          <w:top w:w="28" w:type="dxa"/>
          <w:left w:w="28" w:type="dxa"/>
          <w:bottom w:w="28" w:type="dxa"/>
          <w:right w:w="28" w:type="dxa"/>
        </w:tblCellMar>
      </w:tblPr>
      <w:tblGrid>
        <w:gridCol w:w="1301"/>
        <w:gridCol w:w="1148"/>
        <w:gridCol w:w="1150"/>
        <w:gridCol w:w="211"/>
        <w:gridCol w:w="991"/>
        <w:gridCol w:w="109"/>
        <w:gridCol w:w="109"/>
        <w:gridCol w:w="109"/>
        <w:gridCol w:w="109"/>
        <w:gridCol w:w="211"/>
        <w:gridCol w:w="991"/>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assets</w:t>
            </w:r>
            <w:r>
              <w:rPr>
                <w:color w:val="000000"/>
              </w:rPr>
              <w:t xml:space="preserve"> </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656,763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564,483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6,213,377 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8,628,562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liabilities</w:t>
            </w:r>
            <w:r>
              <w:rPr>
                <w:color w:val="000000"/>
              </w:rPr>
              <w:t xml:space="preserve">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652,874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560,665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w:t>
            </w:r>
            <w:r>
              <w:rPr>
                <w:color w:val="000000"/>
              </w:rPr>
              <w:t xml:space="preserve">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1,018,616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954,875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Parent investment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7,795,874 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equity</w:t>
            </w:r>
            <w:r>
              <w:rPr>
                <w:color w:val="000000"/>
              </w:rPr>
              <w:t xml:space="preserve"> </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7,677,635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7,673,687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 and equity</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8,628,562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46685"/>
                <wp:effectExtent l="0" t="0" r="0" b="0"/>
                <wp:wrapNone/>
                <wp:docPr id="461" name="Frame4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BUSINESS OF HEXAGON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Combined Statements of Operations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7526" w:type="dxa"/>
        <w:jc w:val="left"/>
        <w:tblInd w:w="0" w:type="dxa"/>
        <w:tblLayout w:type="fixed"/>
        <w:tblCellMar>
          <w:top w:w="28" w:type="dxa"/>
          <w:left w:w="28" w:type="dxa"/>
          <w:bottom w:w="28" w:type="dxa"/>
          <w:right w:w="28" w:type="dxa"/>
        </w:tblCellMar>
      </w:tblPr>
      <w:tblGrid>
        <w:gridCol w:w="1155"/>
        <w:gridCol w:w="1021"/>
        <w:gridCol w:w="1033"/>
        <w:gridCol w:w="211"/>
        <w:gridCol w:w="976"/>
        <w:gridCol w:w="109"/>
        <w:gridCol w:w="109"/>
        <w:gridCol w:w="109"/>
        <w:gridCol w:w="109"/>
        <w:gridCol w:w="211"/>
        <w:gridCol w:w="841"/>
        <w:gridCol w:w="109"/>
        <w:gridCol w:w="109"/>
        <w:gridCol w:w="109"/>
        <w:gridCol w:w="109"/>
        <w:gridCol w:w="211"/>
        <w:gridCol w:w="841"/>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Licenses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Subscriptions and licenses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1,208,669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Cost of subscriptions and licenses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revenue</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450,990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profit</w:t>
            </w:r>
            <w:r>
              <w:rPr>
                <w:color w:val="000000"/>
              </w:rPr>
              <w:t xml:space="preserv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1,229,740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1,182,177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1,101,500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from operations</w:t>
            </w:r>
            <w:r>
              <w:rPr>
                <w:color w:val="000000"/>
              </w:rPr>
              <w:t xml:space="preserv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324,035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before income tax</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324,256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311,207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245,653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(1)For the years ending December 31, 2025, 2024, and 2023, Cost of subscriptions and licenses include related party cost of subscriptions and licenses of $7.3 million, $7.3 million, and $27.8 million, respectively.</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46685"/>
                <wp:effectExtent l="0" t="0" r="0" b="0"/>
                <wp:wrapNone/>
                <wp:docPr id="462" name="Frame4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BUSINESS OF HEXAGON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Combined Statements of Comprehensive Income</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622" w:type="dxa"/>
        <w:jc w:val="left"/>
        <w:tblInd w:w="0" w:type="dxa"/>
        <w:tblLayout w:type="fixed"/>
        <w:tblCellMar>
          <w:top w:w="28" w:type="dxa"/>
          <w:left w:w="28" w:type="dxa"/>
          <w:bottom w:w="28" w:type="dxa"/>
          <w:right w:w="28" w:type="dxa"/>
        </w:tblCellMar>
      </w:tblPr>
      <w:tblGrid>
        <w:gridCol w:w="1607"/>
        <w:gridCol w:w="1410"/>
        <w:gridCol w:w="1423"/>
        <w:gridCol w:w="211"/>
        <w:gridCol w:w="841"/>
        <w:gridCol w:w="109"/>
        <w:gridCol w:w="109"/>
        <w:gridCol w:w="109"/>
        <w:gridCol w:w="109"/>
        <w:gridCol w:w="211"/>
        <w:gridCol w:w="841"/>
        <w:gridCol w:w="109"/>
        <w:gridCol w:w="109"/>
        <w:gridCol w:w="109"/>
        <w:gridCol w:w="109"/>
        <w:gridCol w:w="211"/>
        <w:gridCol w:w="841"/>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Comprehensive income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298,368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277,404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254,468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46685"/>
                <wp:effectExtent l="0" t="0" r="0" b="0"/>
                <wp:wrapNone/>
                <wp:docPr id="463" name="Frame4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BUSINESS OF HEXAGON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Combined Statements of Equity</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063" w:type="dxa"/>
        <w:jc w:val="left"/>
        <w:tblInd w:w="0" w:type="dxa"/>
        <w:tblLayout w:type="fixed"/>
        <w:tblCellMar>
          <w:top w:w="28" w:type="dxa"/>
          <w:left w:w="28" w:type="dxa"/>
          <w:bottom w:w="28" w:type="dxa"/>
          <w:right w:w="28" w:type="dxa"/>
        </w:tblCellMar>
      </w:tblPr>
      <w:tblGrid>
        <w:gridCol w:w="1244"/>
        <w:gridCol w:w="1094"/>
        <w:gridCol w:w="1096"/>
        <w:gridCol w:w="277"/>
        <w:gridCol w:w="1304"/>
        <w:gridCol w:w="143"/>
        <w:gridCol w:w="109"/>
        <w:gridCol w:w="109"/>
        <w:gridCol w:w="109"/>
        <w:gridCol w:w="500"/>
        <w:gridCol w:w="2137"/>
        <w:gridCol w:w="258"/>
        <w:gridCol w:w="109"/>
        <w:gridCol w:w="109"/>
        <w:gridCol w:w="109"/>
        <w:gridCol w:w="211"/>
        <w:gridCol w:w="99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2022</w:t>
            </w:r>
            <w:r>
              <w:rPr>
                <w:color w:val="000000"/>
              </w:rPr>
              <w:t xml:space="preserve">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7,515,743</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(97,199)</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7,418,544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transfers from Parent</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2023</w:t>
            </w:r>
            <w:r>
              <w:rPr>
                <w:color w:val="000000"/>
              </w:rPr>
              <w:t xml:space="preserve">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7,801,998</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(88,384)</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7,713,614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Parent</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2024</w:t>
            </w:r>
            <w:r>
              <w:rPr>
                <w:color w:val="000000"/>
              </w:rPr>
              <w:t xml:space="preserve">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7,795,874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(122,187)</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7,673,687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5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248,104 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Parent</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2025</w:t>
            </w:r>
            <w:r>
              <w:rPr>
                <w:color w:val="000000"/>
              </w:rPr>
              <w:t xml:space="preserve">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7,749,558</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(71,923)</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7,677,635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46685"/>
                <wp:effectExtent l="0" t="0" r="0" b="0"/>
                <wp:wrapNone/>
                <wp:docPr id="464" name="Frame4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BUSINESS OF HEXAGON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Combined Statements of Cash Flows </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51"/>
        <w:gridCol w:w="1896"/>
        <w:gridCol w:w="1904"/>
        <w:gridCol w:w="211"/>
        <w:gridCol w:w="841"/>
        <w:gridCol w:w="109"/>
        <w:gridCol w:w="109"/>
        <w:gridCol w:w="109"/>
        <w:gridCol w:w="109"/>
        <w:gridCol w:w="211"/>
        <w:gridCol w:w="826"/>
        <w:gridCol w:w="109"/>
        <w:gridCol w:w="109"/>
        <w:gridCol w:w="109"/>
        <w:gridCol w:w="109"/>
        <w:gridCol w:w="211"/>
        <w:gridCol w:w="826"/>
        <w:gridCol w:w="156"/>
      </w:tblGrid>
      <w:tr>
        <w:trPr/>
        <w:tc>
          <w:tcPr>
            <w:tcW w:w="225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contingent consideration reserves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assets and liabilities, net of effect from acquisitions: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provided by operating activities</w:t>
            </w:r>
            <w:r>
              <w:rPr>
                <w:color w:val="000000"/>
              </w:rPr>
              <w:t xml:space="preserve">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436,436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(303,203)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used in investing activities</w:t>
            </w:r>
            <w:r>
              <w:rPr>
                <w:color w:val="000000"/>
              </w:rPr>
              <w:t xml:space="preserve">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(104,775)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(432,149)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transfers (to) from Parent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(used in) provided by financing activities</w:t>
            </w:r>
            <w:r>
              <w:rPr>
                <w:color w:val="000000"/>
              </w:rPr>
              <w:t xml:space="preserve">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25,225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increase (decrease) in cash and cash equivalents</w:t>
            </w:r>
            <w:r>
              <w:rPr>
                <w:color w:val="000000"/>
              </w:rPr>
              <w:t xml:space="preserve">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29,115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Cash and cash equivalents at end of period</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156,069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99,519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46685"/>
                <wp:effectExtent l="0" t="0" r="0" b="0"/>
                <wp:wrapNone/>
                <wp:docPr id="465" name="Frame4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BUSINESS OF HEXAGON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COMBINED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thousands, unless noted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BACKGROUND AND BASIS OF PRESENTATION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Background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Combined Financial Statements and notes present the combined results of operations, financial position and cash flows of the Asset Lifecycle Intelligence (“ALI”), Safety, Infrastructure &amp; Geospatial (“SIG”), ETQ and Bricsys businesses (collectively, “Octave” or the “Company”) of Hexagon AB (“Hexagon” or “Parent”).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its platform, noting that different components of the software architecture are at various stages of technical integration and interoperability.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4, 2025, Hexagon announced that its board of directors had directed management to prepare for the separation of a single reporting entity comprising its ALI and SIG divisions, as well as the related ETQ and Bricsys businesses, by way of a Lex-ASEA distribution (or Distribution) to its shareholders. The Company expects the transaction to be completed in mid-2026. The separation, Distribution and listing remain subject to final approval of the Hexagon board of directors and shareholders, as well as being subject to other conditions, consents and regulatory approvals. There can be no assurances that a separation, Distribution or listing will occur.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Combined Financial Statements have been derived from the consolidated financial statements and accounting records of Hexagon. These Combined Financial Statements reflect the combined historical results of operations, financial position and cash flows of the Company for the periods presented as historically operated within Hexagon in conformity with generally accepted accounting principles in the United States (“U.S.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intracompany transactions have been eliminated. All significant intercompany transactions between Octave and Parent have been included in these Combined Financial Statements. For those transactions between the Company and Parent that are historically settled in cash, the Company has reflected such balances in the Combined Balance Sheets as due from related parties or due to related parties. The total net effect of the settlement of intercompany transactions not historically settled in cash are reflected in the Combined Statements of Cash Flows as a financing activity and in the Combined Balance Sheets as Net Parent investment, with the difference between the amounts presented in the Combined Statements of Equity and the Combined Statements of Cash Flows being attributable to stock-based compensation.</w:t>
      </w:r>
    </w:p>
    <w:p>
      <w:pPr>
        <w:pStyle w:val="TextBody"/>
        <w:bidi w:val="0"/>
        <w:spacing w:before="0" w:after="180"/>
        <w:jc w:val="both"/>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466" name="Frame4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Hexagon provided certain corporate functions to the Company and costs associated with these functions were allocated to the Company.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the Company based on direct usage when identifiable, with the remainder allocated on a pro rata basis of revenue of the Company and Hexagon. The charges for these functions are included in Sales and marketing and General and administrative expenses in the Combined Statements of Operations. The Company believes the basis on which the expenses have been allocated are a reasonable reflection of the utilization of services provided to, or the benefit received by, Octave during the periods presented; however, they may not be indicative of the actual expense that would have been incurred had the Company been operating as a standalone company for the periods presented.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Actual costs that may have been incurred if the Company had been a standalone company would depend on a number of factors, including the organizational structure, pricing power, whether functions were outsourced or performed by employees, and strategic decisions made in areas such as information technology and corporate infrastructure. The Company is unable to quantify the amounts that it would have recorded during the historical periods on a standalone basis, as it is not practicable to do so. Going forward, the Company may perform these functions using its own resources or outsourced services. For an interim period, however, some of these functions may continue to be provided by the Parent under a transition services agreement following the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Hexagon utilizes a centralized treasury management function for financing its operations. The cash and cash equivalents held by Hexagon at the corporate level are not specifically identifiable to the Company and therefore have not been reflected in the Combined Balance Sheets. Cash transfers between Hexagon and the Company are accounted for through Net Parent investment. Cash and cash equivalents in the Combined Balance Sheets represent cash and cash equivalents directly identifiable to the Company and its operations. The Combined Financial Statements include certain assets and liabilities that have historically been held at the Hexagon corporate level but are specifically identifiable or otherwise attributable to the Company. Hexagon’s third-party long-term debt and the related interest expense have not been allocated to the Company for any of the periods presented as the Company was not the legal obligor of such debt and the Hexagon borrowings were not directly attributable to the Company. The income tax provision included in these Combined Financial Statements has been calculated using the separate return basis, as if the Company had filed separate tax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both"/>
        <w:rPr/>
      </w:pPr>
      <w:r>
        <w:rPr>
          <w:rFonts w:ascii="Times New Roman;serif" w:hAnsi="Times New Roman;serif"/>
          <w:b/>
          <w:color w:val="000000"/>
          <w:sz w:val="20"/>
        </w:rPr>
        <w:t xml:space="preserve">Use of Estimates: </w:t>
      </w: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as well as the reported amounts of revenues and expenses during the reporting period. Estimates are based on several factors including the facts and circumstances available at the time the estimates are made, historical experience, risk of loss, general economic conditions and trends, and the assessment of the probable future outcome. Actual results could differ from those estimates. Estimates and assumptions are reviewed periodically, and the effects of changes, if any, are reflected in the Combined Statements of Operations in the period that they are determined.</w:t>
      </w:r>
    </w:p>
    <w:p>
      <w:pPr>
        <w:pStyle w:val="TextBody"/>
        <w:bidi w:val="0"/>
        <w:spacing w:lineRule="auto" w:line="288" w:before="0" w:after="180"/>
        <w:jc w:val="both"/>
        <w:rPr/>
      </w:pPr>
      <w:r>
        <w:rPr>
          <w:rFonts w:ascii="Times New Roman;serif" w:hAnsi="Times New Roman;serif"/>
          <w:b/>
          <w:color w:val="000000"/>
          <w:sz w:val="20"/>
        </w:rPr>
        <w:t>Currency Translation:</w:t>
      </w:r>
      <w:r>
        <w:rPr>
          <w:color w:val="000000"/>
        </w:rPr>
        <w:t xml:space="preserve"> </w:t>
      </w:r>
      <w:r>
        <w:rPr>
          <w:rFonts w:ascii="Times New Roman;serif" w:hAnsi="Times New Roman;serif"/>
          <w:b w:val="false"/>
          <w:color w:val="000000"/>
          <w:sz w:val="20"/>
        </w:rPr>
        <w:t>The Company’s reporting currency is the U.S. dollar (“USD”). Assets and liabilities of non-United States subsidiaries, where the functional currency is not the U.S. dollar, have been translated at year-end exchange rates, and income and expense accounts have been translated using average exchange rates throughout the year. Adjustments resulting from the process of translating an entity’s financial statements into the U.S. dollar have been recorded in the equity section of the Combined Balance Sheets within Accumulated other comprehensive loss. Transactions that are denominated in a currency other than an entity’s functional currency are subject to changes in exchange rates with the resulting gains and losses recorded within Other operating (income) expense, net. Transaction gains and losses in determining net income are not material for all periods presented.</w:t>
      </w:r>
    </w:p>
    <w:p>
      <w:pPr>
        <w:pStyle w:val="TextBody"/>
        <w:bidi w:val="0"/>
        <w:spacing w:before="0" w:after="180"/>
        <w:jc w:val="both"/>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467" name="Frame4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color w:val="000000"/>
          <w:sz w:val="20"/>
        </w:rPr>
        <w:t xml:space="preserve">Cash and Cash Equivalents: </w:t>
      </w:r>
      <w:r>
        <w:rPr>
          <w:rFonts w:ascii="Times New Roman;serif" w:hAnsi="Times New Roman;serif"/>
          <w:b w:val="false"/>
          <w:color w:val="000000"/>
          <w:sz w:val="20"/>
        </w:rPr>
        <w:t>Cash and cash equivalents include cash on hand, demand deposits and all highly liquid investments with original maturities at the time of purchase of three months or less. The Company maintains amounts on deposit at various financial institutions, which may at times exceed federally insured limits. However, management periodically evaluates the credit-worthiness of those institutions and has not experienced any losses on such deposits during the periods presented.</w:t>
      </w:r>
    </w:p>
    <w:p>
      <w:pPr>
        <w:pStyle w:val="TextBody"/>
        <w:bidi w:val="0"/>
        <w:spacing w:lineRule="auto" w:line="288" w:before="0" w:after="180"/>
        <w:jc w:val="both"/>
        <w:rPr/>
      </w:pPr>
      <w:r>
        <w:rPr>
          <w:rFonts w:ascii="Times New Roman;serif" w:hAnsi="Times New Roman;serif"/>
          <w:b/>
          <w:color w:val="000000"/>
          <w:sz w:val="20"/>
        </w:rPr>
        <w:t>Accounts Receivable, Net:</w:t>
      </w:r>
      <w:r>
        <w:rPr>
          <w:color w:val="000000"/>
        </w:rPr>
        <w:t xml:space="preserve"> </w:t>
      </w:r>
      <w:r>
        <w:rPr>
          <w:rFonts w:ascii="Times New Roman;serif" w:hAnsi="Times New Roman;serif"/>
          <w:b w:val="false"/>
          <w:color w:val="000000"/>
          <w:sz w:val="20"/>
        </w:rPr>
        <w:t>Accounts receivable primarily represent receivables from customers for goods and services that have been invoiced but not yet collected, as well as unbilled receivables for which the Company has recognized revenue but not yet issued an invoice. Accounts receivables are recorded at their invoiced amounts and generally do not accrue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establishes an allowance for doubtful accounts for expected losses during the accounts receivable collection process. The allowance for doubtful accounts reduces the accounts receivable balance to the amount expected to be collected. The development of the allowance for doubtful accounts is based on an expected loss model which considers historical write-off and recovery experience, aging trends affecting specific accounts, and general operational factors affecting all accounts. Provisions for credit losses are recorded to General and administrative expenses in the Combined Statement of Operations. Account balances are charged off against the allowance after all means of collection have been exhausted and the potential for recovery is considered remote.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Contract assets are evaluated for expected credit losses using the same methodology, as they share similar risk characteristics with the Company’s trade accounts receivables arising from the same types of contracts.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current economic trends and considers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accounts receivables could be further adjusted.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allowance for doubtful accounts is as follows:</w:t>
      </w:r>
    </w:p>
    <w:tbl>
      <w:tblPr>
        <w:tblW w:w="7301" w:type="dxa"/>
        <w:jc w:val="left"/>
        <w:tblInd w:w="0" w:type="dxa"/>
        <w:tblLayout w:type="fixed"/>
        <w:tblCellMar>
          <w:top w:w="28" w:type="dxa"/>
          <w:left w:w="28" w:type="dxa"/>
          <w:bottom w:w="28" w:type="dxa"/>
          <w:right w:w="28" w:type="dxa"/>
        </w:tblCellMar>
      </w:tblPr>
      <w:tblGrid>
        <w:gridCol w:w="1239"/>
        <w:gridCol w:w="1094"/>
        <w:gridCol w:w="1101"/>
        <w:gridCol w:w="211"/>
        <w:gridCol w:w="736"/>
        <w:gridCol w:w="109"/>
        <w:gridCol w:w="109"/>
        <w:gridCol w:w="109"/>
        <w:gridCol w:w="109"/>
        <w:gridCol w:w="211"/>
        <w:gridCol w:w="736"/>
        <w:gridCol w:w="109"/>
        <w:gridCol w:w="109"/>
        <w:gridCol w:w="109"/>
        <w:gridCol w:w="109"/>
        <w:gridCol w:w="211"/>
        <w:gridCol w:w="73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Balance, beginning of year</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reserve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Balance, end of year</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18,310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color w:val="000000"/>
          <w:sz w:val="20"/>
        </w:rPr>
        <w:t xml:space="preserve">Inventories: </w:t>
      </w:r>
      <w:r>
        <w:rPr>
          <w:rFonts w:ascii="Times New Roman;serif" w:hAnsi="Times New Roman;serif"/>
          <w:b w:val="false"/>
          <w:color w:val="000000"/>
          <w:sz w:val="20"/>
        </w:rPr>
        <w:t>Inventories, which are primarily raw materials, are computed at standard costs which approximate actual costs and are valued at the lower of cost or net realizable value based on the first-in, first-out method. The Company assesses the valuation of inventory periodically and adjusts the value for estimated excess and obsolete inventory based on future demand and actual usage. Inventory provisions are recorded when the costs are determined to be in excess of anticipated demand or when inventory is considered obsolete.</w:t>
      </w:r>
    </w:p>
    <w:p>
      <w:pPr>
        <w:pStyle w:val="TextBody"/>
        <w:bidi w:val="0"/>
        <w:spacing w:lineRule="auto" w:line="288" w:before="0" w:after="180"/>
        <w:jc w:val="both"/>
        <w:rPr/>
      </w:pPr>
      <w:r>
        <w:rPr>
          <w:rFonts w:ascii="Times New Roman;serif" w:hAnsi="Times New Roman;serif"/>
          <w:b/>
          <w:color w:val="000000"/>
          <w:sz w:val="20"/>
        </w:rPr>
        <w:t>Property and Equipment, Net:</w:t>
      </w:r>
      <w:r>
        <w:rPr>
          <w:color w:val="000000"/>
        </w:rPr>
        <w:t xml:space="preserve"> </w:t>
      </w:r>
      <w:r>
        <w:rPr>
          <w:rFonts w:ascii="Times New Roman;serif" w:hAnsi="Times New Roman;serif"/>
          <w:b w:val="false"/>
          <w:color w:val="000000"/>
          <w:sz w:val="20"/>
        </w:rPr>
        <w:t>Property and equipment are stated at cost, less accumulated depreciation. Assets placed in service are recorded at cost and depreciated using the straight-line method over the estimated useful life of the asset except for leasehold improvements, which are depreciated over the shorter of their economic useful life or their lease term. The range of useful lives used to depreciate property and equipment is as follows:</w:t>
      </w:r>
    </w:p>
    <w:tbl>
      <w:tblPr>
        <w:tblW w:w="7154" w:type="dxa"/>
        <w:jc w:val="left"/>
        <w:tblInd w:w="0" w:type="dxa"/>
        <w:tblLayout w:type="fixed"/>
        <w:tblCellMar>
          <w:top w:w="28" w:type="dxa"/>
          <w:left w:w="28" w:type="dxa"/>
          <w:bottom w:w="28" w:type="dxa"/>
          <w:right w:w="28" w:type="dxa"/>
        </w:tblCellMar>
      </w:tblPr>
      <w:tblGrid>
        <w:gridCol w:w="1035"/>
        <w:gridCol w:w="911"/>
        <w:gridCol w:w="919"/>
        <w:gridCol w:w="1252"/>
        <w:gridCol w:w="1252"/>
        <w:gridCol w:w="1785"/>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Computers</w:t>
            </w:r>
          </w:p>
        </w:tc>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 years</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Equipment, furniture, and fixtures</w:t>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 to 8 years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 to 30 years</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Shorter of the lease term or the estimated useful life</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468" name="Frame4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assesses the recoverability of the carrying value of its property and equipment whenever events or changes in circumstances indicate that the carrying amount of the asset group may not be recoverable. Recoverability is measured by a comparison of the carrying amount of an asset group to the future net undiscounted cash flows expected to be generated by the asset group. If the undiscounted cash flows are less than the carrying amount of the asset group, an impairment loss is recognized for the amount by which the carrying value of the asset group exceeds the fair value of the asset group.</w:t>
      </w:r>
    </w:p>
    <w:p>
      <w:pPr>
        <w:pStyle w:val="TextBody"/>
        <w:bidi w:val="0"/>
        <w:spacing w:lineRule="auto" w:line="288" w:before="0" w:after="180"/>
        <w:jc w:val="both"/>
        <w:rPr/>
      </w:pPr>
      <w:r>
        <w:rPr>
          <w:rFonts w:ascii="Times New Roman;serif" w:hAnsi="Times New Roman;serif"/>
          <w:b/>
          <w:color w:val="000000"/>
          <w:sz w:val="20"/>
        </w:rPr>
        <w:t xml:space="preserve">Goodwill: </w:t>
      </w:r>
      <w:r>
        <w:rPr>
          <w:rFonts w:ascii="Times New Roman;serif" w:hAnsi="Times New Roman;serif"/>
          <w:b w:val="false"/>
          <w:color w:val="000000"/>
          <w:sz w:val="20"/>
        </w:rPr>
        <w:t xml:space="preserve">The Company records goodwill as the excess of the purchase price over the fair value of the net assets acquired in a business combination. Subsequent to the closing of a business combination, the Company evaluates and records adjustments, as applicable, to the preliminary amounts recorded over the relevant measurement period, which is not to exceed one year from the acquisition date. Goodwill is assessed for impairment at the reporting unit level annually during the fourth quarter of each year, or if a triggering event occurs or changes in circumstances indicate that the carrying amount may not be fully recoverable. In testing for goodwill impairment, the Company may first qualitatively assess whether it is more likely than not (a likelihood of more than 50%) that a goodwill impairment exists. A qualitative assessment includes a review of qualitative factors, including company-specific (financial performance and long-range plans), industry, and macroeconomic factors, and a consideration of the fair value of the reporting unit at the last valuation date. If it is determined that a quantitative assessment is required, the impairment test compares the carrying value of a reporting unit to its fair value. To the extent that the carrying value of the reporting unit exceeds its estimated fair value, an impairment loss will be recognized for the amount by which the reporting unit’s carrying amount exceeds its fair value, not to exceed the carrying amount of goodwill in that reporting unit.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was no goodwill impairment as a result of the Company’s annual impairment assessment conducted for the year ended December 31, 2025 utilizing a quantitative assessment, nor were there any goodwill impairments as a result of the Company’s annual impairment assessments conducted for the years ended December 31, 2024, or 2023 utilizing a qualitative assessment. The Company’s quantitative impairment assessment conducted for the year ended December 31, 2025 was performed utilizing a discounted cash flow analysis and resulted in an estimated fair value of the Company’s single reporting unit exceeded its carrying value by approximately 8%.</w:t>
      </w:r>
    </w:p>
    <w:p>
      <w:pPr>
        <w:pStyle w:val="TextBody"/>
        <w:bidi w:val="0"/>
        <w:spacing w:lineRule="auto" w:line="288" w:before="0" w:after="180"/>
        <w:jc w:val="both"/>
        <w:rPr/>
      </w:pPr>
      <w:r>
        <w:rPr>
          <w:rFonts w:ascii="Times New Roman;serif" w:hAnsi="Times New Roman;serif"/>
          <w:b/>
          <w:color w:val="000000"/>
          <w:sz w:val="20"/>
        </w:rPr>
        <w:t xml:space="preserve">Intangible Assets, Net: </w:t>
      </w:r>
      <w:r>
        <w:rPr>
          <w:rFonts w:ascii="Times New Roman;serif" w:hAnsi="Times New Roman;serif"/>
          <w:b w:val="false"/>
          <w:color w:val="000000"/>
          <w:sz w:val="20"/>
        </w:rPr>
        <w:t>Intangible assets consist of developed technology, customer relationships, capitalized software development expenses, other intangible assets, and trademarks. These intangible assets are acquired through business combinations, direct purchases, or internally developed capitalized software.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Capitalized Development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costs incurred in connection with the internal development of software for both internal-use and to be sold, leased, or marketed. For all periods presented, the majority of costs incurred, as well as those capitalized, pertain to software to be sold, leased, or marketed.</w:t>
      </w:r>
    </w:p>
    <w:p>
      <w:pPr>
        <w:pStyle w:val="TextBody"/>
        <w:bidi w:val="0"/>
        <w:spacing w:lineRule="auto" w:line="288" w:before="0" w:after="180"/>
        <w:jc w:val="both"/>
        <w:rPr/>
      </w:pPr>
      <w:r>
        <w:rPr>
          <w:rFonts w:ascii="Times New Roman;serif" w:hAnsi="Times New Roman;serif"/>
          <w:b w:val="false"/>
          <w:i/>
          <w:color w:val="000000"/>
          <w:sz w:val="20"/>
        </w:rPr>
        <w:t>Internal-use Software</w:t>
      </w:r>
      <w:r>
        <w:rPr>
          <w:rFonts w:ascii="Times New Roman;serif" w:hAnsi="Times New Roman;serif"/>
          <w:b w:val="false"/>
          <w:color w:val="000000"/>
          <w:sz w:val="20"/>
        </w:rPr>
        <w:t>: Specific to internal-use software, costs incurred during the preliminary project stage, which includes activities such as research, planning, evaluating alternatives, and determining performance requirements, are expensed as incurred. Upon completion of the preliminary project stage, management’s authorization and commitment to funding, and that it is probable the project will be completed and the software performs as intended, direct costs such as external contractor fees, payroll, and other related costs are capitalized. Capitalization ceases when the software is substantially complete and ready for its intended use.</w:t>
      </w:r>
    </w:p>
    <w:p>
      <w:pPr>
        <w:pStyle w:val="TextBody"/>
        <w:bidi w:val="0"/>
        <w:spacing w:lineRule="auto" w:line="288" w:before="0" w:after="180"/>
        <w:jc w:val="both"/>
        <w:rPr/>
      </w:pPr>
      <w:r>
        <w:rPr>
          <w:rFonts w:ascii="Times New Roman;serif" w:hAnsi="Times New Roman;serif"/>
          <w:b w:val="false"/>
          <w:i/>
          <w:color w:val="000000"/>
          <w:sz w:val="20"/>
        </w:rPr>
        <w:t>Software to be Sold, Leased, or Marketed</w:t>
      </w:r>
      <w:r>
        <w:rPr>
          <w:rFonts w:ascii="Times New Roman;serif" w:hAnsi="Times New Roman;serif"/>
          <w:b w:val="false"/>
          <w:color w:val="000000"/>
          <w:sz w:val="20"/>
        </w:rPr>
        <w:t>: Specific to costs of software to be sold, leased, or marketed, costs incurred during the detailed program design stage, which includes activities such as planning, evaluating alternatives, and determining performance requirements, are expensed as incurred. Once technological feasibility is established, after completion and validation of design specifications, including functional, feature, and technical performance requirements, direct costs such as external contractor fees, payroll, and other related costs are capitalized. Capitalization ceases when the software is substantially complete and ready for general release.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the development project does not meet the criteria for capitalization, all associated costs are expensed as incurred. Additionally, if it is not possible to distinguish between the preliminary and development phases, costs are expensed.</w:t>
      </w:r>
    </w:p>
    <w:p>
      <w:pPr>
        <w:pStyle w:val="TextBody"/>
        <w:bidi w:val="0"/>
        <w:spacing w:before="0" w:after="180"/>
        <w:jc w:val="both"/>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469" name="Frame4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development expenses are stated at cost, less accumulated amortization and impairment losses. For the years ended December 31, 2025, 2024, and 2023, total costs capitalized were $136.7 million, $134.9 million, and $122.3 million,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related amortization recorded within Amortization of intangible assets in the Combined Statements of Operations was $82.2 million, $54.9 million, and $36.7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reviews the carrying value, estimated useful life, and amortization method of capitalized development costs at least annually, or more frequently if indicators of impairment exist. Adjustments are made as necessary based on changes in expected use or technological obsolescence. During the years ended December 31, 2024, and 2023, the Company recognized impairment charges of $4.0 million and $19.2 million related to certain projects due to the technology becoming obsolete after acquisitions by the Company. These charges were recorded as Other operating (income) expense, net. There were no impairments during the year ended December 31,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Acquired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Acquisition-related and separately acquired intangible assets are recorded at cost, or, if acquired in a business combination, at fair value as of the acquisition date, less accumulated amortization and impairment losses, if any. The Company’s intangible assets with a finite-life include developed technology, customer relationships, capitalized development expenses, and other intangible assets through business combinations. For finite-life intangible assets, amortization begins when the asset is available for its intended use. Residual values are generally assumed to be zero unless a salvage value is expected.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reviews finite-life intangible assets for impairment whenever events or changes in circumstances indicate that the carrying amount of an asset may not be recoverable. If the sum of the expected undiscounted future cash flows is less than the carrying amount, an impairment loss is recognized in an amount equal to the excess of the carrying amount over the asset’s fair value. During the years ended December 31, 2025, and 2023, the Company recognized impairment charges of $2.2 million and $3.6 million related to the developed technology of a prior acquisition. These charges were recorded as Other operating (income) expense, net. There were no impairments during the year ended December 31,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Intangible assets with a finite-life are amortized on a straight-line basis over their estimated useful lives. The estimated useful lives of major intangible asset classes are as follows:</w:t>
      </w:r>
    </w:p>
    <w:tbl>
      <w:tblPr>
        <w:tblW w:w="4245" w:type="dxa"/>
        <w:jc w:val="left"/>
        <w:tblInd w:w="0" w:type="dxa"/>
        <w:tblLayout w:type="fixed"/>
        <w:tblCellMar>
          <w:top w:w="28" w:type="dxa"/>
          <w:left w:w="28" w:type="dxa"/>
          <w:bottom w:w="28" w:type="dxa"/>
          <w:right w:w="28" w:type="dxa"/>
        </w:tblCellMar>
      </w:tblPr>
      <w:tblGrid>
        <w:gridCol w:w="1071"/>
        <w:gridCol w:w="939"/>
        <w:gridCol w:w="945"/>
        <w:gridCol w:w="377"/>
        <w:gridCol w:w="377"/>
        <w:gridCol w:w="536"/>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to 15 years</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to 25 years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development expenses</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 to 5 years</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Intangible assets with an indefinite-life include trademarks. Similar to goodwill, indefinite-life intangible assets are assessed for impairment on an annual basis during the fourth quarter or more frequently if certain events occur indicating that the carrying value of the intangible asset may be impaired.</w:t>
      </w:r>
    </w:p>
    <w:p>
      <w:pPr>
        <w:pStyle w:val="TextBody"/>
        <w:bidi w:val="0"/>
        <w:spacing w:lineRule="auto" w:line="288" w:before="0" w:after="180"/>
        <w:jc w:val="both"/>
        <w:rPr/>
      </w:pPr>
      <w:r>
        <w:rPr>
          <w:rFonts w:ascii="Times New Roman;serif" w:hAnsi="Times New Roman;serif"/>
          <w:b/>
          <w:color w:val="000000"/>
          <w:sz w:val="20"/>
        </w:rPr>
        <w:t>Business Combinations:</w:t>
      </w:r>
      <w:r>
        <w:rPr>
          <w:color w:val="000000"/>
        </w:rPr>
        <w:t xml:space="preserve"> </w:t>
      </w:r>
      <w:r>
        <w:rPr>
          <w:rFonts w:ascii="Times New Roman;serif" w:hAnsi="Times New Roman;serif"/>
          <w:b w:val="false"/>
          <w:color w:val="000000"/>
          <w:sz w:val="20"/>
        </w:rPr>
        <w:t>Acquisitions are recorded using the acquisition method of accounting. The Company includes the operating results of acquired entities from their respective dates of acquisition. The Company recognizes and measures the identifiable assets acquired and liabilities assumed as of the acquisition date fair value. The excess, if any, of total consideration transferred in a business combination over the fair value of identifiable assets acquired, liabilities assumed, and any non-controlling interest is recognized as goodwill. Costs incurred as a result of a business combination other than costs related to the issuance of debt or equity securities are recorded in the period the costs are incurred. Transaction costs related to acquisitions are expensed as incurred.</w:t>
      </w:r>
    </w:p>
    <w:p>
      <w:pPr>
        <w:pStyle w:val="TextBody"/>
        <w:bidi w:val="0"/>
        <w:spacing w:before="0" w:after="180"/>
        <w:jc w:val="both"/>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46685"/>
                <wp:effectExtent l="0" t="0" r="0" b="0"/>
                <wp:wrapNone/>
                <wp:docPr id="470" name="Frame4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Some acquisitions contain contingent consideration which is based on the outcome of the acquired company earnings for a predetermined period. At the acquisition date, management estimates the expected fulfillment of these targets, and the contingent consideration is measured at fair value, using the income approach. It is included as part of the total consideration transferred and recognized as a financial liability. The initial fair value measurement is based on the expected outcome of the acquiree’s performance, and the amount expected to be paid by the Company. Subsequent to the acquisition date, contingent consideration classified as a liability is remeasured at fair value at each reporting period, with changes recognized in earnings.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the intangible assets using various valuation techniques, including the relief-from-royalty method and the multi-period excess earnings method. The fair values of customer relationships are determined using the multi-period excess earnings method based on discounted projected net cash flows associated with the net earnings attributable to the acquired customer relationships. The projected future cash flows are discounted to present value using an appropriate discount rate. The fair values of developed technology or trade names are estimated utilizing the relief from royalty method, which is a form of the income approach based on royalty rates determined from observed market royalties applied to projected revenue supporting the developed technology and discounted to present value using an appropriate discount rate. These models used to estimate the fair value for the Company’s business combinations utilize certain unobservable inputs classified as Level 3 measurements, as further described in the “Fair Value Measurements” section below.</w:t>
      </w:r>
    </w:p>
    <w:p>
      <w:pPr>
        <w:pStyle w:val="TextBody"/>
        <w:bidi w:val="0"/>
        <w:spacing w:lineRule="auto" w:line="288" w:before="0" w:after="180"/>
        <w:jc w:val="both"/>
        <w:rPr/>
      </w:pPr>
      <w:r>
        <w:rPr>
          <w:rFonts w:ascii="Times New Roman;serif" w:hAnsi="Times New Roman;serif"/>
          <w:b/>
          <w:color w:val="000000"/>
          <w:sz w:val="20"/>
        </w:rPr>
        <w:t xml:space="preserve">Leases: </w:t>
      </w:r>
      <w:r>
        <w:rPr>
          <w:rFonts w:ascii="Times New Roman;serif" w:hAnsi="Times New Roman;serif"/>
          <w:b w:val="false"/>
          <w:color w:val="000000"/>
          <w:sz w:val="20"/>
        </w:rPr>
        <w:t xml:space="preserve">The Company determines if an arrangement is a lease at inception of the contract, which is the date on which the terms of the contract are agreed to, and the agreement creates enforceable rights and obligations. A contract is or contains a lease when the Company has the right to control the use of an identified asset for a period of time. The commencement date of the lease is the date that the lessor makes an underlying asset available for use by the lessee. On the commencement date, leases are evaluated for classification and assets and liabilities are recognized based on the present value of lease payments over the lease term.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lease term used to calculate the lease liability includes options to extend or terminate the lease when it is reasonably certain that the option will be exercised. The right-of-use (“ROU”) asset is initially measured as the amount of lease liability, adjusted for any initial lease costs, prepaid lease payments and any lease incentives.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most leases do not provide an implicit rate, the Company uses the incremental borrowing rate at lease commencement to measure ROU assets and lease liabilities. The Company uses a benchmark senior unsecured yield curve for debt instruments over the similar term, and consider specific credit quality, market conditions, tenor of lease arrangements, and quality of collateral to determine the incremental borrowing 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lease expense is generally recognized on a straight-line basis over the lease term. The Company has elected the practical expedient to account for the lease and non-lease components as a single lease component for all asset classes. For leases with an initial term of one year or less, the Company has elected not to record the ROU asset or liability.</w:t>
      </w:r>
    </w:p>
    <w:p>
      <w:pPr>
        <w:pStyle w:val="TextBody"/>
        <w:bidi w:val="0"/>
        <w:spacing w:lineRule="auto" w:line="288" w:before="0" w:after="180"/>
        <w:jc w:val="both"/>
        <w:rPr/>
      </w:pPr>
      <w:r>
        <w:rPr>
          <w:rFonts w:ascii="Times New Roman;serif" w:hAnsi="Times New Roman;serif"/>
          <w:b/>
          <w:color w:val="000000"/>
          <w:sz w:val="20"/>
        </w:rPr>
        <w:t>Income Taxes:</w:t>
      </w:r>
      <w:r>
        <w:rPr>
          <w:color w:val="000000"/>
        </w:rPr>
        <w:t xml:space="preserve"> </w:t>
      </w:r>
      <w:r>
        <w:rPr>
          <w:rFonts w:ascii="Times New Roman;serif" w:hAnsi="Times New Roman;serif"/>
          <w:b w:val="false"/>
          <w:color w:val="000000"/>
          <w:sz w:val="20"/>
        </w:rPr>
        <w:t xml:space="preserve">The Company’s operations are subject to United States federal, state and local and foreign income taxes. In preparing its Combined Financial Statements and to the extent the Company has historically been included in the Hexagon’s income tax returns, the Company has determined the tax provision for those operations on a separate return basis. The separate return method applies Accounting Standards Codification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to the standalone financial statements of each member of the consolidated group as if the group members were separate taxpayers. As a result, actual transactions included in the consolidated financial statements of Hexagon may not be included in the separate Combined Financial Statements of the Company. Similarly, the tax treatment of certain items reflected in the Combined Financial Statements of the Company may not be reflected in the consolidated financial statements and tax returns of Hexagon. Therefore, items such as net operating losses, credit carryforwards and valuation allowances may exist in the standalone financial statements that may or may not exist in Hexagon’s consolidated financial statements. As such, the income taxes of the Company as presented in the Combined Financial Statements may not be indicative of the income taxes that the Company will generate in the future.</w:t>
      </w:r>
    </w:p>
    <w:p>
      <w:pPr>
        <w:pStyle w:val="TextBody"/>
        <w:bidi w:val="0"/>
        <w:spacing w:before="0" w:after="180"/>
        <w:jc w:val="both"/>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471" name="Frame4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determined based on temporary differences between financial reporting and tax bases of assets and liabilities, applying enacted tax rates expected to be in effect for the year in which the differences are expected to reverse. The Company recognizes future tax benefits, such as net operating losses and tax credits, to the extent that realizing these benefits is considered in its judgment to be more likely than not. The Company regularly reviews the recoverability of its deferred tax assets considering its historic profitability, projected future taxable income, timing of the reversals of existing temporary differences and the feasibility of its tax planning strategies. Where appropriate, the Company records a valuation allowance with respect to a future tax benefit.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pStyle w:val="TextBody"/>
        <w:bidi w:val="0"/>
        <w:spacing w:lineRule="auto" w:line="288" w:before="0" w:after="180"/>
        <w:jc w:val="both"/>
        <w:rPr/>
      </w:pPr>
      <w:r>
        <w:rPr>
          <w:rFonts w:ascii="Times New Roman;serif" w:hAnsi="Times New Roman;serif"/>
          <w:b/>
          <w:color w:val="000000"/>
          <w:sz w:val="20"/>
        </w:rPr>
        <w:t>Revenue Recognition:</w:t>
      </w:r>
      <w:r>
        <w:rPr>
          <w:color w:val="000000"/>
        </w:rPr>
        <w:t xml:space="preserve"> </w:t>
      </w:r>
      <w:r>
        <w:rPr>
          <w:rFonts w:ascii="Times New Roman;serif" w:hAnsi="Times New Roman;serif"/>
          <w:b w:val="false"/>
          <w:color w:val="000000"/>
          <w:sz w:val="20"/>
        </w:rPr>
        <w:t>The Company recognizes revenue for the transfer of services or products to customers in an amount that reflects the consideration to which the Company expects to be entitled in exchange for those services or products. The principle is achieved through the following five-step approach: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Identification of the contract, or contracts, with the customer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Identification of the performance obligation in the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Determination of the transaction price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Allocation of the transaction price to the performance obligations in the contract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Recognition of revenue when, or as, the Company satisfies a performance obligation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from three categories: (i) subscriptions, (ii) license and (iii) services and other.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under ASC 606-10-32-18 and does not account for significant financing components if the period between revenue recognition and when the customer pays for the products or services is one year or less. Additionally, the Company recognizes revenue equal to the amount the Company has a right to invoice when the amount corresponds directly with the value to the customer of the Company’s performance to date. Revenue is recognized net of any taxes collected from customers that are subsequently remitted to governmental authorities.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Subscriptions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Subscriptions revenue includes: (i) monthly subscription licenses, (ii) SaaS-based subscriptions, and (iii) maintenance subscriptions. The Company provides monthly subscription licenses for its software products, allowing the customer to respond to demand and market needs by determining the number of licenses they purchase each month. SaaS-based subscriptions are delivered as turn key solutions delivered on public-cloud infrastructure. Support subscriptions are included in the monthly licenses and SaaS-based subscription price for customers, and cannot be purchased separately. Support subscriptions revenue also consists of fees for support subscription plan agreements that may have been optionally purchased with a perpetual software license, and renewal fees for the extension of those plans. Under the support subscription plan, customers are eligible to receive unspecified software upgrades and technical support over a specified period, which is typically one year.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for the monthly subscription licenses is recognized at the point in time the license is granted. Revenue for SaaS-based subscriptions and maintenance subscriptions is generally recognized ratably over the contract term reflecting the continuous transfer of performance obligations to the customer.</w:t>
      </w:r>
    </w:p>
    <w:p>
      <w:pPr>
        <w:pStyle w:val="TextBody"/>
        <w:bidi w:val="0"/>
        <w:spacing w:before="0" w:after="180"/>
        <w:jc w:val="both"/>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46685"/>
                <wp:effectExtent l="0" t="0" r="0" b="0"/>
                <wp:wrapNone/>
                <wp:docPr id="472" name="Frame4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License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License revenue consists of perpetual software licenses for software which is installed on customer-specified servers for a one-time license fee. The Company generally recognizes revenue from perpetual software licenses at the point in time when control of the software is transferred to the customer.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Services and Other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provides professional services, including installation, configuration, consulting, training, and managed services. These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Contracts with Multiple Performance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contracts with customers may include promises to transfer software licenses (perpetual or term-based), maintenance, and services to a user. A performance obligation is considered distinct if the customer can benefit from the good or service on its own or with other readily available resources and if it is separately identifiable in the contract.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multiple performance obligations, revenue is allocated to each performance obligation based on its relative standalone selling price (“SSP”). The primary method used to estimate the SSP is the price that the Company charges for that good or service when the Company sells it separately in similar circumstances to similar customers.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may differ from the timing of invoicing customers, and these timing differences result in receivables (billed or unbilled), contract assets, or contract liabilities (deferred revenue) in the Combined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a contract asset when revenue is recognized prior to the right to invoice, or deferred revenue when revenue is recognized subsequent to invoicing.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time-based agreements, customers are generally invoiced in equal monthly or quarterly amounts, although some customers prefer to be invoiced in single or annual amounts. Payment terms and conditions vary by contract type, although terms generally include a requirement of payment within 30 to 60 days. The Company does not have any material variable consideration, such as obligations for returns, refunds, or warranties.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an unbilled receivable when revenue is recognized and the Company has an unconditional right to invoice and receive payment. Unbilled receivables represent amounts that are unbilled due to agreed-upon contractual terms in which billing occurs subsequent to revenue recognition and are included in Accounts receivable, net in the Combined Balance Sheets. As of December 31, 2025 and 2024, unbilled receivables were $80.7 million and $79.7 million, respectively.</w:t>
      </w:r>
    </w:p>
    <w:p>
      <w:pPr>
        <w:pStyle w:val="TextBody"/>
        <w:bidi w:val="0"/>
        <w:spacing w:lineRule="auto" w:line="288" w:before="0" w:after="180"/>
        <w:jc w:val="both"/>
        <w:rPr/>
      </w:pPr>
      <w:r>
        <w:rPr>
          <w:rFonts w:ascii="Times New Roman;serif" w:hAnsi="Times New Roman;serif"/>
          <w:b/>
          <w:color w:val="000000"/>
          <w:sz w:val="20"/>
        </w:rPr>
        <w:t>Concentration of Credit Risk:</w:t>
      </w:r>
      <w:r>
        <w:rPr>
          <w:color w:val="000000"/>
        </w:rPr>
        <w:t xml:space="preserve"> </w:t>
      </w:r>
      <w:r>
        <w:rPr>
          <w:rFonts w:ascii="Times New Roman;serif" w:hAnsi="Times New Roman;serif"/>
          <w:b w:val="false"/>
          <w:color w:val="000000"/>
          <w:sz w:val="20"/>
        </w:rPr>
        <w:t xml:space="preserve">Financial instruments that potentially subject the Company to significant concentrations of credit risk consist principally of cash equivalents and accounts receivable.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Cash and cash equivalents are deposited with financial institutions and invested in money market funds that the Company believes are of high credit quality.</w:t>
      </w:r>
    </w:p>
    <w:p>
      <w:pPr>
        <w:pStyle w:val="TextBody"/>
        <w:bidi w:val="0"/>
        <w:spacing w:before="0" w:after="180"/>
        <w:jc w:val="both"/>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473" name="Frame4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color w:val="000000"/>
          <w:sz w:val="20"/>
        </w:rPr>
        <w:t xml:space="preserve">Fair Value Measurements: </w:t>
      </w: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A three-level fair value hierarchy that prioritizes information used in developing assumptions when pricing an asset or liability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Level 1</w:t>
      </w:r>
      <w:r>
        <w:rPr>
          <w:rFonts w:ascii="Times New Roman;serif" w:hAnsi="Times New Roman;serif"/>
          <w:b w:val="false"/>
          <w:color w:val="000000"/>
          <w:sz w:val="20"/>
        </w:rPr>
        <w:t>: Observable inputs such as quoted prices in active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Inputs, other than quoted prices in active markets, that are observable either directly or indirectly;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where there is little or no market data, which requires the reporting entity to develop its own assumptions.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inputs used to measure fair value fall within different levels of the hierarchy, the level within which the fair value measurement is categorized is based on the lowest level input that is significant to the fair value measurement.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and cash equivalents, Accounts receivable and Accounts payable are a reasonable estimate of their fair value due to the short-term nature of these instruments.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contingent consideration liabilities are classified within level 3, as it is estimated using inputs that are not observable in the market related to future revenue forecast of the business acquired.</w:t>
      </w:r>
    </w:p>
    <w:p>
      <w:pPr>
        <w:pStyle w:val="TextBody"/>
        <w:bidi w:val="0"/>
        <w:spacing w:lineRule="auto" w:line="288" w:before="0" w:after="180"/>
        <w:jc w:val="both"/>
        <w:rPr/>
      </w:pPr>
      <w:r>
        <w:rPr>
          <w:rFonts w:ascii="Times New Roman;serif" w:hAnsi="Times New Roman;serif"/>
          <w:b/>
          <w:color w:val="000000"/>
          <w:sz w:val="20"/>
        </w:rPr>
        <w:t>Stock-based Compensation:</w:t>
      </w:r>
      <w:r>
        <w:rPr>
          <w:color w:val="000000"/>
        </w:rPr>
        <w:t xml:space="preserve"> </w:t>
      </w:r>
      <w:r>
        <w:rPr>
          <w:rFonts w:ascii="Times New Roman;serif" w:hAnsi="Times New Roman;serif"/>
          <w:b w:val="false"/>
          <w:color w:val="000000"/>
          <w:sz w:val="20"/>
        </w:rPr>
        <w:t>The Company’s employees have historically participated in the Parent’s stock-based compensation plans. The Company accounts for stock-based compensation plans using a fair-value based method. Fair value is measured once at the date of grant and is not adjusted for subsequent changes. The Parent’s stock-based compensation plans include programs for performance share awards, which may entitle employees to Class B shares of Hexagon, if performance conditions are met during the measurement period. These are equity classified awards. The Company accounts for forfeitures of awards as they occur.</w:t>
      </w:r>
    </w:p>
    <w:p>
      <w:pPr>
        <w:pStyle w:val="TextBody"/>
        <w:bidi w:val="0"/>
        <w:spacing w:lineRule="auto" w:line="288" w:before="0" w:after="180"/>
        <w:jc w:val="both"/>
        <w:rPr/>
      </w:pPr>
      <w:r>
        <w:rPr>
          <w:rFonts w:ascii="Times New Roman;serif" w:hAnsi="Times New Roman;serif"/>
          <w:b/>
          <w:color w:val="000000"/>
          <w:sz w:val="20"/>
        </w:rPr>
        <w:t>Segments:</w:t>
      </w:r>
      <w:r>
        <w:rPr>
          <w:color w:val="000000"/>
        </w:rPr>
        <w:t xml:space="preserve"> </w:t>
      </w:r>
      <w:r>
        <w:rPr>
          <w:rFonts w:ascii="Times New Roman;serif" w:hAnsi="Times New Roman;serif"/>
          <w:b w:val="false"/>
          <w:color w:val="000000"/>
          <w:sz w:val="20"/>
        </w:rPr>
        <w:t xml:space="preserve">The Company operates as a single operating and reportable segment. Operating segments are defined as components of an enterprise about which separate financial information is evaluated regularly by the chief operating decision maker (“CODM”) in deciding how to allocate resources and in assessing performance. The Company’s CODM is the Octave Chief Executive Officer, who reviews financial information presented on a combined basis. The CODM uses Net income, as presented in the Combined Statements of Operations, as the primary measure of profit or loss in assessing the Company’s performance and in making decisions regarding the allocation of resources. The CODM evaluates the components of Net income by comparing budget-to-actual and period-over-period results. The segment expense categories regularly provided to the CODM are the captions presented in the Combined Statements of Operations and, therefore, there are no additional segment expense categories to disclose. The CODM does not use segment asset information to evaluate operating performance or allocate resources.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Revenues by geographic region are presented in Note 3, “Revenue from Contracts with Customers.” </w:t>
      </w:r>
    </w:p>
    <w:p>
      <w:pPr>
        <w:pStyle w:val="TextBody"/>
        <w:bidi w:val="0"/>
        <w:spacing w:before="0" w:after="180"/>
        <w:jc w:val="both"/>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474" name="Frame4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Long-lived assets, which consists of Property and equipment, net and Operating lease right-of-use-assets, by geographic region are as follows:</w:t>
      </w:r>
    </w:p>
    <w:tbl>
      <w:tblPr>
        <w:tblW w:w="4764" w:type="dxa"/>
        <w:jc w:val="left"/>
        <w:tblInd w:w="0" w:type="dxa"/>
        <w:tblLayout w:type="fixed"/>
        <w:tblCellMar>
          <w:top w:w="28" w:type="dxa"/>
          <w:left w:w="28" w:type="dxa"/>
          <w:bottom w:w="28" w:type="dxa"/>
          <w:right w:w="28" w:type="dxa"/>
        </w:tblCellMar>
      </w:tblPr>
      <w:tblGrid>
        <w:gridCol w:w="751"/>
        <w:gridCol w:w="656"/>
        <w:gridCol w:w="663"/>
        <w:gridCol w:w="211"/>
        <w:gridCol w:w="841"/>
        <w:gridCol w:w="109"/>
        <w:gridCol w:w="109"/>
        <w:gridCol w:w="109"/>
        <w:gridCol w:w="109"/>
        <w:gridCol w:w="211"/>
        <w:gridCol w:w="841"/>
        <w:gridCol w:w="154"/>
      </w:tblGrid>
      <w:tr>
        <w:trPr/>
        <w:tc>
          <w:tcPr>
            <w:tcW w:w="7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EMIA:</w:t>
            </w:r>
            <w:r>
              <w:rPr>
                <w:color w:val="000000"/>
              </w:rPr>
              <w:t xml:space="preserve"> </w:t>
            </w:r>
            <w:r>
              <w:rPr>
                <w:rFonts w:ascii="Times New Roman;serif" w:hAnsi="Times New Roman;serif"/>
                <w:b w:val="false"/>
                <w:color w:val="000000"/>
                <w:sz w:val="13"/>
              </w:rPr>
              <w:t>(2)</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EMIA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APAC </w:t>
            </w:r>
            <w:r>
              <w:rPr>
                <w:rFonts w:ascii="Times New Roman;serif" w:hAnsi="Times New Roman;serif"/>
                <w:b w:val="false"/>
                <w:color w:val="000000"/>
                <w:sz w:val="13"/>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long-lived assets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115,551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(1)Americas includes the United States, Canada, and Latin America.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(2)EMIA includes Europe, Middle East, India, and Africa.</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(3)APAC includes the Asia-Pacific region, excluding India.</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Operations in Ireland, our country of domicile, are not material in all periods presented.</w:t>
      </w:r>
    </w:p>
    <w:p>
      <w:pPr>
        <w:pStyle w:val="TextBody"/>
        <w:bidi w:val="0"/>
        <w:spacing w:lineRule="auto" w:line="288" w:before="0" w:after="180"/>
        <w:jc w:val="both"/>
        <w:rPr/>
      </w:pPr>
      <w:r>
        <w:rPr>
          <w:rFonts w:ascii="Times New Roman;serif" w:hAnsi="Times New Roman;serif"/>
          <w:b/>
          <w:color w:val="000000"/>
          <w:sz w:val="20"/>
        </w:rPr>
        <w:t>Net Parent Investment:</w:t>
      </w:r>
      <w:r>
        <w:rPr>
          <w:color w:val="000000"/>
        </w:rPr>
        <w:t xml:space="preserve"> </w:t>
      </w:r>
      <w:r>
        <w:rPr>
          <w:rFonts w:ascii="Times New Roman;serif" w:hAnsi="Times New Roman;serif"/>
          <w:b w:val="false"/>
          <w:color w:val="000000"/>
          <w:sz w:val="20"/>
        </w:rPr>
        <w:t>Net Parent investment in the Combined Balance Sheets represents the Parent’s historical investment in the Company, the accumulated net earnings after taxes and the net effect of the transactions with and allocations from the Parent. As the Company has no common capital structure for the combined business, it has not presented historical earnings per share.</w:t>
      </w:r>
    </w:p>
    <w:p>
      <w:pPr>
        <w:pStyle w:val="TextBody"/>
        <w:bidi w:val="0"/>
        <w:spacing w:lineRule="auto" w:line="288" w:before="0" w:after="180"/>
        <w:jc w:val="both"/>
        <w:rPr/>
      </w:pPr>
      <w:r>
        <w:rPr>
          <w:rFonts w:ascii="Times New Roman;serif" w:hAnsi="Times New Roman;serif"/>
          <w:b/>
          <w:color w:val="000000"/>
          <w:sz w:val="20"/>
        </w:rPr>
        <w:t>Recent Accounting Pronouncements:</w:t>
      </w:r>
      <w:r>
        <w:rPr>
          <w:color w:val="000000"/>
        </w:rPr>
        <w:t xml:space="preserve"> </w:t>
      </w:r>
      <w:r>
        <w:rPr>
          <w:rFonts w:ascii="Times New Roman;serif" w:hAnsi="Times New Roman;serif"/>
          <w:b w:val="false"/>
          <w:color w:val="000000"/>
          <w:sz w:val="20"/>
        </w:rPr>
        <w:t>The Company considers the applicability and impact of all Accounting Standards Updates (“ASU”) issued by the Financial Accounting Standards Board (“FASB”). ASUs not listed below were assessed and determined to be either not applicable or are expected to have a minimal impact on the Combined Statements of Operations, Combined Balance Sheets and Combined Statements of Cash Flows.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(“ASU 2025-11”). ASU 2025-11 is intended to update the guidance in Topic 270 by improving navigability of the required interim disclosures, clarifying when that guidance is applicable and adding a principle that requires entities to disclose events since the end of the last annual reporting period that have a material impact on the entity. ASU 2025-11 is effective for the Company for interim reporting periods within annual reporting periods beginning after December 15, 2027. Early adoption is permitted. The Company is currently evaluating the impact of the adoption of ASU 2025-11 on its Combined Financial Statements and related disclosures.</w:t>
      </w:r>
    </w:p>
    <w:p>
      <w:pPr>
        <w:pStyle w:val="TextBody"/>
        <w:bidi w:val="0"/>
        <w:spacing w:lineRule="auto" w:line="288" w:before="0" w:after="180"/>
        <w:jc w:val="both"/>
        <w:rPr/>
      </w:pPr>
      <w:r>
        <w:rPr>
          <w:rFonts w:ascii="Times New Roman;serif" w:hAnsi="Times New Roman;serif"/>
          <w:b w:val="false"/>
          <w:color w:val="000000"/>
          <w:sz w:val="20"/>
        </w:rPr>
        <w:t>In September 2025, the FASB issued ASU No. 2025-06,</w:t>
      </w:r>
      <w:r>
        <w:rPr>
          <w:color w:val="000000"/>
        </w:rPr>
        <w:t xml:space="preserve">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The amendments in ASU 2025-06 remove the concept of development stages and introduce a principles-based model for capitalizing internal-use software costs, including those related to agile and cloud-based development. The guidance also consolidates website development costs under ASC 350-40 and enhances disclosure requirements related to software development activities. ASU 2025-06 is effective for the Company for annual reporting periods beginning after December 15, 2027, and interim periods within those annual periods, and should be applied prospectively, with optional retrospective or modified retrospective transition methods. Early adoption is permitted. The Company is currently evaluating the impact of the adoption of ASU 2025-06 on its Combined Financial Statements and related disclosures.</w:t>
      </w:r>
    </w:p>
    <w:p>
      <w:pPr>
        <w:pStyle w:val="TextBody"/>
        <w:bidi w:val="0"/>
        <w:spacing w:before="0" w:after="180"/>
        <w:jc w:val="both"/>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475" name="Frame4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In July 2025, the FASB issued ASU No. 2025-05,</w:t>
      </w:r>
      <w:r>
        <w:rPr>
          <w:color w:val="000000"/>
        </w:rPr>
        <w:t xml:space="preserve"> </w:t>
      </w:r>
      <w:r>
        <w:rPr>
          <w:rFonts w:ascii="Times New Roman;serif" w:hAnsi="Times New Roman;serif"/>
          <w:b w:val="false"/>
          <w:i/>
          <w:color w:val="000000"/>
          <w:sz w:val="20"/>
        </w:rPr>
        <w:t>Financial Instruments—Credit Losses (Topic 326): Measurement of Credit Losses for Accounts Receivable and Contract Asset</w:t>
      </w:r>
      <w:r>
        <w:rPr>
          <w:rFonts w:ascii="Times New Roman;serif" w:hAnsi="Times New Roman;serif"/>
          <w:b w:val="false"/>
          <w:color w:val="000000"/>
          <w:sz w:val="20"/>
        </w:rPr>
        <w:t>s (“ASU 2025-05”). The amendments in ASU 2025-05 provide entities with a practical expedient to simplify the estimation 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Company and should be applied prospectively, for its annual reporting periods beginning after December 15, 2025, and interim reporting periods within those annual reporting periods. Early adoption is permitted. The Company currently does not expect a material impact of the adoption of ASU 2025</w:t>
        <w:noBreakHyphen/>
        <w:t>05 on its Combined Financial Statements and related disclosures.</w:t>
      </w:r>
    </w:p>
    <w:p>
      <w:pPr>
        <w:pStyle w:val="TextBody"/>
        <w:bidi w:val="0"/>
        <w:spacing w:lineRule="auto" w:line="288" w:before="0" w:after="180"/>
        <w:jc w:val="both"/>
        <w:rPr/>
      </w:pPr>
      <w:r>
        <w:rPr>
          <w:rFonts w:ascii="Times New Roman;serif" w:hAnsi="Times New Roman;serif"/>
          <w:b w:val="false"/>
          <w:color w:val="000000"/>
          <w:sz w:val="20"/>
        </w:rPr>
        <w:t xml:space="preserve">In November 2024, FASB issued ASU No. 2024-03, </w:t>
      </w:r>
      <w:r>
        <w:rPr>
          <w:rFonts w:ascii="Times New Roman;serif" w:hAnsi="Times New Roman;serif"/>
          <w:b w:val="false"/>
          <w:i/>
          <w:color w:val="000000"/>
          <w:sz w:val="20"/>
        </w:rPr>
        <w:t>Income Statements-Reporting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("ASU 2024-03"),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Combined Financial Statements.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Adopted Accounting Standards</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expands disclosures in an entity's income tax rate reconciliation table and regarding cash taxes paid both in the United States and foreign jurisdictions. The Company adopted this ASU during the year ended December 31, 2025 and provided the required disclosures with retrospective application within Note 10,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476" name="Frame4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revenue based on the timing of revenue recognition is as follows:</w:t>
      </w:r>
    </w:p>
    <w:tbl>
      <w:tblPr>
        <w:tblW w:w="6791" w:type="dxa"/>
        <w:jc w:val="left"/>
        <w:tblInd w:w="0" w:type="dxa"/>
        <w:tblLayout w:type="fixed"/>
        <w:tblCellMar>
          <w:top w:w="28" w:type="dxa"/>
          <w:left w:w="28" w:type="dxa"/>
          <w:bottom w:w="28" w:type="dxa"/>
          <w:right w:w="28" w:type="dxa"/>
        </w:tblCellMar>
      </w:tblPr>
      <w:tblGrid>
        <w:gridCol w:w="781"/>
        <w:gridCol w:w="687"/>
        <w:gridCol w:w="691"/>
        <w:gridCol w:w="211"/>
        <w:gridCol w:w="991"/>
        <w:gridCol w:w="109"/>
        <w:gridCol w:w="109"/>
        <w:gridCol w:w="109"/>
        <w:gridCol w:w="109"/>
        <w:gridCol w:w="211"/>
        <w:gridCol w:w="991"/>
        <w:gridCol w:w="109"/>
        <w:gridCol w:w="109"/>
        <w:gridCol w:w="109"/>
        <w:gridCol w:w="109"/>
        <w:gridCol w:w="211"/>
        <w:gridCol w:w="991"/>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Recurring revenue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Non-recurring revenue </w:t>
            </w:r>
            <w:r>
              <w:rPr>
                <w:rFonts w:ascii="Times New Roman;serif" w:hAnsi="Times New Roman;serif"/>
                <w:b w:val="false"/>
                <w:color w:val="000000"/>
                <w:sz w:val="13"/>
              </w:rPr>
              <w:t>(2)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monthly subscription licenses, SaaS-based subscriptions, and maintenance subscriptions.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perpetual software licenses and services and other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revenue consists of the following revenue streams:</w:t>
      </w:r>
    </w:p>
    <w:tbl>
      <w:tblPr>
        <w:tblW w:w="7001" w:type="dxa"/>
        <w:jc w:val="left"/>
        <w:tblInd w:w="0" w:type="dxa"/>
        <w:tblLayout w:type="fixed"/>
        <w:tblCellMar>
          <w:top w:w="28" w:type="dxa"/>
          <w:left w:w="28" w:type="dxa"/>
          <w:bottom w:w="28" w:type="dxa"/>
          <w:right w:w="28" w:type="dxa"/>
        </w:tblCellMar>
      </w:tblPr>
      <w:tblGrid>
        <w:gridCol w:w="855"/>
        <w:gridCol w:w="754"/>
        <w:gridCol w:w="760"/>
        <w:gridCol w:w="211"/>
        <w:gridCol w:w="991"/>
        <w:gridCol w:w="109"/>
        <w:gridCol w:w="109"/>
        <w:gridCol w:w="109"/>
        <w:gridCol w:w="109"/>
        <w:gridCol w:w="211"/>
        <w:gridCol w:w="991"/>
        <w:gridCol w:w="109"/>
        <w:gridCol w:w="109"/>
        <w:gridCol w:w="109"/>
        <w:gridCol w:w="109"/>
        <w:gridCol w:w="211"/>
        <w:gridCol w:w="991"/>
        <w:gridCol w:w="154"/>
      </w:tblGrid>
      <w:tr>
        <w:trPr/>
        <w:tc>
          <w:tcPr>
            <w:tcW w:w="85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69" w:type="dxa"/>
            <w:gridSpan w:val="3"/>
            <w:tcBorders/>
            <w:tcMar>
              <w:top w:w="0" w:type="dxa"/>
              <w:left w:w="0" w:type="dxa"/>
              <w:bottom w:w="0" w:type="dxa"/>
              <w:right w:w="0" w:type="dxa"/>
            </w:tcMar>
            <w:vAlign w:val="center"/>
          </w:tcPr>
          <w:p>
            <w:pPr>
              <w:pStyle w:val="TableContents"/>
              <w:bidi w:val="0"/>
              <w:spacing w:before="14" w:after="14"/>
              <w:jc w:val="left"/>
              <w:rPr/>
            </w:pPr>
            <w:r>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licenses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subscription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Subscriptions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Subscriptions and licenses</w:t>
            </w:r>
            <w:r>
              <w:rPr>
                <w:color w:val="000000"/>
              </w:rPr>
              <w:t xml:space="preserve">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1,208,669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based upon the location of the end customer, are as follows:</w:t>
      </w:r>
    </w:p>
    <w:tbl>
      <w:tblPr>
        <w:tblW w:w="5997" w:type="dxa"/>
        <w:jc w:val="left"/>
        <w:tblInd w:w="0" w:type="dxa"/>
        <w:tblLayout w:type="fixed"/>
        <w:tblCellMar>
          <w:top w:w="28" w:type="dxa"/>
          <w:left w:w="28" w:type="dxa"/>
          <w:bottom w:w="28" w:type="dxa"/>
          <w:right w:w="28" w:type="dxa"/>
        </w:tblCellMar>
      </w:tblPr>
      <w:tblGrid>
        <w:gridCol w:w="495"/>
        <w:gridCol w:w="433"/>
        <w:gridCol w:w="437"/>
        <w:gridCol w:w="211"/>
        <w:gridCol w:w="991"/>
        <w:gridCol w:w="109"/>
        <w:gridCol w:w="109"/>
        <w:gridCol w:w="109"/>
        <w:gridCol w:w="109"/>
        <w:gridCol w:w="211"/>
        <w:gridCol w:w="991"/>
        <w:gridCol w:w="109"/>
        <w:gridCol w:w="109"/>
        <w:gridCol w:w="109"/>
        <w:gridCol w:w="109"/>
        <w:gridCol w:w="211"/>
        <w:gridCol w:w="991"/>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EMIA </w:t>
            </w:r>
            <w:r>
              <w:rPr>
                <w:rFonts w:ascii="Times New Roman;serif" w:hAnsi="Times New Roman;serif"/>
                <w:b w:val="false"/>
                <w:color w:val="000000"/>
                <w:sz w:val="13"/>
              </w:rPr>
              <w:t>(2)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APAC </w:t>
            </w:r>
            <w:r>
              <w:rPr>
                <w:rFonts w:ascii="Times New Roman;serif" w:hAnsi="Times New Roman;serif"/>
                <w:b w:val="false"/>
                <w:color w:val="000000"/>
                <w:sz w:val="13"/>
              </w:rPr>
              <w:t>(3)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1,637,898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(1)Americas includes the United States, Canada, and Latin America.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(2)EMIA includes Europe, Middle East, India, and Africa.</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(3)APAC includes the Asia-Pacific region, excluding India.</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Operations in Ireland, our country of domicile, are not material in all periods presented.</w:t>
      </w:r>
    </w:p>
    <w:p>
      <w:pPr>
        <w:pStyle w:val="TextBody"/>
        <w:bidi w:val="0"/>
        <w:spacing w:before="0" w:after="180"/>
        <w:jc w:val="both"/>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477" name="Frame4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contract assets relate to performance obligations completed in advance of the right to invoice and are included in Prepaids and other current assets in the Combined Balance Sheets. Contract assets were not material as of December 31, 2025 or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training. The satisfaction of performance obligations typically lags behind payments received under revenue recognition from contracts with customers. Deferred revenues are short-term in nature and are generally recognized as revenue within 12 months. As of December 31, 2025, and 2024, deferred revenue was $426.1 million and $362.5 million, respectively, and is included within Deferred revenue and Other noncurrent liabilities in the Combined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in the Company’s Deferred revenue balances primarily relates to additional deferrals through new billings and reduced deferrals through revenue recognition. For the year ended December 31, 2025, the Company recognized $288.1 million of revenue that was included in the December 31, 2024 Deferred revenue balance. For the year ended December 31, 2024, the Company recognized $307.0 million of revenue that was included in the December 31, 2023 Deferred revenue balance.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amounts allocated to performance obligations that will be satisfied at a later date. As of December 31, 2025, amounts allocated to these remaining performance obligations are $426.1 million, of which the Company expects to recognize approximately 89% over the next 12 months with the remaining amount thereafter.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Costs to Obtain a Contract with a Customer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an asset for the incremental costs of obtaining a contract with a customer, which consist primarily of direct sales commission earned upon execution of the contract. These contract costs are amortized based on the revenue recognition to which the contract costs relate. The Company has determined that costs under certain sales incentive programs meet the requirements to be capitalized. These costs include the Company's internal sales force compensation program for which the annual compensation is commensurate with annual sales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Amortization of capitalized commission costs are included in Sales and marketing expense in the Combined Statements of Operations. Capitalized commission costs and the corresponding amortization were not material for the years ended December 31, 2025, 2024, and 2023. The Company applies the practical expedient to expense costs as incurred for costs to obtain a contract with a customer when the amortization period would have been one year or less. Accordingly, the Company expenses these costs as incurred when the amortization period is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4. ACQUISITIONS AND DIVESTITURES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the Company completed two business combinations for aggregate consideration of $16.8 million, net of cash acquired. The total purchase consideration was allocated as follows: $2.9 million to acquired intangible assets, $13.8 million to goodwill, and $0.1 million to net tangible assets. The acquired intangible assets consisted primarily of customer relationships and trademarks, which were valued using the income approach. Of the goodwill recognized with these acquisitions, $1.7 million is expected to be deductible for tax purposes.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transaction costs related to these 2025 acquisitions were not material. The financial results of these acquisitions were included in the Combined Financial Statements from their respective acquisition date.</w:t>
      </w:r>
    </w:p>
    <w:p>
      <w:pPr>
        <w:pStyle w:val="TextBody"/>
        <w:bidi w:val="0"/>
        <w:spacing w:before="0" w:after="180"/>
        <w:jc w:val="both"/>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478" name="Frame4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2024 Acquisitions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2024, the Company completed two business combinations for aggregate consideration of $30.6 million, net of cash acquired. The contingent consideration for these acquisitions was $10.0 million. The total purchase consideration was allocated as follows: $3.3 million to acquired intangible assets, $28.0 million to goodwill, and $0.7 million to net tangible liabilities. The acquired intangible assets consisted primarily of developed technology, which were valued using the income approach, and are being amortized over 12 years. Of the goodwill recognized with these acquisitions, $0.4 million is expected to be deductible for tax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transaction costs related to these 2024 acquisitions were not material. The financial results of these acquisitions were included in the Combined Financial Statements from their respective acquisition date.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2023 Acquisitions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2023, the Company completed two business combinations, Qognify and Projectmates, for aggregate cash consideration of $348.0 million, net of cash acquired. The contingent consideration for these acquisitions was $44.8 million. The total purchase consideration was allocated as follows: $128.3 million to acquired intangible assets, $241.7 million to goodwill, and $22.0 million to net tangible liabilities. The Company acquired intangible assets consisting of $37.2 million of developed technology, $54.3 million of customer relationships, and $36.8 million of trademarks which were valued using the income approach. The developed technology and customer relationships are being amortized over 10 and 20 years, respectively. The goodwill recognized is primarily attributed to the assembled workforce of the acquired businesses, of which $7.1 million is expected to be deductible for tax purposes. Refer to Note 6, “Goodwill and Intangible Assets,” for additional information on measurement period adjustments to goodwill associated with this acquisition.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transaction costs related to these 2023 acquisitions were not material. The financial results of this acquisition were included in the Combined Financial Statements from its respective acquisition date.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2025 Divestitures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2025, the Company divested two non-core businesses for combined total cash proceeds of $57.0 million. The total divested businesses included $73.6 million of net assets. The Company recorded a loss on divestitures of approximately $16.6 million, which is included in Other (expense) income, net. The Company’s transaction costs related to these 2025 divestitures were not material.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the Company’s acquisitions contain contingent consideration which is based on the outcome of the acquired company earnings for a predetermined period. These contingent consideration liabilities are included in Other current liabilities and Other noncurrent liabilities in the Combined Balance Sheets, depending on the expected timing of settlement. Additions to contingent consideration recognized in connection with acquisitions are non-cash in nature. Payments of contingent consideration are cash in nature. Change in fair value is recognized in Other operating (income) expense, net in the Combined Statements of Operations.</w:t>
      </w:r>
    </w:p>
    <w:p>
      <w:pPr>
        <w:pStyle w:val="TextBody"/>
        <w:bidi w:val="0"/>
        <w:spacing w:before="0" w:after="180"/>
        <w:jc w:val="both"/>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46685"/>
                <wp:effectExtent l="0" t="0" r="0" b="0"/>
                <wp:wrapNone/>
                <wp:docPr id="479" name="Frame4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contingent consideration liabilities is as follows:</w:t>
      </w:r>
    </w:p>
    <w:tbl>
      <w:tblPr>
        <w:tblW w:w="3681" w:type="dxa"/>
        <w:jc w:val="left"/>
        <w:tblInd w:w="0" w:type="dxa"/>
        <w:tblLayout w:type="fixed"/>
        <w:tblCellMar>
          <w:top w:w="28" w:type="dxa"/>
          <w:left w:w="28" w:type="dxa"/>
          <w:bottom w:w="28" w:type="dxa"/>
          <w:right w:w="28" w:type="dxa"/>
        </w:tblCellMar>
      </w:tblPr>
      <w:tblGrid>
        <w:gridCol w:w="934"/>
        <w:gridCol w:w="820"/>
        <w:gridCol w:w="826"/>
        <w:gridCol w:w="211"/>
        <w:gridCol w:w="73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2022</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41,008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2023</w:t>
            </w:r>
            <w:r>
              <w:rPr>
                <w:color w:val="000000"/>
              </w:rPr>
              <w:t xml:space="preserve">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58,593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2024</w:t>
            </w:r>
            <w:r>
              <w:rPr>
                <w:color w:val="000000"/>
              </w:rPr>
              <w:t xml:space="preserve">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2025</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Components of property and equipment, net are as follows:</w:t>
      </w:r>
    </w:p>
    <w:tbl>
      <w:tblPr>
        <w:tblW w:w="5573" w:type="dxa"/>
        <w:jc w:val="left"/>
        <w:tblInd w:w="0" w:type="dxa"/>
        <w:tblLayout w:type="fixed"/>
        <w:tblCellMar>
          <w:top w:w="28" w:type="dxa"/>
          <w:left w:w="28" w:type="dxa"/>
          <w:bottom w:w="28" w:type="dxa"/>
          <w:right w:w="28" w:type="dxa"/>
        </w:tblCellMar>
      </w:tblPr>
      <w:tblGrid>
        <w:gridCol w:w="1115"/>
        <w:gridCol w:w="978"/>
        <w:gridCol w:w="996"/>
        <w:gridCol w:w="211"/>
        <w:gridCol w:w="736"/>
        <w:gridCol w:w="109"/>
        <w:gridCol w:w="109"/>
        <w:gridCol w:w="109"/>
        <w:gridCol w:w="109"/>
        <w:gridCol w:w="211"/>
        <w:gridCol w:w="736"/>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furniture, and fixtures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Property and equipment</w:t>
            </w:r>
            <w:r>
              <w:rPr>
                <w:color w:val="000000"/>
              </w:rPr>
              <w:t xml:space="preserve">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162,759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161,847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Property and equipment, net</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56,433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depreciation expense was $10.9 million, $10.7 million, and $9.7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46685"/>
                <wp:effectExtent l="0" t="0" r="0" b="0"/>
                <wp:wrapNone/>
                <wp:docPr id="480" name="Frame4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6. GOODWILL AND INTANGIBLE ASSETS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as follows:</w:t>
      </w:r>
    </w:p>
    <w:tbl>
      <w:tblPr>
        <w:tblW w:w="4790" w:type="dxa"/>
        <w:jc w:val="left"/>
        <w:tblInd w:w="0" w:type="dxa"/>
        <w:tblLayout w:type="fixed"/>
        <w:tblCellMar>
          <w:top w:w="28" w:type="dxa"/>
          <w:left w:w="28" w:type="dxa"/>
          <w:bottom w:w="28" w:type="dxa"/>
          <w:right w:w="28" w:type="dxa"/>
        </w:tblCellMar>
      </w:tblPr>
      <w:tblGrid>
        <w:gridCol w:w="1239"/>
        <w:gridCol w:w="1094"/>
        <w:gridCol w:w="1101"/>
        <w:gridCol w:w="211"/>
        <w:gridCol w:w="99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Balance, December 31, 2022</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5,955,030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Other adjustments</w:t>
            </w:r>
            <w:r>
              <w:rPr>
                <w:color w:val="000000"/>
              </w:rPr>
              <w:t xml:space="preserve"> </w:t>
            </w:r>
            <w:r>
              <w:rPr>
                <w:rFonts w:ascii="Times New Roman;serif" w:hAnsi="Times New Roman;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Balance, December 31, 2023</w:t>
            </w:r>
            <w:r>
              <w:rPr>
                <w:color w:val="000000"/>
              </w:rPr>
              <w:t xml:space="preserve">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6,203,490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Other adjustments</w:t>
            </w:r>
            <w:r>
              <w:rPr>
                <w:color w:val="000000"/>
              </w:rPr>
              <w:t xml:space="preserve"> </w:t>
            </w:r>
            <w:r>
              <w:rPr>
                <w:rFonts w:ascii="Times New Roman;serif" w:hAnsi="Times New Roman;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2024</w:t>
            </w:r>
            <w:r>
              <w:rPr>
                <w:color w:val="000000"/>
              </w:rPr>
              <w:t xml:space="preserve">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6,213,377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Other adjustments</w:t>
            </w:r>
            <w:r>
              <w:rPr>
                <w:color w:val="000000"/>
              </w:rPr>
              <w:t xml:space="preserve"> </w:t>
            </w:r>
            <w:r>
              <w:rPr>
                <w:rFonts w:ascii="Times New Roman;serif" w:hAnsi="Times New Roman;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2025</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6,221,366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 accordance with the accounting for business combinations, the Company recorded adjustments to goodwill for the effect of changes in the provisional fair values of the assets acquired and liabilities assumed during the measurement period (up to one year from the acquisition date) as the Company obtained new information about facts and circumstances that existed as of the acquisition date that, if known, would have affected the measurement of the amounts recognized as of that date.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Components of intangible assets other than goodwill are as follows:</w:t>
      </w:r>
    </w:p>
    <w:tbl>
      <w:tblPr>
        <w:tblW w:w="10792" w:type="dxa"/>
        <w:jc w:val="left"/>
        <w:tblInd w:w="0" w:type="dxa"/>
        <w:tblLayout w:type="fixed"/>
        <w:tblCellMar>
          <w:top w:w="28" w:type="dxa"/>
          <w:left w:w="28" w:type="dxa"/>
          <w:bottom w:w="28" w:type="dxa"/>
          <w:right w:w="28" w:type="dxa"/>
        </w:tblCellMar>
      </w:tblPr>
      <w:tblGrid>
        <w:gridCol w:w="537"/>
        <w:gridCol w:w="354"/>
        <w:gridCol w:w="355"/>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Definite-life intangibles: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development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definite-life intangibles</w:t>
            </w:r>
            <w:r>
              <w:rPr>
                <w:color w:val="000000"/>
              </w:rPr>
              <w:t xml:space="preserve"> </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2,225,684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(1,057,510)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1,168,174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2,235,773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(1,053,923)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1,181,850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Indefinite-life intangibles: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2,706,918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(1,057,510)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1,649,408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2,725,739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(1,053,923)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1,671,816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46685"/>
                <wp:effectExtent l="0" t="0" r="0" b="0"/>
                <wp:wrapNone/>
                <wp:docPr id="481" name="Frame4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intangible assets with a finite-life are reflected in the Combined Statements of Operations are as follows:</w:t>
      </w:r>
    </w:p>
    <w:tbl>
      <w:tblPr>
        <w:tblW w:w="7047" w:type="dxa"/>
        <w:jc w:val="left"/>
        <w:tblInd w:w="0" w:type="dxa"/>
        <w:tblLayout w:type="fixed"/>
        <w:tblCellMar>
          <w:top w:w="28" w:type="dxa"/>
          <w:left w:w="28" w:type="dxa"/>
          <w:bottom w:w="28" w:type="dxa"/>
          <w:right w:w="28" w:type="dxa"/>
        </w:tblCellMar>
      </w:tblPr>
      <w:tblGrid>
        <w:gridCol w:w="1038"/>
        <w:gridCol w:w="911"/>
        <w:gridCol w:w="916"/>
        <w:gridCol w:w="211"/>
        <w:gridCol w:w="841"/>
        <w:gridCol w:w="109"/>
        <w:gridCol w:w="109"/>
        <w:gridCol w:w="109"/>
        <w:gridCol w:w="109"/>
        <w:gridCol w:w="211"/>
        <w:gridCol w:w="841"/>
        <w:gridCol w:w="109"/>
        <w:gridCol w:w="109"/>
        <w:gridCol w:w="109"/>
        <w:gridCol w:w="109"/>
        <w:gridCol w:w="211"/>
        <w:gridCol w:w="84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amortization expense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156,640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117,094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amortization expense for the years following December 31, 2025 is estimated as follows:</w:t>
      </w:r>
    </w:p>
    <w:tbl>
      <w:tblPr>
        <w:tblW w:w="4415" w:type="dxa"/>
        <w:jc w:val="left"/>
        <w:tblInd w:w="0" w:type="dxa"/>
        <w:tblLayout w:type="fixed"/>
        <w:tblCellMar>
          <w:top w:w="28" w:type="dxa"/>
          <w:left w:w="28" w:type="dxa"/>
          <w:bottom w:w="28" w:type="dxa"/>
          <w:right w:w="28" w:type="dxa"/>
        </w:tblCellMar>
      </w:tblPr>
      <w:tblGrid>
        <w:gridCol w:w="1106"/>
        <w:gridCol w:w="969"/>
        <w:gridCol w:w="984"/>
        <w:gridCol w:w="211"/>
        <w:gridCol w:w="991"/>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future amortization expense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1,168,174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 OTHER BALANCE SHEET COMPONENTS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certain balance sheet components is as follows:</w:t>
      </w:r>
    </w:p>
    <w:tbl>
      <w:tblPr>
        <w:tblW w:w="6083" w:type="dxa"/>
        <w:jc w:val="left"/>
        <w:tblInd w:w="0" w:type="dxa"/>
        <w:tblLayout w:type="fixed"/>
        <w:tblCellMar>
          <w:top w:w="28" w:type="dxa"/>
          <w:left w:w="28" w:type="dxa"/>
          <w:bottom w:w="28" w:type="dxa"/>
          <w:right w:w="28" w:type="dxa"/>
        </w:tblCellMar>
      </w:tblPr>
      <w:tblGrid>
        <w:gridCol w:w="1267"/>
        <w:gridCol w:w="1111"/>
        <w:gridCol w:w="1116"/>
        <w:gridCol w:w="211"/>
        <w:gridCol w:w="841"/>
        <w:gridCol w:w="109"/>
        <w:gridCol w:w="109"/>
        <w:gridCol w:w="109"/>
        <w:gridCol w:w="109"/>
        <w:gridCol w:w="211"/>
        <w:gridCol w:w="736"/>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Prepaids and other current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indirect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reserve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Other current liabilities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70,348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46685"/>
                <wp:effectExtent l="0" t="0" r="0" b="0"/>
                <wp:wrapNone/>
                <wp:docPr id="482" name="Frame4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operating lease portfolio includes office facilities and automobiles. The majority of the Company’s leases have remaining lease terms of one year to 14 years, some of which include options to extend the leases for five years or more.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portion of the Company’s real estate leases is subject to annual changes in the Consumer Price Index (“CPI”). The changes to the CPI are treated as variable lease payments and recognized in the period in which the obligation for those payments is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operating lease expense, which includes immaterial amounts of short-term leases and variable lease costs, was $20.1 million, $19.5 million, and $19.8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Lease term and discount rate information related to the Company’s operating leases as of the end of the period presented are as follows:</w:t>
      </w:r>
    </w:p>
    <w:tbl>
      <w:tblPr>
        <w:tblW w:w="6020" w:type="dxa"/>
        <w:jc w:val="left"/>
        <w:tblInd w:w="0" w:type="dxa"/>
        <w:tblLayout w:type="fixed"/>
        <w:tblCellMar>
          <w:top w:w="28" w:type="dxa"/>
          <w:left w:w="28" w:type="dxa"/>
          <w:bottom w:w="28" w:type="dxa"/>
          <w:right w:w="28" w:type="dxa"/>
        </w:tblCellMar>
      </w:tblPr>
      <w:tblGrid>
        <w:gridCol w:w="1495"/>
        <w:gridCol w:w="1312"/>
        <w:gridCol w:w="1317"/>
        <w:gridCol w:w="203"/>
        <w:gridCol w:w="203"/>
        <w:gridCol w:w="322"/>
        <w:gridCol w:w="129"/>
        <w:gridCol w:w="129"/>
        <w:gridCol w:w="129"/>
        <w:gridCol w:w="203"/>
        <w:gridCol w:w="203"/>
        <w:gridCol w:w="375"/>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December 31, </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maturities of lease liabilities are as follows:</w:t>
      </w:r>
    </w:p>
    <w:tbl>
      <w:tblPr>
        <w:tblW w:w="5361" w:type="dxa"/>
        <w:jc w:val="left"/>
        <w:tblInd w:w="0" w:type="dxa"/>
        <w:tblLayout w:type="fixed"/>
        <w:tblCellMar>
          <w:top w:w="28" w:type="dxa"/>
          <w:left w:w="28" w:type="dxa"/>
          <w:bottom w:w="28" w:type="dxa"/>
          <w:right w:w="28" w:type="dxa"/>
        </w:tblCellMar>
      </w:tblPr>
      <w:tblGrid>
        <w:gridCol w:w="1540"/>
        <w:gridCol w:w="1351"/>
        <w:gridCol w:w="1369"/>
        <w:gridCol w:w="211"/>
        <w:gridCol w:w="736"/>
        <w:gridCol w:w="154"/>
      </w:tblGrid>
      <w:tr>
        <w:trPr/>
        <w:tc>
          <w:tcPr>
            <w:tcW w:w="154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future operating lease payments</w:t>
            </w:r>
            <w:r>
              <w:rPr>
                <w:color w:val="000000"/>
              </w:rPr>
              <w:t xml:space="preserve">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Less: Imputed interest on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operating lease liabilities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52,453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is as follows:</w:t>
      </w:r>
    </w:p>
    <w:tbl>
      <w:tblPr>
        <w:tblW w:w="10205" w:type="dxa"/>
        <w:jc w:val="left"/>
        <w:tblInd w:w="0" w:type="dxa"/>
        <w:tblLayout w:type="fixed"/>
        <w:tblCellMar>
          <w:top w:w="28" w:type="dxa"/>
          <w:left w:w="28" w:type="dxa"/>
          <w:bottom w:w="28" w:type="dxa"/>
          <w:right w:w="28" w:type="dxa"/>
        </w:tblCellMar>
      </w:tblPr>
      <w:tblGrid>
        <w:gridCol w:w="2314"/>
        <w:gridCol w:w="2028"/>
        <w:gridCol w:w="2040"/>
        <w:gridCol w:w="211"/>
        <w:gridCol w:w="721"/>
        <w:gridCol w:w="109"/>
        <w:gridCol w:w="109"/>
        <w:gridCol w:w="109"/>
        <w:gridCol w:w="109"/>
        <w:gridCol w:w="211"/>
        <w:gridCol w:w="721"/>
        <w:gridCol w:w="109"/>
        <w:gridCol w:w="109"/>
        <w:gridCol w:w="109"/>
        <w:gridCol w:w="109"/>
        <w:gridCol w:w="211"/>
        <w:gridCol w:w="721"/>
        <w:gridCol w:w="155"/>
      </w:tblGrid>
      <w:tr>
        <w:trPr/>
        <w:tc>
          <w:tcPr>
            <w:tcW w:w="231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46685"/>
                <wp:effectExtent l="0" t="0" r="0" b="0"/>
                <wp:wrapNone/>
                <wp:docPr id="483" name="Frame4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9. EMPLOYEE BENEFIT PLANS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Stock-based Compensation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employees have historically participated in the Parent’s stock-based compensation plans. The following disclosures of stock-based compensation expense recognized by the Company are based on the awards and terms previously granted to the Company’s employees. Accordingly, the amounts presented are not necessarily indicative of future awards and do not necessarily reflect the results that the Company would have experienced as an independent company for the periods presented.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cost recognized in the Combined Statements of Operations of the stock-based compensation arrangements is as follows:</w:t>
      </w:r>
    </w:p>
    <w:tbl>
      <w:tblPr>
        <w:tblW w:w="7452" w:type="dxa"/>
        <w:jc w:val="left"/>
        <w:tblInd w:w="0" w:type="dxa"/>
        <w:tblLayout w:type="fixed"/>
        <w:tblCellMar>
          <w:top w:w="28" w:type="dxa"/>
          <w:left w:w="28" w:type="dxa"/>
          <w:bottom w:w="28" w:type="dxa"/>
          <w:right w:w="28" w:type="dxa"/>
        </w:tblCellMar>
      </w:tblPr>
      <w:tblGrid>
        <w:gridCol w:w="1297"/>
        <w:gridCol w:w="1141"/>
        <w:gridCol w:w="1147"/>
        <w:gridCol w:w="211"/>
        <w:gridCol w:w="736"/>
        <w:gridCol w:w="109"/>
        <w:gridCol w:w="109"/>
        <w:gridCol w:w="109"/>
        <w:gridCol w:w="109"/>
        <w:gridCol w:w="211"/>
        <w:gridCol w:w="736"/>
        <w:gridCol w:w="109"/>
        <w:gridCol w:w="109"/>
        <w:gridCol w:w="109"/>
        <w:gridCol w:w="109"/>
        <w:gridCol w:w="211"/>
        <w:gridCol w:w="73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stock-based compensation expense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14,877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Defined Contribution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employees of the Company participate in various defined contribution plans sponsored by the Parent, which include employees from other Hexagon subsidiaries. For the years ended December 31, 2025, 2024, and 2023, the Company’s share of defined contribution plan costs were $34.1 million, $31.1 million, and $27.6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Before Income Tax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Income before income tax are as follows:</w:t>
      </w:r>
    </w:p>
    <w:tbl>
      <w:tblPr>
        <w:tblW w:w="6552" w:type="dxa"/>
        <w:jc w:val="left"/>
        <w:tblInd w:w="0" w:type="dxa"/>
        <w:tblLayout w:type="fixed"/>
        <w:tblCellMar>
          <w:top w:w="28" w:type="dxa"/>
          <w:left w:w="28" w:type="dxa"/>
          <w:bottom w:w="28" w:type="dxa"/>
          <w:right w:w="28" w:type="dxa"/>
        </w:tblCellMar>
      </w:tblPr>
      <w:tblGrid>
        <w:gridCol w:w="858"/>
        <w:gridCol w:w="753"/>
        <w:gridCol w:w="759"/>
        <w:gridCol w:w="211"/>
        <w:gridCol w:w="841"/>
        <w:gridCol w:w="109"/>
        <w:gridCol w:w="109"/>
        <w:gridCol w:w="109"/>
        <w:gridCol w:w="109"/>
        <w:gridCol w:w="211"/>
        <w:gridCol w:w="841"/>
        <w:gridCol w:w="109"/>
        <w:gridCol w:w="109"/>
        <w:gridCol w:w="109"/>
        <w:gridCol w:w="109"/>
        <w:gridCol w:w="211"/>
        <w:gridCol w:w="84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Income before income tax</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321,329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324,256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Previously disclosed amounts for the years ended December 31, 2024 and 2023 have been revised to correct the domestic and total amounts presented.</w:t>
      </w:r>
    </w:p>
    <w:p>
      <w:pPr>
        <w:pStyle w:val="TextBody"/>
        <w:bidi w:val="0"/>
        <w:spacing w:before="0" w:after="180"/>
        <w:jc w:val="both"/>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46685"/>
                <wp:effectExtent l="0" t="0" r="0" b="0"/>
                <wp:wrapNone/>
                <wp:docPr id="484" name="Frame4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are as follows:</w:t>
      </w:r>
    </w:p>
    <w:tbl>
      <w:tblPr>
        <w:tblW w:w="6312" w:type="dxa"/>
        <w:jc w:val="left"/>
        <w:tblInd w:w="0" w:type="dxa"/>
        <w:tblLayout w:type="fixed"/>
        <w:tblCellMar>
          <w:top w:w="28" w:type="dxa"/>
          <w:left w:w="28" w:type="dxa"/>
          <w:bottom w:w="28" w:type="dxa"/>
          <w:right w:w="28" w:type="dxa"/>
        </w:tblCellMar>
      </w:tblPr>
      <w:tblGrid>
        <w:gridCol w:w="883"/>
        <w:gridCol w:w="778"/>
        <w:gridCol w:w="784"/>
        <w:gridCol w:w="211"/>
        <w:gridCol w:w="736"/>
        <w:gridCol w:w="109"/>
        <w:gridCol w:w="109"/>
        <w:gridCol w:w="109"/>
        <w:gridCol w:w="109"/>
        <w:gridCol w:w="211"/>
        <w:gridCol w:w="736"/>
        <w:gridCol w:w="109"/>
        <w:gridCol w:w="109"/>
        <w:gridCol w:w="109"/>
        <w:gridCol w:w="109"/>
        <w:gridCol w:w="211"/>
        <w:gridCol w:w="73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current tax expense</w:t>
            </w:r>
            <w:r>
              <w:rPr>
                <w:color w:val="000000"/>
              </w:rPr>
              <w:t xml:space="preserve">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deferred tax expense</w:t>
            </w:r>
            <w:r>
              <w:rPr>
                <w:color w:val="000000"/>
              </w:rPr>
              <w:t xml:space="preserve">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Provision for income taxes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78,603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2025, Public Law 119-21, commonly referred to as the One Big Beautiful Bill Act (“OBBBA”), was enacted in the United States.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on the Company's Combined Financial Statements for the year ended December 31, 2025; however, management will continue to evaluate the full impact of these legislative changes as more guidance becomes available.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August 2022, the Inflation Reduction Act of 2022 was enacted, which contained significant law changes related to tax, climate, energy and health care. The tax measures include, among other things, a corporate alternative minimum tax (“CAMT”) of 15% on corporations with three-year average annual adjusted financial statement income (“AFSI”) exceeding $1 billion. The CAMT was effective for the Company beginning in 2024; however, the Company is not subject as its average annual AFSI did not exceed $1 billion for the preceding three-year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European Union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became effective in 2024 and 2025. Due to the uncertainty regarding which countries will enact Pillar 2 legislation and in what form the legislation will be adopted, as well as uncertainty regarding the timing of individual country legislative action and the underlying complexity of the rules, the Company is still assessing the impact, if any, of the Pillar 2 legislation. Pillar 2 legislation did not have a material impact on the provision for income taxes in the Combined Financial Statements for the years ended December 31, 2025 and 2024.</w:t>
      </w:r>
    </w:p>
    <w:p>
      <w:pPr>
        <w:pStyle w:val="TextBody"/>
        <w:bidi w:val="0"/>
        <w:spacing w:before="0" w:after="180"/>
        <w:jc w:val="both"/>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46685"/>
                <wp:effectExtent l="0" t="0" r="0" b="0"/>
                <wp:wrapNone/>
                <wp:docPr id="485" name="Frame4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revenue, income before income tax, and provision for income taxes in the United States is generally greater than any other single taxing jurisdiction within the worldwide group, the Company’s reconciliation from statutory tax rate to effective income tax rate is presented on the basis of the United States federal statutory income tax rate of 21% as opposed to the Ireland statutory tax 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the United States federal statutory tax rate to the Company’s effective income tax rate is as follows:</w:t>
      </w:r>
    </w:p>
    <w:tbl>
      <w:tblPr>
        <w:tblW w:w="10205" w:type="dxa"/>
        <w:jc w:val="left"/>
        <w:tblInd w:w="0" w:type="dxa"/>
        <w:tblLayout w:type="fixed"/>
        <w:tblCellMar>
          <w:top w:w="28" w:type="dxa"/>
          <w:left w:w="28" w:type="dxa"/>
          <w:bottom w:w="28" w:type="dxa"/>
          <w:right w:w="28" w:type="dxa"/>
        </w:tblCellMar>
      </w:tblPr>
      <w:tblGrid>
        <w:gridCol w:w="1061"/>
        <w:gridCol w:w="749"/>
        <w:gridCol w:w="752"/>
        <w:gridCol w:w="211"/>
        <w:gridCol w:w="736"/>
        <w:gridCol w:w="109"/>
        <w:gridCol w:w="109"/>
        <w:gridCol w:w="109"/>
        <w:gridCol w:w="109"/>
        <w:gridCol w:w="210"/>
        <w:gridCol w:w="213"/>
        <w:gridCol w:w="301"/>
        <w:gridCol w:w="109"/>
        <w:gridCol w:w="109"/>
        <w:gridCol w:w="109"/>
        <w:gridCol w:w="109"/>
        <w:gridCol w:w="109"/>
        <w:gridCol w:w="109"/>
        <w:gridCol w:w="211"/>
        <w:gridCol w:w="736"/>
        <w:gridCol w:w="109"/>
        <w:gridCol w:w="109"/>
        <w:gridCol w:w="109"/>
        <w:gridCol w:w="109"/>
        <w:gridCol w:w="202"/>
        <w:gridCol w:w="204"/>
        <w:gridCol w:w="301"/>
        <w:gridCol w:w="109"/>
        <w:gridCol w:w="109"/>
        <w:gridCol w:w="109"/>
        <w:gridCol w:w="109"/>
        <w:gridCol w:w="109"/>
        <w:gridCol w:w="109"/>
        <w:gridCol w:w="211"/>
        <w:gridCol w:w="736"/>
        <w:gridCol w:w="109"/>
        <w:gridCol w:w="109"/>
        <w:gridCol w:w="109"/>
        <w:gridCol w:w="109"/>
        <w:gridCol w:w="202"/>
        <w:gridCol w:w="204"/>
        <w:gridCol w:w="349"/>
      </w:tblGrid>
      <w:tr>
        <w:trPr/>
        <w:tc>
          <w:tcPr>
            <w:tcW w:w="10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3"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State and local income taxes </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tax effects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tax effects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or non-taxable items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tax effects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tax effects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tax effects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cross border transactions: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Deemed royalties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erosion and anti-abuse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or non-taxable items: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Effective income tax rate</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majority (greater than 50%) of state and local income taxes are derived from the following states each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2025: California, Connecticut, Illinois, Michigan, Minnesota, Wisconsin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2024: California, Illinois, New York, Pennsylvania, South Carolina, and Virginia</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16"/>
        </w:rPr>
        <w:t>2023: California, Georgia, Illinois, New York, Pennsylvania, and South Carolina</w:t>
      </w:r>
    </w:p>
    <w:p>
      <w:pPr>
        <w:pStyle w:val="TextBody"/>
        <w:bidi w:val="0"/>
        <w:spacing w:before="0" w:after="180"/>
        <w:jc w:val="both"/>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486" name="Frame4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Deferred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Temporary differences and carryforwards, which give rise to a significant portion of deferred tax assets and liabilities are as follows:</w:t>
      </w:r>
    </w:p>
    <w:tbl>
      <w:tblPr>
        <w:tblW w:w="6038" w:type="dxa"/>
        <w:jc w:val="left"/>
        <w:tblInd w:w="0" w:type="dxa"/>
        <w:tblLayout w:type="fixed"/>
        <w:tblCellMar>
          <w:top w:w="28" w:type="dxa"/>
          <w:left w:w="28" w:type="dxa"/>
          <w:bottom w:w="28" w:type="dxa"/>
          <w:right w:w="28" w:type="dxa"/>
        </w:tblCellMar>
      </w:tblPr>
      <w:tblGrid>
        <w:gridCol w:w="1169"/>
        <w:gridCol w:w="1025"/>
        <w:gridCol w:w="1030"/>
        <w:gridCol w:w="211"/>
        <w:gridCol w:w="901"/>
        <w:gridCol w:w="109"/>
        <w:gridCol w:w="109"/>
        <w:gridCol w:w="109"/>
        <w:gridCol w:w="109"/>
        <w:gridCol w:w="211"/>
        <w:gridCol w:w="901"/>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limitation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Gross deferred tax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149,871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Net deferred tax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deferred tax liabilities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(373,595)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(346,255)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Net deferred tax liabilities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(239,249)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(214,650)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Deferred tax assets and deferred tax liabilities are shown in the Combined Balance Sheets netted on a jurisdictional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increased the valuation allowance by $39.9 million, $3.5 million, and $4.4 million, respectively, which was primarily related to taxable losses in various foreign and domestic jurisdictions.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permanently reinvested with respect to all foreign earnings. There is no unrecognized deferred tax liability associated with the repatriation of foreign undistributed earnings.</w:t>
      </w:r>
    </w:p>
    <w:p>
      <w:pPr>
        <w:pStyle w:val="TextBody"/>
        <w:bidi w:val="0"/>
        <w:spacing w:before="0" w:after="180"/>
        <w:jc w:val="both"/>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487" name="Frame4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was as follows:</w:t>
      </w:r>
    </w:p>
    <w:tbl>
      <w:tblPr>
        <w:tblW w:w="6581" w:type="dxa"/>
        <w:jc w:val="left"/>
        <w:tblInd w:w="0" w:type="dxa"/>
        <w:tblLayout w:type="fixed"/>
        <w:tblCellMar>
          <w:top w:w="28" w:type="dxa"/>
          <w:left w:w="28" w:type="dxa"/>
          <w:bottom w:w="28" w:type="dxa"/>
          <w:right w:w="28" w:type="dxa"/>
        </w:tblCellMar>
      </w:tblPr>
      <w:tblGrid>
        <w:gridCol w:w="983"/>
        <w:gridCol w:w="864"/>
        <w:gridCol w:w="867"/>
        <w:gridCol w:w="211"/>
        <w:gridCol w:w="736"/>
        <w:gridCol w:w="109"/>
        <w:gridCol w:w="109"/>
        <w:gridCol w:w="109"/>
        <w:gridCol w:w="109"/>
        <w:gridCol w:w="211"/>
        <w:gridCol w:w="736"/>
        <w:gridCol w:w="109"/>
        <w:gridCol w:w="109"/>
        <w:gridCol w:w="109"/>
        <w:gridCol w:w="109"/>
        <w:gridCol w:w="211"/>
        <w:gridCol w:w="73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 State and Local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cash paid, net of refunds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tax credit and net operating loss (“NOL”) carryforwards, primarily related to: </w:t>
      </w:r>
    </w:p>
    <w:tbl>
      <w:tblPr>
        <w:tblW w:w="6371" w:type="dxa"/>
        <w:jc w:val="left"/>
        <w:tblInd w:w="0" w:type="dxa"/>
        <w:tblLayout w:type="fixed"/>
        <w:tblCellMar>
          <w:top w:w="28" w:type="dxa"/>
          <w:left w:w="28" w:type="dxa"/>
          <w:bottom w:w="28" w:type="dxa"/>
          <w:right w:w="28" w:type="dxa"/>
        </w:tblCellMar>
      </w:tblPr>
      <w:tblGrid>
        <w:gridCol w:w="1252"/>
        <w:gridCol w:w="1104"/>
        <w:gridCol w:w="1108"/>
        <w:gridCol w:w="240"/>
        <w:gridCol w:w="941"/>
        <w:gridCol w:w="124"/>
        <w:gridCol w:w="109"/>
        <w:gridCol w:w="109"/>
        <w:gridCol w:w="109"/>
        <w:gridCol w:w="372"/>
        <w:gridCol w:w="372"/>
        <w:gridCol w:w="531"/>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Jurisdiction:</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 to Expire</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 Federal NOL</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2037</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 Federal foreign tax credits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 State NOL</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 NOL</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no unrecognized tax benefits (including interest and penalties). The Company provides for interest and penalties related to unrecognized tax benefits in the provision for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income tax provision was calculated using the separate return basis, as if the Company filed hypothetical United States Federal, United States state and foreign tax returns. For federal and state tax returns, with few exceptions, the Company is subject to examination from 2019 through 2024. The Company is no longer subject to examination by the Internal Revenue Service (“IRS”) for periods prior to 2019, although carry forwards generated prior to those periods may still be adjusted upon examination by the IRS or state taxing authority if they either have been or will be used in a subsequent period. In the major foreign jurisdictions, the Company could be subject to examination as noted below: </w:t>
      </w:r>
    </w:p>
    <w:tbl>
      <w:tblPr>
        <w:tblW w:w="2941" w:type="dxa"/>
        <w:jc w:val="left"/>
        <w:tblInd w:w="0" w:type="dxa"/>
        <w:tblLayout w:type="fixed"/>
        <w:tblCellMar>
          <w:top w:w="28" w:type="dxa"/>
          <w:left w:w="28" w:type="dxa"/>
          <w:bottom w:w="28" w:type="dxa"/>
          <w:right w:w="28" w:type="dxa"/>
        </w:tblCellMar>
      </w:tblPr>
      <w:tblGrid>
        <w:gridCol w:w="390"/>
        <w:gridCol w:w="344"/>
        <w:gridCol w:w="347"/>
        <w:gridCol w:w="544"/>
        <w:gridCol w:w="544"/>
        <w:gridCol w:w="772"/>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Jurisdiction:</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Subject to Audit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2023 - 2024</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2021 - 2024</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2018 - 2024</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2019 - 2024</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2020 - 2024</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2021 - 2024</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488" name="Frame4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RESTRUCTURING CHARGES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has initiated various restructuring plans in an effort to better align its resources with its business strategy. For the years ended December 31, 2025, 2024, and 2023, the charges incurred were primarily comprised of severance and termination benefits related to headcount reductions as well as lease terminations and are included in Other operating (income) expense, net in the Combined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Activities resulting from restructuring plans are as follows:</w:t>
      </w:r>
    </w:p>
    <w:tbl>
      <w:tblPr>
        <w:tblW w:w="3681" w:type="dxa"/>
        <w:jc w:val="left"/>
        <w:tblInd w:w="0" w:type="dxa"/>
        <w:tblLayout w:type="fixed"/>
        <w:tblCellMar>
          <w:top w:w="28" w:type="dxa"/>
          <w:left w:w="28" w:type="dxa"/>
          <w:bottom w:w="28" w:type="dxa"/>
          <w:right w:w="28" w:type="dxa"/>
        </w:tblCellMar>
      </w:tblPr>
      <w:tblGrid>
        <w:gridCol w:w="934"/>
        <w:gridCol w:w="820"/>
        <w:gridCol w:w="826"/>
        <w:gridCol w:w="211"/>
        <w:gridCol w:w="73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2022</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2023</w:t>
            </w:r>
            <w:r>
              <w:rPr>
                <w:color w:val="000000"/>
              </w:rPr>
              <w:t xml:space="preserve">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23,018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2024</w:t>
            </w:r>
            <w:r>
              <w:rPr>
                <w:color w:val="000000"/>
              </w:rPr>
              <w:t xml:space="preserve">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December 31, 2025</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liabilities for restructuring charges under these plans are included in Other current liabilities in the Combined Balance Sheets as of December 31, 2025 as the Company expects to make cash payments to settle most of these liabilities throughout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NOTE 12. COMMITMENTS AND CONTINGENCIES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no disclosure of estimated loss is required for a claim against us because: (i) there is not a reasonable possibility that a loss exceeding amounts already recognized (if any) may be incurred with respect to such claim; (ii) a reasonably possible loss or range of loss cannot be estimated; or (iii) such estimate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46685"/>
                <wp:effectExtent l="0" t="0" r="0" b="0"/>
                <wp:wrapNone/>
                <wp:docPr id="489" name="Frame4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NOTE 13. RELATED PARTY TRANSACTIONS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Combined Financial Statements have been prepared on a standalone basis and are derived from the consolidated financial statements and accounting records of Hexagon. The following discussion summarizes activity between the Company and Hexagon.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Related Party Purchases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purchases products and services from other subsidiaries of the Parent. For the years ended December 31, 2025, 2024, and 2023, Cost of subscriptions and licenses in the Combined Statement of Operations includes purchases made by the Company from the Parent’s subsidiaries of $7.3 million, $7.3 million, and $27.8 million, respectively. Accounts payable includes $0.5 million and $1.9 million as of December 31, 2025 and 2024, respectively, related to such transactions.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Allocation of General Corporate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Combined Statements of Operations include expenses for certain centralized functions and other programs provided and administered by Hexagon, as described in Note 1, "Background and 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costs of these services have been allocated to the Company as follows:</w:t>
      </w:r>
    </w:p>
    <w:tbl>
      <w:tblPr>
        <w:tblW w:w="6957" w:type="dxa"/>
        <w:jc w:val="left"/>
        <w:tblInd w:w="0" w:type="dxa"/>
        <w:tblLayout w:type="fixed"/>
        <w:tblCellMar>
          <w:top w:w="28" w:type="dxa"/>
          <w:left w:w="28" w:type="dxa"/>
          <w:bottom w:w="28" w:type="dxa"/>
          <w:right w:w="28" w:type="dxa"/>
        </w:tblCellMar>
      </w:tblPr>
      <w:tblGrid>
        <w:gridCol w:w="1117"/>
        <w:gridCol w:w="983"/>
        <w:gridCol w:w="990"/>
        <w:gridCol w:w="211"/>
        <w:gridCol w:w="736"/>
        <w:gridCol w:w="109"/>
        <w:gridCol w:w="109"/>
        <w:gridCol w:w="109"/>
        <w:gridCol w:w="109"/>
        <w:gridCol w:w="211"/>
        <w:gridCol w:w="736"/>
        <w:gridCol w:w="109"/>
        <w:gridCol w:w="109"/>
        <w:gridCol w:w="109"/>
        <w:gridCol w:w="109"/>
        <w:gridCol w:w="211"/>
        <w:gridCol w:w="73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color w:val="000000"/>
                <w:sz w:val="20"/>
              </w:rPr>
              <w:t>Total corporate allocations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14. SUBSEQUENT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evaluated subsequent events for recognition or disclosure through March 24, 2026, the date the Combined Financial Statements were available to be issued. There were no subsequent events that required recognition or disclosure in these Combined Financial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46685"/>
                <wp:effectExtent l="0" t="0" r="0" b="0"/>
                <wp:wrapNone/>
                <wp:docPr id="490" name="Frame4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487</Pages>
  <Words>257153</Words>
  <Characters>1391123</Characters>
  <CharactersWithSpaces>1646441</CharactersWithSpaces>
  <Paragraphs>9648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